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附件2：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auto"/>
          <w:sz w:val="44"/>
          <w:szCs w:val="44"/>
        </w:rPr>
        <w:t>相山区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比选择优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淮北凤凰山实业集团</w:t>
      </w:r>
    </w:p>
    <w:bookmarkEnd w:id="0"/>
    <w:tbl>
      <w:tblPr>
        <w:tblStyle w:val="2"/>
        <w:tblpPr w:leftFromText="180" w:rightFromText="180" w:vertAnchor="text" w:horzAnchor="page" w:tblpX="1800" w:tblpY="723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997"/>
        <w:gridCol w:w="469"/>
        <w:gridCol w:w="2231"/>
        <w:gridCol w:w="4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主要职责</w:t>
            </w: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7" w:hRule="atLeast"/>
        </w:trPr>
        <w:tc>
          <w:tcPr>
            <w:tcW w:w="64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副总经理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负责财务管理、成本管理、预算管理、会计核算、会计监督、审计监察、存货控制、公司经济管理等方面工作；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负责依法实施公司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投资融资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融资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担保服务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以及基金管理工作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3.公司授予的其他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1.年龄一般不超过4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周岁(197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日以后出生)；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2.大学本科及以上学历（金融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、工商管理类专业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3.具有3年以上管理工作经历，机关企事业单位工作人员均可报名。其中，机关事业单位人员应担任领导职务1年以上；企业人员应担任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与淮北凤凰山实业集团有限公司相当及以上规模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国有企业或民营企业中层正职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及以上职务满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2年，具有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财务管理、融资担保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、投资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融资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管理、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基金运营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等工作经历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熟悉相关法律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具备良好的风险防控意识与政策敏感性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具备负责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成功项目（案例）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者优先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1" w:hRule="atLeast"/>
        </w:trPr>
        <w:tc>
          <w:tcPr>
            <w:tcW w:w="64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副总经理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1.负责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统筹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工作，编制年度建设规划以及产业工程全流程管理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2.负责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统筹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公司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的地产开发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工程施工、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工作及招投标、政府采购、固定资产投资管理工作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等；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3.公司授予的其他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1.年龄一般不超过4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周岁(197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日以后出生)；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2.大学本科及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以上学历（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土木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类、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</w:rPr>
              <w:t>管理科学与工程类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专业）；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3.具有3年以上管理工作经历，机关企事业单位工作人员均可报名。其中，机关事业单位人员应担任领导职务1年以上；企业人员应担任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与淮北凤凰山实业集团有限公司相当及以上规模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国有企业或民营企业中层正职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及以上职务满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2年，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从事工程开发建设2年以上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具备地产开发、招投标、固定资产投资、政府采购相关经验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执行力强，善于沟通协调，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具备负责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成功项目（案例）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者优先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有限公司高层管理人员职位表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100" w:hanging="420" w:hanging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1"/>
          <w:szCs w:val="21"/>
          <w:lang w:eastAsia="zh-CN"/>
        </w:rPr>
        <w:t>注：对担任省、市直属国有企业、银行分行副职以上的报考人员，经领导小组会议研究通过后，条件适当放宽；特别优秀的，可另行办理。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36CA3"/>
    <w:multiLevelType w:val="singleLevel"/>
    <w:tmpl w:val="CCF36C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97633"/>
    <w:rsid w:val="319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2020-07-05T10:36:00Z</dcterms:created>
  <dc:creator>钢铁之翼</dc:creator>
  <cp:lastModifiedBy>钢铁之翼</cp:lastModifiedBy>
  <dcterms:modified xsi:type="dcterms:W3CDTF">2020-07-05T10:36:47Z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