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相山区财政局20</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19</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firstLineChars="200"/>
        <w:jc w:val="left"/>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为认真贯彻文件精神，落实各项工作任务，区财政局严格遵循</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公开为原则，不公开为例外”，不断加大主动公开力度，着力推进部门预决算及“三公”经费等重点领域信息公开，积极做好政策解读，扎实推进公开平台建设，提高财政工作透明度、满足社会公众信息需求,全年共发布政信息637条。2019年，区财政局按照中央、省、市、区关于做好政府信息公开的部署和要求，认真贯彻《中华人民共和国政府信息公开条例》，加强组织领导和队伍建设，适时调整政务公开领导机构成员，积极参加区委、区政府组织开展的相关业务培训，不断提升政府信息公开工作的领导、决策和业务水平。同时，根据政务信息公开工作需要，细化工作任务，梳理工作流程，明确责任分工，将信息公开任务具体分解到对应的各个科室，夯实信息公开工作的基础。在工作中，规范流程管理，及时主动公开政府信息，适时更新维护公开内容，保障公众知情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（一）主动公开情况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全年共发布政府信息637条。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本年新收政府信息公开申请数量1条，已主动公开。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（三）政府信息管理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依据近年来国家对全面加强政务公开工作提出的各项要求和新《条例》有关规定，完善主动公开事项。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（四）公开平台建设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推进政府网站优质规范发展，推进政府网站集约化试点建设，优化政府信息公开平台栏目设置、内容展现和系统功能，围绕重点领域信息公开、政策解读、回应关切等重点工作，建立和完善相关专题专栏。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（五）监督保障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为进一步推动政府信息公开工作常态化、制度化开展，不断健全完善政务公开工作监督考评机制，强化监督检查，健全完善考评问责机制，加强日常工作督促和检查，将政务公开各项目标任务纳入目标考核范围，确保工作有部署、责任有分解、实施有检查，做好工作考核。强化社会评议结果运用，主动对标对准，举一反三，认真做好测评问题整改落实工作，推动政府信息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二、主动公开政府信息情况</w:t>
      </w:r>
    </w:p>
    <w:tbl>
      <w:tblPr>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信息内容</w:t>
            </w:r>
          </w:p>
        </w:tc>
        <w:tc>
          <w:tcPr>
            <w:tcW w:w="187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本年新</w:t>
            </w:r>
            <w:r>
              <w:rPr>
                <w:rFonts w:hint="eastAsia" w:ascii="仿宋_GB2312" w:eastAsia="仿宋_GB2312" w:cs="仿宋_GB2312" w:hAnsiTheme="minorHAnsi"/>
                <w:color w:val="000000"/>
                <w:kern w:val="0"/>
                <w:sz w:val="32"/>
                <w:szCs w:val="32"/>
                <w:bdr w:val="none" w:color="auto" w:sz="0" w:space="0"/>
                <w:lang w:val="en-US" w:eastAsia="zh-CN" w:bidi="ar"/>
              </w:rPr>
              <w:br w:type="textWrapping"/>
            </w:r>
            <w:r>
              <w:rPr>
                <w:rFonts w:hint="eastAsia" w:ascii="仿宋_GB2312" w:eastAsia="仿宋_GB2312" w:cs="仿宋_GB2312" w:hAnsiTheme="minorHAnsi"/>
                <w:color w:val="333333"/>
                <w:kern w:val="0"/>
                <w:sz w:val="32"/>
                <w:szCs w:val="32"/>
                <w:bdr w:val="none" w:color="auto" w:sz="0" w:space="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本年新</w:t>
            </w:r>
            <w:r>
              <w:rPr>
                <w:rFonts w:hint="eastAsia" w:ascii="仿宋_GB2312" w:eastAsia="仿宋_GB2312" w:cs="仿宋_GB2312" w:hAnsiTheme="minorHAnsi"/>
                <w:color w:val="000000"/>
                <w:kern w:val="0"/>
                <w:sz w:val="32"/>
                <w:szCs w:val="32"/>
                <w:bdr w:val="none" w:color="auto" w:sz="0" w:space="0"/>
                <w:lang w:val="en-US" w:eastAsia="zh-CN" w:bidi="ar"/>
              </w:rPr>
              <w:br w:type="textWrapping"/>
            </w:r>
            <w:r>
              <w:rPr>
                <w:rFonts w:hint="eastAsia" w:ascii="仿宋_GB2312" w:eastAsia="仿宋_GB2312" w:cs="仿宋_GB2312" w:hAnsiTheme="minorHAnsi"/>
                <w:color w:val="333333"/>
                <w:kern w:val="0"/>
                <w:sz w:val="32"/>
                <w:szCs w:val="32"/>
                <w:bdr w:val="none" w:color="auto" w:sz="0" w:space="0"/>
                <w:lang w:val="en-US" w:eastAsia="zh-CN" w:bidi="ar"/>
              </w:rPr>
              <w:t>公开数量</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规章</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c>
          <w:tcPr>
            <w:tcW w:w="127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0</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规范性文件</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c>
          <w:tcPr>
            <w:tcW w:w="127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0</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信息内容</w:t>
            </w:r>
          </w:p>
        </w:tc>
        <w:tc>
          <w:tcPr>
            <w:tcW w:w="187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本年增/减</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行政许可</w:t>
            </w:r>
          </w:p>
        </w:tc>
        <w:tc>
          <w:tcPr>
            <w:tcW w:w="1881"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c>
          <w:tcPr>
            <w:tcW w:w="126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c>
          <w:tcPr>
            <w:tcW w:w="126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信息内容</w:t>
            </w:r>
          </w:p>
        </w:tc>
        <w:tc>
          <w:tcPr>
            <w:tcW w:w="187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本年增/减</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行政处罚</w:t>
            </w:r>
          </w:p>
        </w:tc>
        <w:tc>
          <w:tcPr>
            <w:tcW w:w="1881"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16</w:t>
            </w:r>
          </w:p>
        </w:tc>
        <w:tc>
          <w:tcPr>
            <w:tcW w:w="126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行政强制</w:t>
            </w:r>
          </w:p>
        </w:tc>
        <w:tc>
          <w:tcPr>
            <w:tcW w:w="1881"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c>
          <w:tcPr>
            <w:tcW w:w="126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信息内容</w:t>
            </w:r>
          </w:p>
        </w:tc>
        <w:tc>
          <w:tcPr>
            <w:tcW w:w="1881"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行政事业性收费</w:t>
            </w:r>
          </w:p>
        </w:tc>
        <w:tc>
          <w:tcPr>
            <w:tcW w:w="1881"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0</w:t>
            </w:r>
          </w:p>
        </w:tc>
        <w:tc>
          <w:tcPr>
            <w:tcW w:w="3146" w:type="dxa"/>
            <w:gridSpan w:val="2"/>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0</w:t>
            </w: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信息内容</w:t>
            </w:r>
          </w:p>
        </w:tc>
        <w:tc>
          <w:tcPr>
            <w:tcW w:w="1881"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政府集中采购</w:t>
            </w:r>
          </w:p>
        </w:tc>
        <w:tc>
          <w:tcPr>
            <w:tcW w:w="1881"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17</w:t>
            </w:r>
          </w:p>
        </w:tc>
        <w:tc>
          <w:tcPr>
            <w:tcW w:w="3146" w:type="dxa"/>
            <w:gridSpan w:val="2"/>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4288.717万元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三、收到和处理政府信息公开申请情况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6"/>
        <w:gridCol w:w="1176"/>
        <w:gridCol w:w="1850"/>
        <w:gridCol w:w="761"/>
        <w:gridCol w:w="715"/>
        <w:gridCol w:w="715"/>
        <w:gridCol w:w="762"/>
        <w:gridCol w:w="890"/>
        <w:gridCol w:w="680"/>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（本列数据的勾稽关系为：第一项加第二项之和，等于第三项加第四项之和）</w:t>
            </w:r>
          </w:p>
        </w:tc>
        <w:tc>
          <w:tcPr>
            <w:tcW w:w="5189"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6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自然人</w:t>
            </w:r>
          </w:p>
        </w:tc>
        <w:tc>
          <w:tcPr>
            <w:tcW w:w="3762"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法人或其他组织</w:t>
            </w:r>
          </w:p>
        </w:tc>
        <w:tc>
          <w:tcPr>
            <w:tcW w:w="666"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6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商业企业</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科研机构</w:t>
            </w:r>
          </w:p>
        </w:tc>
        <w:tc>
          <w:tcPr>
            <w:tcW w:w="76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社会公益组织</w:t>
            </w:r>
          </w:p>
        </w:tc>
        <w:tc>
          <w:tcPr>
            <w:tcW w:w="89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法律服务机构</w:t>
            </w:r>
          </w:p>
        </w:tc>
        <w:tc>
          <w:tcPr>
            <w:tcW w:w="68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其他</w:t>
            </w:r>
          </w:p>
        </w:tc>
        <w:tc>
          <w:tcPr>
            <w:tcW w:w="666"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一、本年新收政府信息公开申请数量</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1</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二、上年结转政府信息公开申请数量</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三、本年度办理结果</w:t>
            </w:r>
          </w:p>
        </w:tc>
        <w:tc>
          <w:tcPr>
            <w:tcW w:w="302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（一）予以公开</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1</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2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（二）部分公开（区分处理的，只计这一情形，不计其他情形）</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（三）不予公开</w:t>
            </w: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1.属于国家秘密</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2.其他法律行政法规禁止公开</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3.危及“三安全一稳定”</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4.保护第三方合法权益</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5.属于三类内部事务信息</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6.属于四类过程性信息</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7.属于行政执法案卷</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8.属于行政查询事项</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（四）无法提供</w:t>
            </w: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1.本机关不掌握相关政府信息</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2.没有现成信息需要另行制作</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3.补正后申请内容仍不明确</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（五）不予处理</w:t>
            </w: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1.信访举报投诉类申请</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2.重复申请</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3.要求提供公开出版物</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4.无正当理由大量反复申请</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5.要求行政机关确认或重新出具已获取信息</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2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（六）其他处理</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2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（七）总计</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1</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1</w:t>
            </w:r>
            <w:r>
              <w:rPr>
                <w:rFonts w:hint="default" w:ascii="Calibri" w:hAnsi="Calibri" w:cs="Calibri" w:eastAsiaTheme="minorEastAsia"/>
                <w:color w:val="333333"/>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四、结转下年度继续办理</w:t>
            </w:r>
          </w:p>
        </w:tc>
        <w:tc>
          <w:tcPr>
            <w:tcW w:w="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四、政府信息公开行政复议、行政诉讼情况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3"/>
        <w:gridCol w:w="563"/>
        <w:gridCol w:w="563"/>
        <w:gridCol w:w="564"/>
        <w:gridCol w:w="585"/>
        <w:gridCol w:w="639"/>
        <w:gridCol w:w="639"/>
        <w:gridCol w:w="639"/>
        <w:gridCol w:w="536"/>
        <w:gridCol w:w="696"/>
        <w:gridCol w:w="564"/>
        <w:gridCol w:w="696"/>
        <w:gridCol w:w="564"/>
        <w:gridCol w:w="696"/>
        <w:gridCol w:w="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928"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行政复议</w:t>
            </w:r>
          </w:p>
        </w:tc>
        <w:tc>
          <w:tcPr>
            <w:tcW w:w="6143"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结果维持</w:t>
            </w:r>
          </w:p>
        </w:tc>
        <w:tc>
          <w:tcPr>
            <w:tcW w:w="57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结果纠正</w:t>
            </w:r>
          </w:p>
        </w:tc>
        <w:tc>
          <w:tcPr>
            <w:tcW w:w="57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其他结果</w:t>
            </w:r>
          </w:p>
        </w:tc>
        <w:tc>
          <w:tcPr>
            <w:tcW w:w="57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尚未审结</w:t>
            </w:r>
          </w:p>
        </w:tc>
        <w:tc>
          <w:tcPr>
            <w:tcW w:w="61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总计</w:t>
            </w:r>
          </w:p>
        </w:tc>
        <w:tc>
          <w:tcPr>
            <w:tcW w:w="3246"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未经复议直接起诉</w:t>
            </w:r>
          </w:p>
        </w:tc>
        <w:tc>
          <w:tcPr>
            <w:tcW w:w="289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7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7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7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1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结果维持</w:t>
            </w:r>
          </w:p>
        </w:tc>
        <w:tc>
          <w:tcPr>
            <w:tcW w:w="6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结果纠正</w:t>
            </w:r>
          </w:p>
        </w:tc>
        <w:tc>
          <w:tcPr>
            <w:tcW w:w="69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其他结果</w:t>
            </w:r>
          </w:p>
        </w:tc>
        <w:tc>
          <w:tcPr>
            <w:tcW w:w="51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尚未审结</w:t>
            </w:r>
          </w:p>
        </w:tc>
        <w:tc>
          <w:tcPr>
            <w:tcW w:w="6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总计</w:t>
            </w:r>
          </w:p>
        </w:tc>
        <w:tc>
          <w:tcPr>
            <w:tcW w:w="57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结果维持</w:t>
            </w:r>
          </w:p>
        </w:tc>
        <w:tc>
          <w:tcPr>
            <w:tcW w:w="57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结果纠正</w:t>
            </w:r>
          </w:p>
        </w:tc>
        <w:tc>
          <w:tcPr>
            <w:tcW w:w="57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其他结果</w:t>
            </w:r>
          </w:p>
        </w:tc>
        <w:tc>
          <w:tcPr>
            <w:tcW w:w="58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尚未审结</w:t>
            </w:r>
          </w:p>
        </w:tc>
        <w:tc>
          <w:tcPr>
            <w:tcW w:w="58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9" w:hRule="atLeast"/>
          <w:jc w:val="center"/>
        </w:trPr>
        <w:tc>
          <w:tcPr>
            <w:tcW w:w="5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5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0</w:t>
            </w:r>
          </w:p>
        </w:tc>
        <w:tc>
          <w:tcPr>
            <w:tcW w:w="5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5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default" w:ascii="Calibri" w:hAnsi="Calibri" w:cs="Calibri" w:eastAsiaTheme="minorEastAsia"/>
                <w:color w:val="333333"/>
                <w:kern w:val="0"/>
                <w:sz w:val="32"/>
                <w:szCs w:val="32"/>
                <w:bdr w:val="none" w:color="auto" w:sz="0" w:space="0"/>
                <w:lang w:val="en-US" w:eastAsia="zh-CN" w:bidi="ar"/>
              </w:rPr>
              <w:t> </w:t>
            </w:r>
          </w:p>
        </w:tc>
        <w:tc>
          <w:tcPr>
            <w:tcW w:w="6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p>
        </w:tc>
        <w:tc>
          <w:tcPr>
            <w:tcW w:w="6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p>
        </w:tc>
        <w:tc>
          <w:tcPr>
            <w:tcW w:w="6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p>
        </w:tc>
        <w:tc>
          <w:tcPr>
            <w:tcW w:w="5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both"/>
            </w:pPr>
            <w:r>
              <w:rPr>
                <w:rFonts w:hint="eastAsia" w:ascii="仿宋_GB2312" w:eastAsia="仿宋_GB2312" w:cs="仿宋_GB2312" w:hAnsiTheme="minorHAnsi"/>
                <w:color w:val="333333"/>
                <w:kern w:val="0"/>
                <w:sz w:val="32"/>
                <w:szCs w:val="32"/>
                <w:bdr w:val="none" w:color="auto" w:sz="0" w:space="0"/>
                <w:lang w:val="en-US" w:eastAsia="zh-CN" w:bidi="ar"/>
              </w:rPr>
              <w:t>0</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0</w:t>
            </w:r>
            <w:r>
              <w:rPr>
                <w:rFonts w:hint="eastAsia" w:ascii="宋体" w:hAnsi="宋体" w:eastAsia="宋体" w:cs="宋体"/>
                <w:color w:val="000000"/>
                <w:kern w:val="0"/>
                <w:sz w:val="32"/>
                <w:szCs w:val="32"/>
                <w:bdr w:val="none" w:color="auto" w:sz="0" w:space="0"/>
                <w:lang w:val="en-US" w:eastAsia="zh-CN" w:bidi="ar"/>
              </w:rPr>
              <w:t> </w:t>
            </w:r>
          </w:p>
        </w:tc>
        <w:tc>
          <w:tcPr>
            <w:tcW w:w="5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p>
        </w:tc>
        <w:tc>
          <w:tcPr>
            <w:tcW w:w="5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both"/>
            </w:pPr>
            <w:r>
              <w:rPr>
                <w:rFonts w:hint="eastAsia" w:ascii="仿宋_GB2312" w:eastAsia="仿宋_GB2312" w:cs="仿宋_GB2312" w:hAnsiTheme="minorHAnsi"/>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both"/>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eastAsia" w:ascii="宋体" w:hAnsi="宋体" w:eastAsia="宋体" w:cs="宋体"/>
                <w:color w:val="333333"/>
                <w:kern w:val="0"/>
                <w:sz w:val="32"/>
                <w:szCs w:val="32"/>
                <w:bdr w:val="none" w:color="auto" w:sz="0" w:space="0"/>
                <w:lang w:val="en-US" w:eastAsia="zh-CN" w:bidi="ar"/>
              </w:rPr>
              <w:t> </w:t>
            </w:r>
          </w:p>
        </w:tc>
        <w:tc>
          <w:tcPr>
            <w:tcW w:w="5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000000"/>
                <w:kern w:val="0"/>
                <w:sz w:val="32"/>
                <w:szCs w:val="32"/>
                <w:bdr w:val="none" w:color="auto" w:sz="0" w:space="0"/>
                <w:lang w:val="en-US" w:eastAsia="zh-CN" w:bidi="ar"/>
              </w:rPr>
              <w:t>0</w:t>
            </w:r>
          </w:p>
        </w:tc>
        <w:tc>
          <w:tcPr>
            <w:tcW w:w="5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pPr>
            <w:r>
              <w:rPr>
                <w:rFonts w:hint="eastAsia" w:ascii="仿宋_GB2312" w:eastAsia="仿宋_GB2312" w:cs="仿宋_GB2312" w:hAnsiTheme="minorHAnsi"/>
                <w:color w:val="333333"/>
                <w:kern w:val="0"/>
                <w:sz w:val="32"/>
                <w:szCs w:val="32"/>
                <w:bdr w:val="none" w:color="auto" w:sz="0" w:space="0"/>
                <w:lang w:val="en-US" w:eastAsia="zh-CN" w:bidi="ar"/>
              </w:rPr>
              <w:t>0</w:t>
            </w:r>
            <w:r>
              <w:rPr>
                <w:rFonts w:hint="eastAsia" w:ascii="宋体" w:hAnsi="宋体" w:eastAsia="宋体" w:cs="宋体"/>
                <w:color w:val="333333"/>
                <w:kern w:val="0"/>
                <w:sz w:val="32"/>
                <w:szCs w:val="32"/>
                <w:bdr w:val="none" w:color="auto" w:sz="0" w:space="0"/>
                <w:lang w:val="en-US" w:eastAsia="zh-CN" w:bidi="ar"/>
              </w:rPr>
              <w:t> </w:t>
            </w:r>
          </w:p>
        </w:tc>
        <w:tc>
          <w:tcPr>
            <w:tcW w:w="5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pPr>
            <w:r>
              <w:rPr>
                <w:rFonts w:hint="eastAsia" w:ascii="仿宋_GB2312" w:eastAsia="仿宋_GB2312" w:cs="仿宋_GB2312" w:hAnsiTheme="minorHAnsi"/>
                <w:color w:val="333333"/>
                <w:kern w:val="0"/>
                <w:sz w:val="32"/>
                <w:szCs w:val="32"/>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存在问题：1.公开的内容还不够全面和深入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2.</w:t>
      </w:r>
      <w:r>
        <w:rPr>
          <w:rFonts w:hint="default" w:ascii="Calibri" w:hAnsi="Calibri" w:eastAsia="仿宋_GB2312" w:cs="Calibri"/>
          <w:i w:val="0"/>
          <w:iCs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公开的形式还不够充分和完善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改进情况：（一）强化信息公开制度化、规范化、标准化建设。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坚持“以公开为常态，不公开为例外”原则，进一步推进决策、执行、管理、服务、结果公开，及时回应社会关切。树立大局意识，围绕重点开展工作，拓展信息深度，及时报告财政信息。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（二）进一步充实公开内容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进一步做好公开和不予公开两类政府信息的界定，完善主动公开的信息目录，及时、准确的反映我区财政重点工作进展情况，加强对公众关注度高的财政信息的梳理，挖掘、整理有价值信息。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（三）规范和优化政务公开流程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规范信息公开流程，使各类财政信息能够更加及时，方便公众获取财政信息。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（四）完善政务公开工作机制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建立完善政府政务公开工作审查、考评、监督检查评议等工作制度，加强对科室信息公开的督促力度，确保政务公开工作向制度化、规范化发展。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（五）加强培训，增强业务能力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加强各个业务科室信息公开的培训，以促进政务信息公开工作的质量。我局将把做好政务公开工作作为全面促进财政工作更好开展的重要保障和有力抓手，进一步加强政务公开的及时性、规范性、完整性、无障碍性，不断提升政务公开工作水平和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6"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bdr w:val="none" w:color="auto" w:sz="0" w:space="0"/>
          <w:shd w:val="clear" w:fill="FFFFFF"/>
        </w:rPr>
        <w:t>我局无其他需要报告事项。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YThhNDg1YjM0ZjM3ZDJmZWFkOWE1YTFiZmI4MmEifQ=="/>
  </w:docVars>
  <w:rsids>
    <w:rsidRoot w:val="37560A14"/>
    <w:rsid w:val="3756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2024-01-24T09:00:00Z</dcterms:created>
  <dc:creator>党黄凡</dc:creator>
  <cp:lastModifiedBy>党黄凡</cp:lastModifiedBy>
  <dcterms:modified xsi:type="dcterms:W3CDTF">2024-01-24T09:00:49Z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205E313345DC4B02BF11C04AC9B37BB7_11</vt:lpwstr>
  </property>
</Properties>
</file>