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57"/>
          <w:szCs w:val="5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57"/>
          <w:szCs w:val="57"/>
          <w:bdr w:val="none" w:color="auto" w:sz="0" w:space="0"/>
          <w:shd w:val="clear" w:fill="FFFFFF"/>
        </w:rPr>
        <w:t>相山区卫生健康委员会2020年政府信息公开工作年度报告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一、概括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64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《中华人民共和国政府信息公开条例》和上级有关文件要求，现向社会公布2020年相山区卫健委信息公开年度报告。我委充分利用政务公开栏、网站等各种渠道进行信息公开，确保群众及时了解政府信息动态，为群众办事提供便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主动公开。2020年，我单位对本年度公开的政府信息进行了认真的梳理和编目，截至12月31日，新增主动公开政府信息877条。其中包括：政策法规13条，重大决策预公开2条，规划计划4条，决策部署落实情况7条，建议提案办理10条，机构领导46条，机构设置11条，财政资</w:t>
      </w:r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金16条，应急管理38条，权责清单和动态调整情况3条，公共服务清单和中介服务7条，行政权力运行117条，“双随机一公开”8条，招标采购8条，新闻发布17条，上级政策解读15条，本级政策解读9条，主动回应60条，监督保障2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4819650" cy="2628900"/>
            <wp:effectExtent l="0" t="0" r="0" b="0"/>
            <wp:docPr id="2" name="图片 2" descr="1706165857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61658573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依申请公开。我委按照《国务院办公厅关于做好政府信息依申请公开工作的意见》的要求，积极做好信息公开的各项工作，严格执行政府工作信息依申请公开标准，在委信息公开网开通了“依申请公开”栏目。2020年我委未收到依申请公开申请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政务信息管理。加强领导，落实责任。委领导班子多次召开相关会议，把政务公开工作作为一项重要工作来抓，主要领导亲自抓，分管领导具体抓，并落实人员专门抓，形成了一级抓一级、层层抓落实的组织领导机制，进一步明确职责，落实责任，保证了政务公开工作的顺利进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（四）平台建设方面。一是优化信息分类，设立重大决策预公开、行政权力运行 、三大攻坚战、公共服务清单和中介服务清单、财政预决算“三公”经费、权力清单和责任清单等栏目，方便群众查阅政府信息。二是顺应“互联网+政务服务”趋势，切实加大“两微一端”新媒体建设力度，依托互联网搭建信息公开新平台，全方位提升信息公开受众群体以及舆论引导能力。注重图文结合，通俗易懂地展示政府工作，使新媒体更加“接地气”，更容易为群众所接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五）监督保障方面。一是落实保障。将政务公开列入区卫生健康重点工作，结合委效能建设、电子政务等工作加以推进落实。根据区《2019年相山区政务公开考评方案》，严格按照考评方案执行政务公开年度考核工作。依托第三方测评机构完成社会评议，评议的内容主要是政府信息公开的内容是否真实、准确，时间是否及时等方面。二是渠道保障。坚持内部监督和社会监督相结合体系，对外公布投诉举报电话，推进人民群众监督和舆论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三、主动公开政府信息</w:t>
      </w:r>
    </w:p>
    <w:tbl>
      <w:tblPr>
        <w:tblW w:w="8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本年新</w:t>
            </w: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本年新</w:t>
            </w: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8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76"/>
        <w:gridCol w:w="1850"/>
        <w:gridCol w:w="761"/>
        <w:gridCol w:w="715"/>
        <w:gridCol w:w="715"/>
        <w:gridCol w:w="762"/>
        <w:gridCol w:w="890"/>
        <w:gridCol w:w="680"/>
        <w:gridCol w:w="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7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66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商业企业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科研机构</w:t>
            </w:r>
          </w:p>
        </w:tc>
        <w:tc>
          <w:tcPr>
            <w:tcW w:w="7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6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五、存在问题及今后工作思路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　我们也应清醒地看到，我委政务公开工作还存在着一些问题：一部门上级部门政务服务事项无法认领，二是人员紧张，不能及时做好政务工作公开。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针对上述存在问题，要着重抓好以下几个方面工作：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（一）进一步加强对政务公开工作的领导和监督，健全有关检查制度、责任追究制度，反馈制度，确保把政务公开工作落到实处。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（二）进一步规范和完善政务公开的内容、形式，对涉及人民群众利益的重大问题，重大决策应及时公开，同时有区别地抓好对内与对外公开，提高公开针对性。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N2M1NDU4Njc3ZDMzY2QzZTNmYWU5ZjgwYzM5ZTAifQ=="/>
  </w:docVars>
  <w:rsids>
    <w:rsidRoot w:val="2ED125C4"/>
    <w:rsid w:val="2ED1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2024-01-25T06:56:00Z</dcterms:created>
  <dc:creator>呓琪cmx.</dc:creator>
  <cp:lastModifiedBy>呓琪cmx.</cp:lastModifiedBy>
  <dcterms:modified xsi:type="dcterms:W3CDTF">2024-01-25T06:58:45Z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FB5D1DCCDB9041A1A4311D46980A1FB1_11</vt:lpwstr>
  </property>
</Properties>
</file>