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509" w:lineRule="atLeast"/>
        <w:jc w:val="center"/>
        <w:rPr>
          <w:rFonts w:ascii="Calibri" w:hAnsi="Calibri" w:eastAsia="宋体" w:cs="宋体"/>
          <w:color w:val="333333"/>
          <w:kern w:val="0"/>
          <w:szCs w:val="21"/>
        </w:rPr>
      </w:pPr>
      <w:r>
        <w:rPr>
          <w:rFonts w:hint="eastAsia" w:ascii="方正小标宋简体" w:hAnsi="Calibri" w:eastAsia="方正小标宋简体" w:cs="宋体"/>
          <w:color w:val="333333"/>
          <w:kern w:val="0"/>
          <w:sz w:val="44"/>
          <w:szCs w:val="44"/>
          <w:lang w:eastAsia="zh-CN"/>
        </w:rPr>
        <w:t>相山</w:t>
      </w:r>
      <w:bookmarkStart w:id="0" w:name="_GoBack"/>
      <w:bookmarkEnd w:id="0"/>
      <w:r>
        <w:rPr>
          <w:rFonts w:hint="eastAsia" w:ascii="方正小标宋简体" w:hAnsi="Calibri" w:eastAsia="方正小标宋简体" w:cs="宋体"/>
          <w:color w:val="333333"/>
          <w:kern w:val="0"/>
          <w:sz w:val="44"/>
          <w:szCs w:val="44"/>
        </w:rPr>
        <w:t>区经济和信息化局2022年</w:t>
      </w:r>
    </w:p>
    <w:p>
      <w:pPr>
        <w:widowControl/>
        <w:shd w:val="clear" w:color="auto" w:fill="FFFFFF"/>
        <w:wordWrap w:val="0"/>
        <w:spacing w:line="509" w:lineRule="atLeast"/>
        <w:jc w:val="center"/>
        <w:rPr>
          <w:rFonts w:ascii="Calibri" w:hAnsi="Calibri" w:eastAsia="宋体" w:cs="宋体"/>
          <w:color w:val="333333"/>
          <w:kern w:val="0"/>
          <w:szCs w:val="21"/>
        </w:rPr>
      </w:pPr>
      <w:r>
        <w:rPr>
          <w:rFonts w:hint="eastAsia" w:ascii="方正小标宋简体" w:hAnsi="Calibri" w:eastAsia="方正小标宋简体" w:cs="宋体"/>
          <w:color w:val="333333"/>
          <w:kern w:val="0"/>
          <w:sz w:val="44"/>
          <w:szCs w:val="44"/>
        </w:rPr>
        <w:t>政府信息公开工作年度报告</w:t>
      </w:r>
    </w:p>
    <w:p>
      <w:pPr>
        <w:widowControl/>
        <w:shd w:val="clear" w:color="auto" w:fill="FFFFFF"/>
        <w:wordWrap w:val="0"/>
        <w:spacing w:line="509" w:lineRule="atLeast"/>
        <w:ind w:firstLine="640"/>
        <w:rPr>
          <w:rFonts w:ascii="Calibri" w:hAnsi="Calibri" w:eastAsia="宋体" w:cs="宋体"/>
          <w:color w:val="333333"/>
          <w:kern w:val="0"/>
          <w:szCs w:val="21"/>
        </w:rPr>
      </w:pPr>
      <w:r>
        <w:rPr>
          <w:rFonts w:hint="eastAsia" w:ascii="仿宋" w:hAnsi="仿宋" w:eastAsia="仿宋" w:cs="宋体"/>
          <w:color w:val="333333"/>
          <w:kern w:val="0"/>
          <w:sz w:val="32"/>
          <w:szCs w:val="32"/>
          <w:shd w:val="clear" w:color="auto" w:fill="FFFFFF"/>
        </w:rPr>
        <w:t>依据《中华人民共和国政府信息公开条例》（国务院令第711号）、《国务院办公厅政府信息与政务公开办公室关于印发&lt;中华人民共和国政府信息公开工作年度报告格式&gt;的通知》（国办公开办函〔2021〕30号）、《安徽省政务公开办公室关于做好2022年度政府信息公开工作年度报告编制和数据报送工作的通知》（皖政务办秘〔2023〕1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除特别说明的外，所列数据统计时限为2022年1月1日至2022年12月31日。如对本年度报告有任何疑问，请与相山区经济和信息化局联系（地址：孟山北路89号，邮编：235000；电话：0561-3190551，电子邮箱：xsjxj0561@126.com）。</w:t>
      </w:r>
    </w:p>
    <w:p>
      <w:pPr>
        <w:widowControl/>
        <w:shd w:val="clear" w:color="auto" w:fill="FFFFFF"/>
        <w:wordWrap w:val="0"/>
        <w:spacing w:line="509" w:lineRule="atLeast"/>
        <w:ind w:firstLine="640"/>
        <w:rPr>
          <w:rFonts w:ascii="Calibri" w:hAnsi="Calibri" w:eastAsia="宋体" w:cs="宋体"/>
          <w:color w:val="333333"/>
          <w:kern w:val="0"/>
          <w:szCs w:val="21"/>
        </w:rPr>
      </w:pPr>
      <w:r>
        <w:rPr>
          <w:rFonts w:hint="eastAsia" w:ascii="仿宋" w:hAnsi="仿宋" w:eastAsia="仿宋" w:cs="宋体"/>
          <w:color w:val="333333"/>
          <w:kern w:val="0"/>
          <w:sz w:val="32"/>
          <w:szCs w:val="32"/>
          <w:shd w:val="clear" w:color="auto" w:fill="FFFFFF"/>
        </w:rPr>
        <w:t>一、总体情况</w:t>
      </w:r>
    </w:p>
    <w:p>
      <w:pPr>
        <w:widowControl/>
        <w:shd w:val="clear" w:color="auto" w:fill="FFFFFF"/>
        <w:wordWrap w:val="0"/>
        <w:spacing w:line="509" w:lineRule="atLeast"/>
        <w:ind w:firstLine="640"/>
        <w:rPr>
          <w:rFonts w:ascii="Calibri" w:hAnsi="Calibri" w:eastAsia="宋体" w:cs="宋体"/>
          <w:color w:val="333333"/>
          <w:kern w:val="0"/>
          <w:szCs w:val="21"/>
        </w:rPr>
      </w:pPr>
      <w:r>
        <w:rPr>
          <w:rFonts w:hint="eastAsia" w:ascii="仿宋" w:hAnsi="仿宋" w:eastAsia="仿宋" w:cs="宋体"/>
          <w:color w:val="333333"/>
          <w:kern w:val="0"/>
          <w:sz w:val="32"/>
          <w:szCs w:val="32"/>
          <w:shd w:val="clear" w:color="auto" w:fill="FFFFFF"/>
        </w:rPr>
        <w:t>（一）主动公开情况</w:t>
      </w:r>
    </w:p>
    <w:p>
      <w:pPr>
        <w:widowControl/>
        <w:shd w:val="clear" w:color="auto" w:fill="FFFFFF"/>
        <w:wordWrap w:val="0"/>
        <w:spacing w:line="509" w:lineRule="atLeast"/>
        <w:ind w:firstLine="640"/>
        <w:rPr>
          <w:rFonts w:ascii="Calibri" w:hAnsi="Calibri" w:eastAsia="宋体" w:cs="宋体"/>
          <w:color w:val="333333"/>
          <w:kern w:val="0"/>
          <w:szCs w:val="21"/>
        </w:rPr>
      </w:pPr>
      <w:r>
        <w:rPr>
          <w:rFonts w:hint="eastAsia" w:ascii="仿宋" w:hAnsi="仿宋" w:eastAsia="仿宋" w:cs="宋体"/>
          <w:color w:val="333333"/>
          <w:kern w:val="0"/>
          <w:sz w:val="32"/>
          <w:szCs w:val="32"/>
          <w:shd w:val="clear" w:color="auto" w:fill="FFFFFF"/>
        </w:rPr>
        <w:t>2022年，我局依托区政府信息公开网站共发布信息82条。其中，“领导活动”栏目发布信息19条，占总数的23%；“政策法规”栏目发布信息7条，占总数的8%；“行政权力运行”栏目发布信息12条，占总数的14.6%；“应急管理”栏目发布信息5条；其他栏目中办件情况汇总发布信息39条。解读信息、回应关切发布八条。目前，本机关文件从生成到上网公开平均需要1个工作日，最长需要3个工作日。</w:t>
      </w:r>
    </w:p>
    <w:p>
      <w:pPr>
        <w:widowControl/>
        <w:shd w:val="clear" w:color="auto" w:fill="FFFFFF"/>
        <w:wordWrap w:val="0"/>
        <w:spacing w:line="509" w:lineRule="atLeast"/>
        <w:ind w:firstLine="640"/>
        <w:rPr>
          <w:rFonts w:ascii="Calibri" w:hAnsi="Calibri" w:eastAsia="宋体" w:cs="宋体"/>
          <w:color w:val="333333"/>
          <w:kern w:val="0"/>
          <w:szCs w:val="21"/>
        </w:rPr>
      </w:pPr>
      <w:r>
        <w:rPr>
          <w:rFonts w:hint="eastAsia" w:ascii="仿宋" w:hAnsi="仿宋" w:eastAsia="仿宋" w:cs="宋体"/>
          <w:color w:val="333333"/>
          <w:kern w:val="0"/>
          <w:sz w:val="32"/>
          <w:szCs w:val="32"/>
          <w:shd w:val="clear" w:color="auto" w:fill="FFFFFF"/>
        </w:rPr>
        <w:t>（二）依申请公开情况</w:t>
      </w:r>
    </w:p>
    <w:p>
      <w:pPr>
        <w:widowControl/>
        <w:shd w:val="clear" w:color="auto" w:fill="FFFFFF"/>
        <w:wordWrap w:val="0"/>
        <w:spacing w:line="509" w:lineRule="atLeast"/>
        <w:ind w:firstLine="640"/>
        <w:rPr>
          <w:rFonts w:ascii="Calibri" w:hAnsi="Calibri" w:eastAsia="宋体" w:cs="宋体"/>
          <w:color w:val="333333"/>
          <w:kern w:val="0"/>
          <w:szCs w:val="21"/>
        </w:rPr>
      </w:pPr>
      <w:r>
        <w:rPr>
          <w:rFonts w:hint="eastAsia" w:ascii="仿宋" w:hAnsi="仿宋" w:eastAsia="仿宋" w:cs="宋体"/>
          <w:color w:val="333333"/>
          <w:kern w:val="0"/>
          <w:sz w:val="32"/>
          <w:szCs w:val="32"/>
          <w:shd w:val="clear" w:color="auto" w:fill="FFFFFF"/>
        </w:rPr>
        <w:t>根据《相山区经济和信息化局依申请公开制度》等文件要求，我局在区政府网站设置了“政府信息公开指南”和“依申请公开”专栏，按规定程序受理、审核、处理和答复。2022年度共受理依申请公开0件。</w:t>
      </w:r>
    </w:p>
    <w:p>
      <w:pPr>
        <w:widowControl/>
        <w:shd w:val="clear" w:color="auto" w:fill="FFFFFF"/>
        <w:wordWrap w:val="0"/>
        <w:spacing w:line="509" w:lineRule="atLeast"/>
        <w:ind w:firstLine="640"/>
        <w:rPr>
          <w:rFonts w:ascii="Calibri" w:hAnsi="Calibri" w:eastAsia="宋体" w:cs="宋体"/>
          <w:color w:val="333333"/>
          <w:kern w:val="0"/>
          <w:szCs w:val="21"/>
        </w:rPr>
      </w:pPr>
      <w:r>
        <w:rPr>
          <w:rFonts w:hint="eastAsia" w:ascii="仿宋" w:hAnsi="仿宋" w:eastAsia="仿宋" w:cs="宋体"/>
          <w:color w:val="333333"/>
          <w:kern w:val="0"/>
          <w:sz w:val="32"/>
          <w:szCs w:val="32"/>
          <w:shd w:val="clear" w:color="auto" w:fill="FFFFFF"/>
        </w:rPr>
        <w:t>（三）政府信息管理</w:t>
      </w:r>
    </w:p>
    <w:p>
      <w:pPr>
        <w:widowControl/>
        <w:shd w:val="clear" w:color="auto" w:fill="FFFFFF"/>
        <w:wordWrap w:val="0"/>
        <w:spacing w:line="509" w:lineRule="atLeast"/>
        <w:ind w:firstLine="640"/>
        <w:rPr>
          <w:rFonts w:hint="eastAsia" w:ascii="仿宋_GB2312" w:eastAsia="仿宋_GB2312"/>
          <w:color w:val="333333"/>
          <w:sz w:val="32"/>
          <w:szCs w:val="32"/>
          <w:shd w:val="clear" w:color="auto" w:fill="FFFFFF"/>
        </w:rPr>
      </w:pPr>
      <w:r>
        <w:rPr>
          <w:rFonts w:hint="eastAsia" w:ascii="仿宋" w:hAnsi="仿宋" w:eastAsia="仿宋" w:cs="宋体"/>
          <w:color w:val="333333"/>
          <w:kern w:val="0"/>
          <w:sz w:val="32"/>
          <w:szCs w:val="32"/>
          <w:shd w:val="clear" w:color="auto" w:fill="FFFFFF"/>
        </w:rPr>
        <w:t>一、严格落实“先审查后公开”和“一事一审”信息发布审核制度，对主动公开的信息依法实行“多人核验、逐级把关”的保密审查，确保涉密信息不公开、公开信息不涉密。二、</w:t>
      </w:r>
      <w:r>
        <w:rPr>
          <w:rFonts w:hint="eastAsia" w:ascii="仿宋_GB2312" w:eastAsia="仿宋_GB2312"/>
          <w:color w:val="333333"/>
          <w:sz w:val="32"/>
          <w:szCs w:val="32"/>
          <w:shd w:val="clear" w:color="auto" w:fill="FFFFFF"/>
        </w:rPr>
        <w:t>根据上级要求优化栏目设置，认真做好政策解读、舆情回应和公开平台建设，落实信息公开的各项要求，做好牵头协调工作。通过政务公开信息将各项重点工作办理依据、过程和结果向社会广泛公开，同时，及时更新信息，准确回应社会关切，有效保障政府信息公开的安全性和实效性。</w:t>
      </w:r>
    </w:p>
    <w:p>
      <w:pPr>
        <w:widowControl/>
        <w:shd w:val="clear" w:color="auto" w:fill="FFFFFF"/>
        <w:wordWrap w:val="0"/>
        <w:spacing w:line="509" w:lineRule="atLeast"/>
        <w:ind w:firstLine="640"/>
        <w:rPr>
          <w:rFonts w:ascii="Calibri" w:hAnsi="Calibri" w:eastAsia="宋体" w:cs="宋体"/>
          <w:color w:val="333333"/>
          <w:kern w:val="0"/>
          <w:szCs w:val="21"/>
        </w:rPr>
      </w:pPr>
      <w:r>
        <w:rPr>
          <w:rFonts w:hint="eastAsia" w:ascii="仿宋" w:hAnsi="仿宋" w:eastAsia="仿宋" w:cs="宋体"/>
          <w:color w:val="333333"/>
          <w:kern w:val="0"/>
          <w:sz w:val="32"/>
          <w:szCs w:val="32"/>
          <w:shd w:val="clear" w:color="auto" w:fill="FFFFFF"/>
        </w:rPr>
        <w:t>（四）政府信息公开平台建设</w:t>
      </w:r>
    </w:p>
    <w:p>
      <w:pPr>
        <w:widowControl/>
        <w:shd w:val="clear" w:color="auto" w:fill="FFFFFF"/>
        <w:wordWrap w:val="0"/>
        <w:spacing w:line="509" w:lineRule="atLeast"/>
        <w:ind w:firstLine="640"/>
        <w:rPr>
          <w:rFonts w:ascii="Calibri" w:hAnsi="Calibri" w:eastAsia="宋体" w:cs="宋体"/>
          <w:color w:val="333333"/>
          <w:kern w:val="0"/>
          <w:szCs w:val="21"/>
        </w:rPr>
      </w:pPr>
      <w:r>
        <w:rPr>
          <w:rFonts w:hint="eastAsia" w:ascii="仿宋" w:hAnsi="仿宋" w:eastAsia="仿宋" w:cs="宋体"/>
          <w:color w:val="333333"/>
          <w:kern w:val="0"/>
          <w:sz w:val="32"/>
          <w:szCs w:val="32"/>
          <w:shd w:val="clear" w:color="auto" w:fill="FFFFFF"/>
        </w:rPr>
        <w:t>相山区经济和信息化局加强政务公开工作的落实，保证信息公开的及时高效，加强组织领导，各部门对应栏目专人专干，通过开展培训和“传帮带”，确保局政务公开工作专职人员和兼职人员均熟悉政务公开网站操作流程和工作程序，重要信息领导审核后发布，力求政务公开工作保质保量。同时围绕局年度重点工作，主动向淮北市经信局和兄弟城区政务公开工作人员请教，保持正向沟通，积极向区政务公开办申请协调，合理设置和调整信息公开栏目。2022年全年，我局平台运行情况良好，未出现任何不良情况。</w:t>
      </w:r>
    </w:p>
    <w:p>
      <w:pPr>
        <w:widowControl/>
        <w:shd w:val="clear" w:color="auto" w:fill="FFFFFF"/>
        <w:wordWrap w:val="0"/>
        <w:spacing w:line="509" w:lineRule="atLeast"/>
        <w:ind w:firstLine="640"/>
        <w:rPr>
          <w:rFonts w:ascii="Calibri" w:hAnsi="Calibri" w:eastAsia="宋体" w:cs="宋体"/>
          <w:color w:val="333333"/>
          <w:kern w:val="0"/>
          <w:szCs w:val="21"/>
        </w:rPr>
      </w:pPr>
      <w:r>
        <w:rPr>
          <w:rFonts w:hint="eastAsia" w:ascii="仿宋" w:hAnsi="仿宋" w:eastAsia="仿宋" w:cs="宋体"/>
          <w:color w:val="333333"/>
          <w:kern w:val="0"/>
          <w:sz w:val="32"/>
          <w:szCs w:val="32"/>
          <w:shd w:val="clear" w:color="auto" w:fill="FFFFFF"/>
        </w:rPr>
        <w:t>（五）监督保障</w:t>
      </w:r>
    </w:p>
    <w:p>
      <w:pPr>
        <w:widowControl/>
        <w:shd w:val="clear" w:color="auto" w:fill="FFFFFF"/>
        <w:wordWrap w:val="0"/>
        <w:spacing w:line="509" w:lineRule="atLeast"/>
        <w:ind w:firstLine="640"/>
        <w:rPr>
          <w:rFonts w:ascii="Calibri" w:hAnsi="Calibri" w:eastAsia="宋体" w:cs="宋体"/>
          <w:color w:val="333333"/>
          <w:kern w:val="0"/>
          <w:szCs w:val="21"/>
        </w:rPr>
      </w:pPr>
      <w:r>
        <w:rPr>
          <w:rFonts w:hint="eastAsia" w:ascii="仿宋" w:hAnsi="仿宋" w:eastAsia="仿宋" w:cs="宋体"/>
          <w:color w:val="333333"/>
          <w:kern w:val="0"/>
          <w:sz w:val="32"/>
          <w:szCs w:val="32"/>
          <w:shd w:val="clear" w:color="auto" w:fill="FFFFFF"/>
        </w:rPr>
        <w:t>一是认真执行信息发布审核机制、依申请公开办理机制等制度，修订完善《政务信息公开管理制度》《统计信息管理制度》《网站管理制度》等规定，建立突发事件应急处理机制及舆情工作机制，全面落实监督岗位责任，强化信息公开的审核、发布力度，提升发布信息的真实性、合法性、完整性和有效性。二是细化任务分解。相山区经济和信息化局年初按照政务公开考评方案和考核细则，对标对表，任务细化到具体经办人，明确各栏目更新时限，有力保障了政府信息公开的高质量、高效率。三是加强反馈整改。对区政务公开办每季度通报反馈的问题，逐条逐项进行梳理研究，明确整改“时间表”和“路线图”，迅速落实、迅速整改到位，同时向相关部门反馈整改结果，确保任务布置有回音。加强日常管理和定期考评工作。</w:t>
      </w:r>
    </w:p>
    <w:p>
      <w:pPr>
        <w:widowControl/>
        <w:shd w:val="clear" w:color="auto" w:fill="FFFFFF"/>
        <w:wordWrap w:val="0"/>
        <w:spacing w:line="509" w:lineRule="atLeast"/>
        <w:ind w:firstLine="640"/>
        <w:rPr>
          <w:rFonts w:ascii="Calibri" w:hAnsi="Calibri" w:eastAsia="宋体" w:cs="宋体"/>
          <w:color w:val="333333"/>
          <w:kern w:val="0"/>
          <w:szCs w:val="21"/>
        </w:rPr>
      </w:pPr>
      <w:r>
        <w:rPr>
          <w:rFonts w:hint="eastAsia" w:ascii="黑体" w:hAnsi="黑体" w:eastAsia="黑体" w:cs="宋体"/>
          <w:color w:val="333333"/>
          <w:kern w:val="0"/>
          <w:sz w:val="32"/>
          <w:szCs w:val="32"/>
          <w:shd w:val="clear" w:color="auto" w:fill="FFFFFF"/>
        </w:rPr>
        <w:t>二、主动公开政府信息情况</w:t>
      </w:r>
    </w:p>
    <w:tbl>
      <w:tblPr>
        <w:tblStyle w:val="3"/>
        <w:tblW w:w="9740" w:type="dxa"/>
        <w:tblInd w:w="-703" w:type="dxa"/>
        <w:shd w:val="clear" w:color="auto" w:fill="FFFFFF"/>
        <w:tblLayout w:type="autofit"/>
        <w:tblCellMar>
          <w:top w:w="0" w:type="dxa"/>
          <w:left w:w="0" w:type="dxa"/>
          <w:bottom w:w="0" w:type="dxa"/>
          <w:right w:w="0" w:type="dxa"/>
        </w:tblCellMar>
      </w:tblPr>
      <w:tblGrid>
        <w:gridCol w:w="2435"/>
        <w:gridCol w:w="2435"/>
        <w:gridCol w:w="2435"/>
        <w:gridCol w:w="2435"/>
      </w:tblGrid>
      <w:tr>
        <w:tblPrEx>
          <w:shd w:val="clear" w:color="auto" w:fill="FFFFFF"/>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信息内容</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本年</w:t>
            </w:r>
            <w:r>
              <w:rPr>
                <w:rFonts w:hint="eastAsia" w:ascii="宋体" w:hAnsi="宋体" w:eastAsia="宋体" w:cs="宋体"/>
                <w:color w:val="333333"/>
                <w:kern w:val="0"/>
                <w:sz w:val="20"/>
                <w:szCs w:val="20"/>
              </w:rPr>
              <w:t>制发件数</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本年废止件数</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现行有效件</w:t>
            </w:r>
            <w:r>
              <w:rPr>
                <w:rFonts w:hint="eastAsia" w:ascii="宋体" w:hAnsi="宋体" w:eastAsia="宋体" w:cs="宋体"/>
                <w:color w:val="333333"/>
                <w:kern w:val="0"/>
                <w:sz w:val="20"/>
                <w:szCs w:val="20"/>
              </w:rPr>
              <w:t>数</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0"/>
                <w:szCs w:val="20"/>
              </w:rPr>
              <w:t>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0"/>
                <w:szCs w:val="20"/>
              </w:rPr>
              <w:t>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ascii="Calibri" w:hAnsi="Calibri" w:eastAsia="宋体" w:cs="宋体"/>
                <w:color w:val="333333"/>
                <w:kern w:val="0"/>
                <w:szCs w:val="21"/>
              </w:rPr>
              <w:t> 0</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0"/>
                <w:szCs w:val="20"/>
              </w:rPr>
              <w:t>0　　</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0"/>
                <w:szCs w:val="20"/>
              </w:rPr>
              <w:t>0 　</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ascii="Calibri" w:hAnsi="Calibri" w:eastAsia="宋体" w:cs="宋体"/>
                <w:color w:val="333333"/>
                <w:kern w:val="0"/>
                <w:szCs w:val="21"/>
              </w:rPr>
              <w:t> 0</w:t>
            </w:r>
          </w:p>
        </w:tc>
      </w:tr>
      <w:tr>
        <w:tblPrEx>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ascii="Calibri" w:hAnsi="Calibri" w:eastAsia="宋体" w:cs="宋体"/>
                <w:color w:val="333333"/>
                <w:kern w:val="0"/>
                <w:szCs w:val="21"/>
              </w:rPr>
              <w:t> 0</w:t>
            </w:r>
          </w:p>
        </w:tc>
      </w:tr>
      <w:tr>
        <w:tblPrEx>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FFFFFF"/>
            <w:tcMar>
              <w:top w:w="0" w:type="dxa"/>
              <w:left w:w="57" w:type="dxa"/>
              <w:bottom w:w="0" w:type="dxa"/>
              <w:right w:w="57" w:type="dxa"/>
            </w:tcMar>
            <w:vAlign w:val="center"/>
          </w:tcPr>
          <w:p>
            <w:pPr>
              <w:widowControl/>
              <w:rPr>
                <w:rFonts w:ascii="Calibri" w:hAnsi="Calibri" w:eastAsia="宋体" w:cs="宋体"/>
                <w:kern w:val="0"/>
                <w:szCs w:val="21"/>
              </w:rPr>
            </w:pPr>
            <w:r>
              <w:rPr>
                <w:rFonts w:hint="eastAsia" w:ascii="宋体" w:hAnsi="宋体" w:eastAsia="宋体" w:cs="宋体"/>
                <w:color w:val="333333"/>
                <w:kern w:val="0"/>
                <w:sz w:val="24"/>
                <w:szCs w:val="24"/>
              </w:rPr>
              <w:t>0</w:t>
            </w:r>
          </w:p>
        </w:tc>
      </w:tr>
    </w:tbl>
    <w:p>
      <w:pPr>
        <w:widowControl/>
        <w:shd w:val="clear" w:color="auto" w:fill="FFFFFF"/>
        <w:wordWrap w:val="0"/>
        <w:spacing w:line="509" w:lineRule="atLeast"/>
        <w:rPr>
          <w:rFonts w:ascii="Calibri" w:hAnsi="Calibri" w:eastAsia="宋体" w:cs="宋体"/>
          <w:color w:val="333333"/>
          <w:kern w:val="0"/>
          <w:szCs w:val="21"/>
        </w:rPr>
      </w:pPr>
      <w:r>
        <w:rPr>
          <w:rFonts w:ascii="Calibri" w:hAnsi="Calibri" w:eastAsia="宋体" w:cs="宋体"/>
          <w:color w:val="333333"/>
          <w:kern w:val="0"/>
          <w:szCs w:val="21"/>
        </w:rPr>
        <w:t> </w:t>
      </w:r>
    </w:p>
    <w:p>
      <w:pPr>
        <w:widowControl/>
        <w:shd w:val="clear" w:color="auto" w:fill="FFFFFF"/>
        <w:wordWrap w:val="0"/>
        <w:spacing w:line="509" w:lineRule="atLeast"/>
        <w:ind w:firstLine="640"/>
        <w:rPr>
          <w:rFonts w:ascii="Calibri" w:hAnsi="Calibri" w:eastAsia="宋体" w:cs="宋体"/>
          <w:color w:val="333333"/>
          <w:kern w:val="0"/>
          <w:szCs w:val="21"/>
        </w:rPr>
      </w:pPr>
      <w:r>
        <w:rPr>
          <w:rFonts w:hint="eastAsia" w:ascii="黑体" w:hAnsi="黑体" w:eastAsia="黑体" w:cs="宋体"/>
          <w:color w:val="333333"/>
          <w:kern w:val="0"/>
          <w:sz w:val="32"/>
          <w:szCs w:val="32"/>
          <w:shd w:val="clear" w:color="auto" w:fill="FFFFFF"/>
        </w:rPr>
        <w:t>三、收到和处理政府信息公开申请情况</w:t>
      </w:r>
    </w:p>
    <w:tbl>
      <w:tblPr>
        <w:tblStyle w:val="3"/>
        <w:tblW w:w="10867" w:type="dxa"/>
        <w:jc w:val="center"/>
        <w:shd w:val="clear" w:color="auto" w:fill="FFFFFF"/>
        <w:tblLayout w:type="autofit"/>
        <w:tblCellMar>
          <w:top w:w="0" w:type="dxa"/>
          <w:left w:w="0" w:type="dxa"/>
          <w:bottom w:w="0" w:type="dxa"/>
          <w:right w:w="0" w:type="dxa"/>
        </w:tblCellMar>
      </w:tblPr>
      <w:tblGrid>
        <w:gridCol w:w="797"/>
        <w:gridCol w:w="1034"/>
        <w:gridCol w:w="3357"/>
        <w:gridCol w:w="762"/>
        <w:gridCol w:w="762"/>
        <w:gridCol w:w="779"/>
        <w:gridCol w:w="779"/>
        <w:gridCol w:w="779"/>
        <w:gridCol w:w="866"/>
        <w:gridCol w:w="952"/>
      </w:tblGrid>
      <w:tr>
        <w:tblPrEx>
          <w:shd w:val="clear" w:color="auto" w:fill="FFFFFF"/>
          <w:tblCellMar>
            <w:top w:w="0" w:type="dxa"/>
            <w:left w:w="0" w:type="dxa"/>
            <w:bottom w:w="0" w:type="dxa"/>
            <w:right w:w="0" w:type="dxa"/>
          </w:tblCellMar>
        </w:tblPrEx>
        <w:trPr>
          <w:trHeight w:val="268" w:hRule="atLeast"/>
          <w:jc w:val="center"/>
        </w:trPr>
        <w:tc>
          <w:tcPr>
            <w:tcW w:w="4990" w:type="dxa"/>
            <w:gridSpan w:val="3"/>
            <w:vMerge w:val="restart"/>
            <w:tcBorders>
              <w:top w:val="single" w:color="auto" w:sz="8" w:space="0"/>
              <w:left w:val="single" w:color="auto" w:sz="8" w:space="0"/>
              <w:bottom w:val="outset"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楷体" w:hAnsi="楷体" w:eastAsia="楷体" w:cs="宋体"/>
                <w:color w:val="333333"/>
                <w:kern w:val="0"/>
                <w:sz w:val="20"/>
                <w:szCs w:val="20"/>
              </w:rPr>
              <w:t>（本列数据的勾稽关系为：第一项加第二项之和，等于第三项加第四项之和）</w:t>
            </w:r>
          </w:p>
        </w:tc>
        <w:tc>
          <w:tcPr>
            <w:tcW w:w="5526" w:type="dxa"/>
            <w:gridSpan w:val="7"/>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333333"/>
                <w:kern w:val="0"/>
                <w:sz w:val="20"/>
                <w:szCs w:val="20"/>
              </w:rPr>
              <w:t>申请人情况</w:t>
            </w:r>
          </w:p>
        </w:tc>
      </w:tr>
      <w:tr>
        <w:tblPrEx>
          <w:tblCellMar>
            <w:top w:w="0" w:type="dxa"/>
            <w:left w:w="0" w:type="dxa"/>
            <w:bottom w:w="0" w:type="dxa"/>
            <w:right w:w="0" w:type="dxa"/>
          </w:tblCellMar>
        </w:tblPrEx>
        <w:trPr>
          <w:trHeight w:val="268" w:hRule="atLeast"/>
          <w:jc w:val="center"/>
        </w:trPr>
        <w:tc>
          <w:tcPr>
            <w:tcW w:w="0" w:type="auto"/>
            <w:gridSpan w:val="3"/>
            <w:vMerge w:val="continue"/>
            <w:tcBorders>
              <w:top w:val="single" w:color="auto" w:sz="8" w:space="0"/>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703" w:type="dxa"/>
            <w:vMerge w:val="restar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333333"/>
                <w:kern w:val="0"/>
                <w:sz w:val="20"/>
                <w:szCs w:val="20"/>
              </w:rPr>
              <w:t>自然人</w:t>
            </w:r>
          </w:p>
        </w:tc>
        <w:tc>
          <w:tcPr>
            <w:tcW w:w="3918" w:type="dxa"/>
            <w:gridSpan w:val="5"/>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333333"/>
                <w:kern w:val="0"/>
                <w:sz w:val="20"/>
                <w:szCs w:val="20"/>
              </w:rPr>
              <w:t>法人或其他组织</w:t>
            </w:r>
          </w:p>
        </w:tc>
        <w:tc>
          <w:tcPr>
            <w:tcW w:w="703" w:type="dxa"/>
            <w:vMerge w:val="restar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333333"/>
                <w:kern w:val="0"/>
                <w:sz w:val="20"/>
                <w:szCs w:val="20"/>
              </w:rPr>
              <w:t>总计</w:t>
            </w:r>
          </w:p>
        </w:tc>
      </w:tr>
      <w:tr>
        <w:tblPrEx>
          <w:tblCellMar>
            <w:top w:w="0" w:type="dxa"/>
            <w:left w:w="0" w:type="dxa"/>
            <w:bottom w:w="0" w:type="dxa"/>
            <w:right w:w="0" w:type="dxa"/>
          </w:tblCellMar>
        </w:tblPrEx>
        <w:trPr>
          <w:trHeight w:val="770" w:hRule="atLeast"/>
          <w:jc w:val="center"/>
        </w:trPr>
        <w:tc>
          <w:tcPr>
            <w:tcW w:w="0" w:type="auto"/>
            <w:gridSpan w:val="3"/>
            <w:vMerge w:val="continue"/>
            <w:tcBorders>
              <w:top w:val="single" w:color="auto" w:sz="8" w:space="0"/>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333333"/>
                <w:kern w:val="0"/>
                <w:sz w:val="20"/>
                <w:szCs w:val="20"/>
              </w:rPr>
              <w:t>商业</w:t>
            </w:r>
          </w:p>
          <w:p>
            <w:pPr>
              <w:widowControl/>
              <w:jc w:val="center"/>
              <w:rPr>
                <w:rFonts w:ascii="Calibri" w:hAnsi="Calibri" w:eastAsia="宋体" w:cs="宋体"/>
                <w:kern w:val="0"/>
                <w:szCs w:val="21"/>
              </w:rPr>
            </w:pPr>
            <w:r>
              <w:rPr>
                <w:rFonts w:hint="eastAsia" w:ascii="宋体" w:hAnsi="宋体" w:eastAsia="宋体" w:cs="宋体"/>
                <w:color w:val="333333"/>
                <w:kern w:val="0"/>
                <w:sz w:val="20"/>
                <w:szCs w:val="20"/>
              </w:rPr>
              <w:t>企业</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333333"/>
                <w:kern w:val="0"/>
                <w:sz w:val="20"/>
                <w:szCs w:val="20"/>
              </w:rPr>
              <w:t>科研</w:t>
            </w:r>
          </w:p>
          <w:p>
            <w:pPr>
              <w:widowControl/>
              <w:jc w:val="center"/>
              <w:rPr>
                <w:rFonts w:ascii="Calibri" w:hAnsi="Calibri" w:eastAsia="宋体" w:cs="宋体"/>
                <w:kern w:val="0"/>
                <w:szCs w:val="21"/>
              </w:rPr>
            </w:pPr>
            <w:r>
              <w:rPr>
                <w:rFonts w:hint="eastAsia" w:ascii="宋体" w:hAnsi="宋体" w:eastAsia="宋体" w:cs="宋体"/>
                <w:color w:val="333333"/>
                <w:kern w:val="0"/>
                <w:sz w:val="20"/>
                <w:szCs w:val="20"/>
              </w:rPr>
              <w:t>机构</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333333"/>
                <w:kern w:val="0"/>
                <w:sz w:val="20"/>
                <w:szCs w:val="20"/>
              </w:rPr>
              <w:t>社会公益组织</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333333"/>
                <w:kern w:val="0"/>
                <w:sz w:val="20"/>
                <w:szCs w:val="20"/>
              </w:rPr>
              <w:t>法律服务机构</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hint="eastAsia" w:ascii="宋体" w:hAnsi="宋体" w:eastAsia="宋体" w:cs="宋体"/>
                <w:color w:val="333333"/>
                <w:kern w:val="0"/>
                <w:sz w:val="20"/>
                <w:szCs w:val="20"/>
              </w:rPr>
              <w:t>其他</w:t>
            </w:r>
          </w:p>
        </w:tc>
        <w:tc>
          <w:tcPr>
            <w:tcW w:w="0" w:type="auto"/>
            <w:vMerge w:val="continue"/>
            <w:tcBorders>
              <w:top w:val="nil"/>
              <w:left w:val="nil"/>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r>
      <w:tr>
        <w:tblPrEx>
          <w:tblCellMar>
            <w:top w:w="0" w:type="dxa"/>
            <w:left w:w="0" w:type="dxa"/>
            <w:bottom w:w="0" w:type="dxa"/>
            <w:right w:w="0" w:type="dxa"/>
          </w:tblCellMar>
        </w:tblPrEx>
        <w:trPr>
          <w:trHeight w:val="301" w:hRule="atLeast"/>
          <w:jc w:val="center"/>
        </w:trPr>
        <w:tc>
          <w:tcPr>
            <w:tcW w:w="5124" w:type="dxa"/>
            <w:gridSpan w:val="3"/>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一、本年新收政府信息公开申请数量</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301" w:hRule="atLeast"/>
          <w:jc w:val="center"/>
        </w:trPr>
        <w:tc>
          <w:tcPr>
            <w:tcW w:w="5124" w:type="dxa"/>
            <w:gridSpan w:val="3"/>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二、上年结转政府信息公开申请数量</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301" w:hRule="atLeast"/>
          <w:jc w:val="center"/>
        </w:trPr>
        <w:tc>
          <w:tcPr>
            <w:tcW w:w="787" w:type="dxa"/>
            <w:vMerge w:val="restart"/>
            <w:tcBorders>
              <w:top w:val="nil"/>
              <w:left w:val="single" w:color="auto" w:sz="8" w:space="0"/>
              <w:bottom w:val="outset"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三、本年度办理结果</w:t>
            </w:r>
          </w:p>
        </w:tc>
        <w:tc>
          <w:tcPr>
            <w:tcW w:w="4220" w:type="dxa"/>
            <w:gridSpan w:val="2"/>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（一）予以公开</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r>
      <w:tr>
        <w:tblPrEx>
          <w:tblCellMar>
            <w:top w:w="0" w:type="dxa"/>
            <w:left w:w="0" w:type="dxa"/>
            <w:bottom w:w="0" w:type="dxa"/>
            <w:right w:w="0" w:type="dxa"/>
          </w:tblCellMar>
        </w:tblPrEx>
        <w:trPr>
          <w:trHeight w:val="519"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4220" w:type="dxa"/>
            <w:gridSpan w:val="2"/>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（二）部分公开</w:t>
            </w:r>
            <w:r>
              <w:rPr>
                <w:rFonts w:hint="eastAsia" w:ascii="楷体" w:hAnsi="楷体" w:eastAsia="楷体" w:cs="宋体"/>
                <w:color w:val="333333"/>
                <w:kern w:val="0"/>
                <w:sz w:val="20"/>
                <w:szCs w:val="20"/>
              </w:rPr>
              <w:t>（区分处理的，只计这一情形，不计其他情形）</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301"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1021" w:type="dxa"/>
            <w:vMerge w:val="restar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（三）不予公开</w:t>
            </w:r>
          </w:p>
        </w:tc>
        <w:tc>
          <w:tcPr>
            <w:tcW w:w="3098"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1.属于国家秘密</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519"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0" w:type="auto"/>
            <w:vMerge w:val="continue"/>
            <w:tcBorders>
              <w:top w:val="nil"/>
              <w:left w:val="nil"/>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3098"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2.其他法律行政法规禁止公开</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301"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0" w:type="auto"/>
            <w:vMerge w:val="continue"/>
            <w:tcBorders>
              <w:top w:val="nil"/>
              <w:left w:val="nil"/>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3098"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3.危及“三安全一稳定”</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301"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0" w:type="auto"/>
            <w:vMerge w:val="continue"/>
            <w:tcBorders>
              <w:top w:val="nil"/>
              <w:left w:val="nil"/>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3098"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4.保护第三方合法权益</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301"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0" w:type="auto"/>
            <w:vMerge w:val="continue"/>
            <w:tcBorders>
              <w:top w:val="nil"/>
              <w:left w:val="nil"/>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3098"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5.属于三类内部事务信息</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301"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0" w:type="auto"/>
            <w:vMerge w:val="continue"/>
            <w:tcBorders>
              <w:top w:val="nil"/>
              <w:left w:val="nil"/>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3098"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6.属于四类过程性信息</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301"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0" w:type="auto"/>
            <w:vMerge w:val="continue"/>
            <w:tcBorders>
              <w:top w:val="nil"/>
              <w:left w:val="nil"/>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3098"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7.属于行政执法案卷</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301"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0" w:type="auto"/>
            <w:vMerge w:val="continue"/>
            <w:tcBorders>
              <w:top w:val="nil"/>
              <w:left w:val="nil"/>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3098"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8.属于行政查询事项</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r>
      <w:tr>
        <w:tblPrEx>
          <w:tblCellMar>
            <w:top w:w="0" w:type="dxa"/>
            <w:left w:w="0" w:type="dxa"/>
            <w:bottom w:w="0" w:type="dxa"/>
            <w:right w:w="0" w:type="dxa"/>
          </w:tblCellMar>
        </w:tblPrEx>
        <w:trPr>
          <w:trHeight w:val="519"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1021" w:type="dxa"/>
            <w:vMerge w:val="restar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（四）无法提供</w:t>
            </w:r>
          </w:p>
        </w:tc>
        <w:tc>
          <w:tcPr>
            <w:tcW w:w="3098"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1.本机关不掌握相关政府信息</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519"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0" w:type="auto"/>
            <w:vMerge w:val="continue"/>
            <w:tcBorders>
              <w:top w:val="nil"/>
              <w:left w:val="nil"/>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3098"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2.没有现成信息需要另行制作</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301"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0" w:type="auto"/>
            <w:vMerge w:val="continue"/>
            <w:tcBorders>
              <w:top w:val="nil"/>
              <w:left w:val="nil"/>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3098"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3.补正后申请内容仍不明确</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r>
      <w:tr>
        <w:tblPrEx>
          <w:tblCellMar>
            <w:top w:w="0" w:type="dxa"/>
            <w:left w:w="0" w:type="dxa"/>
            <w:bottom w:w="0" w:type="dxa"/>
            <w:right w:w="0" w:type="dxa"/>
          </w:tblCellMar>
        </w:tblPrEx>
        <w:trPr>
          <w:trHeight w:val="301"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1021" w:type="dxa"/>
            <w:vMerge w:val="restar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（五）不予处理</w:t>
            </w:r>
          </w:p>
        </w:tc>
        <w:tc>
          <w:tcPr>
            <w:tcW w:w="3098"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1.信访举报投诉类申请</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301"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0" w:type="auto"/>
            <w:vMerge w:val="continue"/>
            <w:tcBorders>
              <w:top w:val="nil"/>
              <w:left w:val="nil"/>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3098"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2.重复申请</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r>
      <w:tr>
        <w:tblPrEx>
          <w:tblCellMar>
            <w:top w:w="0" w:type="dxa"/>
            <w:left w:w="0" w:type="dxa"/>
            <w:bottom w:w="0" w:type="dxa"/>
            <w:right w:w="0" w:type="dxa"/>
          </w:tblCellMar>
        </w:tblPrEx>
        <w:trPr>
          <w:trHeight w:val="301"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0" w:type="auto"/>
            <w:vMerge w:val="continue"/>
            <w:tcBorders>
              <w:top w:val="nil"/>
              <w:left w:val="nil"/>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3098"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3.要求提供公开出版物</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r>
      <w:tr>
        <w:tblPrEx>
          <w:tblCellMar>
            <w:top w:w="0" w:type="dxa"/>
            <w:left w:w="0" w:type="dxa"/>
            <w:bottom w:w="0" w:type="dxa"/>
            <w:right w:w="0" w:type="dxa"/>
          </w:tblCellMar>
        </w:tblPrEx>
        <w:trPr>
          <w:trHeight w:val="301"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0" w:type="auto"/>
            <w:vMerge w:val="continue"/>
            <w:tcBorders>
              <w:top w:val="nil"/>
              <w:left w:val="nil"/>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3098"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4.无正当理由大量反复申请</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871"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0" w:type="auto"/>
            <w:vMerge w:val="continue"/>
            <w:tcBorders>
              <w:top w:val="nil"/>
              <w:left w:val="nil"/>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309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widowControl/>
              <w:rPr>
                <w:rFonts w:ascii="Calibri" w:hAnsi="Calibri" w:eastAsia="宋体" w:cs="宋体"/>
                <w:kern w:val="0"/>
                <w:szCs w:val="21"/>
              </w:rPr>
            </w:pPr>
            <w:r>
              <w:rPr>
                <w:rFonts w:hint="eastAsia" w:ascii="宋体" w:hAnsi="宋体" w:eastAsia="宋体" w:cs="宋体"/>
                <w:color w:val="333333"/>
                <w:kern w:val="0"/>
                <w:sz w:val="20"/>
                <w:szCs w:val="20"/>
              </w:rPr>
              <w:t>5.要求行政机关确认或重新出具已获取信息</w:t>
            </w:r>
          </w:p>
        </w:tc>
        <w:tc>
          <w:tcPr>
            <w:tcW w:w="703" w:type="dxa"/>
            <w:tcBorders>
              <w:top w:val="nil"/>
              <w:left w:val="nil"/>
              <w:bottom w:val="outset"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outset"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03" w:type="dxa"/>
            <w:tcBorders>
              <w:top w:val="nil"/>
              <w:left w:val="nil"/>
              <w:bottom w:val="outset"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outset"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outset"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outset"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outset"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770"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1021" w:type="dxa"/>
            <w:vMerge w:val="restart"/>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（六）其他处理</w:t>
            </w:r>
          </w:p>
        </w:tc>
        <w:tc>
          <w:tcPr>
            <w:tcW w:w="31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rPr>
                <w:rFonts w:ascii="Calibri" w:hAnsi="Calibri" w:eastAsia="宋体" w:cs="宋体"/>
                <w:kern w:val="0"/>
                <w:szCs w:val="21"/>
              </w:rPr>
            </w:pPr>
            <w:r>
              <w:rPr>
                <w:rFonts w:hint="eastAsia" w:ascii="宋体" w:hAnsi="宋体" w:eastAsia="宋体" w:cs="宋体"/>
                <w:color w:val="333333"/>
                <w:kern w:val="0"/>
                <w:sz w:val="20"/>
                <w:szCs w:val="20"/>
              </w:rPr>
              <w:t>1.申请人无正当理由逾期不补正、行政机关不再处理其政府信息公开申请</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r>
      <w:tr>
        <w:tblPrEx>
          <w:tblCellMar>
            <w:top w:w="0" w:type="dxa"/>
            <w:left w:w="0" w:type="dxa"/>
            <w:bottom w:w="0" w:type="dxa"/>
            <w:right w:w="0" w:type="dxa"/>
          </w:tblCellMar>
        </w:tblPrEx>
        <w:trPr>
          <w:trHeight w:val="770"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0" w:type="auto"/>
            <w:vMerge w:val="continue"/>
            <w:tcBorders>
              <w:top w:val="nil"/>
              <w:left w:val="nil"/>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31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rPr>
                <w:rFonts w:ascii="Calibri" w:hAnsi="Calibri" w:eastAsia="宋体" w:cs="宋体"/>
                <w:kern w:val="0"/>
                <w:szCs w:val="21"/>
              </w:rPr>
            </w:pPr>
            <w:r>
              <w:rPr>
                <w:rFonts w:hint="eastAsia" w:ascii="宋体" w:hAnsi="宋体" w:eastAsia="宋体" w:cs="宋体"/>
                <w:color w:val="333333"/>
                <w:kern w:val="0"/>
                <w:sz w:val="20"/>
                <w:szCs w:val="20"/>
              </w:rPr>
              <w:t>2.申请人逾期未按收费通知要求缴纳费用、行政机关不再处理其政府信息公开申请</w:t>
            </w:r>
          </w:p>
        </w:tc>
        <w:tc>
          <w:tcPr>
            <w:tcW w:w="70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2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301"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0" w:type="auto"/>
            <w:vMerge w:val="continue"/>
            <w:tcBorders>
              <w:top w:val="nil"/>
              <w:left w:val="nil"/>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31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3.其他</w:t>
            </w:r>
          </w:p>
        </w:tc>
        <w:tc>
          <w:tcPr>
            <w:tcW w:w="75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5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5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5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5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5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7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301" w:hRule="atLeast"/>
          <w:jc w:val="center"/>
        </w:trPr>
        <w:tc>
          <w:tcPr>
            <w:tcW w:w="0" w:type="auto"/>
            <w:vMerge w:val="continue"/>
            <w:tcBorders>
              <w:top w:val="nil"/>
              <w:left w:val="single" w:color="auto" w:sz="8" w:space="0"/>
              <w:bottom w:val="outset" w:color="auto" w:sz="8" w:space="0"/>
              <w:right w:val="single" w:color="auto" w:sz="8" w:space="0"/>
            </w:tcBorders>
            <w:shd w:val="clear" w:color="auto" w:fill="FFFFFF"/>
            <w:vAlign w:val="center"/>
          </w:tcPr>
          <w:p>
            <w:pPr>
              <w:widowControl/>
              <w:jc w:val="left"/>
              <w:rPr>
                <w:rFonts w:ascii="Calibri" w:hAnsi="Calibri" w:eastAsia="宋体" w:cs="宋体"/>
                <w:kern w:val="0"/>
                <w:szCs w:val="21"/>
              </w:rPr>
            </w:pPr>
          </w:p>
        </w:tc>
        <w:tc>
          <w:tcPr>
            <w:tcW w:w="3885" w:type="dxa"/>
            <w:gridSpan w:val="2"/>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（七）总计</w:t>
            </w:r>
          </w:p>
        </w:tc>
        <w:tc>
          <w:tcPr>
            <w:tcW w:w="75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5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5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5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5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5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7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r>
      <w:tr>
        <w:tblPrEx>
          <w:tblCellMar>
            <w:top w:w="0" w:type="dxa"/>
            <w:left w:w="0" w:type="dxa"/>
            <w:bottom w:w="0" w:type="dxa"/>
            <w:right w:w="0" w:type="dxa"/>
          </w:tblCellMar>
        </w:tblPrEx>
        <w:trPr>
          <w:trHeight w:val="301" w:hRule="atLeast"/>
          <w:jc w:val="center"/>
        </w:trPr>
        <w:tc>
          <w:tcPr>
            <w:tcW w:w="4755" w:type="dxa"/>
            <w:gridSpan w:val="3"/>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left"/>
              <w:rPr>
                <w:rFonts w:ascii="Calibri" w:hAnsi="Calibri" w:eastAsia="宋体" w:cs="宋体"/>
                <w:kern w:val="0"/>
                <w:szCs w:val="21"/>
              </w:rPr>
            </w:pPr>
            <w:r>
              <w:rPr>
                <w:rFonts w:hint="eastAsia" w:ascii="宋体" w:hAnsi="宋体" w:eastAsia="宋体" w:cs="宋体"/>
                <w:color w:val="333333"/>
                <w:kern w:val="0"/>
                <w:sz w:val="20"/>
                <w:szCs w:val="20"/>
              </w:rPr>
              <w:t>四、结转下年度继续办理</w:t>
            </w:r>
          </w:p>
        </w:tc>
        <w:tc>
          <w:tcPr>
            <w:tcW w:w="75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53"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7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7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7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0 </w:t>
            </w:r>
          </w:p>
        </w:tc>
        <w:tc>
          <w:tcPr>
            <w:tcW w:w="77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jc w:val="center"/>
              <w:rPr>
                <w:rFonts w:ascii="Calibri" w:hAnsi="Calibri" w:eastAsia="宋体" w:cs="宋体"/>
                <w:kern w:val="0"/>
                <w:szCs w:val="21"/>
              </w:rPr>
            </w:pPr>
            <w:r>
              <w:rPr>
                <w:rFonts w:ascii="Calibri" w:hAnsi="Calibri" w:eastAsia="宋体" w:cs="宋体"/>
                <w:color w:val="333333"/>
                <w:kern w:val="0"/>
                <w:sz w:val="20"/>
                <w:szCs w:val="20"/>
              </w:rPr>
              <w:t> 0</w:t>
            </w:r>
          </w:p>
        </w:tc>
        <w:tc>
          <w:tcPr>
            <w:tcW w:w="770" w:type="dxa"/>
            <w:tcBorders>
              <w:top w:val="nil"/>
              <w:left w:val="nil"/>
              <w:bottom w:val="single" w:color="auto" w:sz="8" w:space="0"/>
              <w:right w:val="single" w:color="auto" w:sz="8" w:space="0"/>
            </w:tcBorders>
            <w:shd w:val="clear" w:color="auto" w:fill="FFFFFF"/>
            <w:tcMar>
              <w:top w:w="0" w:type="dxa"/>
              <w:left w:w="57" w:type="dxa"/>
              <w:bottom w:w="0" w:type="dxa"/>
              <w:right w:w="57" w:type="dxa"/>
            </w:tcMar>
          </w:tcPr>
          <w:p>
            <w:pPr>
              <w:widowControl/>
              <w:jc w:val="center"/>
              <w:rPr>
                <w:rFonts w:ascii="Calibri" w:hAnsi="Calibri" w:eastAsia="宋体" w:cs="宋体"/>
                <w:kern w:val="0"/>
                <w:szCs w:val="21"/>
              </w:rPr>
            </w:pPr>
            <w:r>
              <w:rPr>
                <w:rFonts w:hint="eastAsia" w:ascii="宋体" w:hAnsi="宋体" w:eastAsia="宋体" w:cs="宋体"/>
                <w:color w:val="333333"/>
                <w:kern w:val="0"/>
                <w:sz w:val="20"/>
                <w:szCs w:val="20"/>
              </w:rPr>
              <w:t>0</w:t>
            </w:r>
          </w:p>
        </w:tc>
      </w:tr>
    </w:tbl>
    <w:p>
      <w:pPr>
        <w:widowControl/>
        <w:shd w:val="clear" w:color="auto" w:fill="FFFFFF"/>
        <w:wordWrap w:val="0"/>
        <w:spacing w:line="509" w:lineRule="atLeast"/>
        <w:rPr>
          <w:rFonts w:ascii="Calibri" w:hAnsi="Calibri" w:eastAsia="宋体" w:cs="宋体"/>
          <w:color w:val="333333"/>
          <w:kern w:val="0"/>
          <w:szCs w:val="21"/>
        </w:rPr>
      </w:pPr>
      <w:r>
        <w:rPr>
          <w:rFonts w:ascii="Calibri" w:hAnsi="Calibri" w:eastAsia="宋体" w:cs="宋体"/>
          <w:color w:val="333333"/>
          <w:kern w:val="0"/>
          <w:szCs w:val="21"/>
        </w:rPr>
        <w:t> </w:t>
      </w:r>
    </w:p>
    <w:p>
      <w:pPr>
        <w:widowControl/>
        <w:shd w:val="clear" w:color="auto" w:fill="FFFFFF"/>
        <w:wordWrap w:val="0"/>
        <w:spacing w:line="509" w:lineRule="atLeast"/>
        <w:rPr>
          <w:rFonts w:ascii="Calibri" w:hAnsi="Calibri" w:eastAsia="宋体" w:cs="宋体"/>
          <w:color w:val="333333"/>
          <w:kern w:val="0"/>
          <w:szCs w:val="21"/>
        </w:rPr>
      </w:pPr>
      <w:r>
        <w:rPr>
          <w:rFonts w:ascii="Calibri" w:hAnsi="Calibri" w:eastAsia="宋体" w:cs="宋体"/>
          <w:color w:val="333333"/>
          <w:kern w:val="0"/>
          <w:szCs w:val="21"/>
        </w:rPr>
        <w:t> </w:t>
      </w:r>
    </w:p>
    <w:p>
      <w:pPr>
        <w:widowControl/>
        <w:shd w:val="clear" w:color="auto" w:fill="FFFFFF"/>
        <w:wordWrap w:val="0"/>
        <w:spacing w:line="509" w:lineRule="atLeast"/>
        <w:ind w:firstLine="640"/>
        <w:rPr>
          <w:rFonts w:ascii="Calibri" w:hAnsi="Calibri" w:eastAsia="宋体" w:cs="宋体"/>
          <w:color w:val="333333"/>
          <w:kern w:val="0"/>
          <w:szCs w:val="21"/>
        </w:rPr>
      </w:pPr>
      <w:r>
        <w:rPr>
          <w:rFonts w:hint="eastAsia" w:ascii="黑体" w:hAnsi="黑体" w:eastAsia="黑体" w:cs="宋体"/>
          <w:color w:val="333333"/>
          <w:kern w:val="0"/>
          <w:sz w:val="32"/>
          <w:szCs w:val="32"/>
          <w:shd w:val="clear" w:color="auto" w:fill="FFFFFF"/>
        </w:rPr>
        <w:t>四、政府信息公开行政复议、行政诉讼情况</w:t>
      </w:r>
    </w:p>
    <w:p>
      <w:pPr>
        <w:widowControl/>
        <w:shd w:val="clear" w:color="auto" w:fill="FFFFFF"/>
        <w:wordWrap w:val="0"/>
        <w:spacing w:line="509" w:lineRule="atLeast"/>
        <w:jc w:val="left"/>
        <w:rPr>
          <w:rFonts w:ascii="Calibri" w:hAnsi="Calibri" w:eastAsia="宋体" w:cs="宋体"/>
          <w:color w:val="333333"/>
          <w:kern w:val="0"/>
          <w:szCs w:val="21"/>
        </w:rPr>
      </w:pPr>
      <w:r>
        <w:rPr>
          <w:rFonts w:ascii="Calibri" w:hAnsi="Calibri" w:eastAsia="宋体" w:cs="宋体"/>
          <w:color w:val="333333"/>
          <w:kern w:val="0"/>
          <w:szCs w:val="21"/>
        </w:rPr>
        <w:t> </w:t>
      </w:r>
    </w:p>
    <w:tbl>
      <w:tblPr>
        <w:tblStyle w:val="3"/>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行政复议</w:t>
            </w:r>
          </w:p>
        </w:tc>
        <w:tc>
          <w:tcPr>
            <w:tcW w:w="642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结果维持</w:t>
            </w:r>
          </w:p>
        </w:tc>
        <w:tc>
          <w:tcPr>
            <w:tcW w:w="6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总计</w:t>
            </w:r>
          </w:p>
        </w:tc>
        <w:tc>
          <w:tcPr>
            <w:tcW w:w="3213"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未经复议直接起诉</w:t>
            </w:r>
          </w:p>
        </w:tc>
        <w:tc>
          <w:tcPr>
            <w:tcW w:w="3215"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总计</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0 </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0 </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0</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 0</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黑体" w:hAnsi="黑体" w:eastAsia="黑体" w:cs="宋体"/>
                <w:kern w:val="0"/>
                <w:sz w:val="20"/>
                <w:szCs w:val="20"/>
              </w:rPr>
              <w:t>0</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0</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宋体"/>
                <w:kern w:val="0"/>
                <w:szCs w:val="21"/>
              </w:rPr>
            </w:pPr>
            <w:r>
              <w:rPr>
                <w:rFonts w:hint="eastAsia" w:ascii="宋体" w:hAnsi="宋体" w:eastAsia="宋体" w:cs="宋体"/>
                <w:kern w:val="0"/>
                <w:sz w:val="20"/>
                <w:szCs w:val="20"/>
              </w:rPr>
              <w:t> </w:t>
            </w:r>
            <w:r>
              <w:rPr>
                <w:rFonts w:hint="eastAsia" w:ascii="黑体" w:hAnsi="黑体" w:eastAsia="黑体" w:cs="宋体"/>
                <w:kern w:val="0"/>
                <w:sz w:val="20"/>
                <w:szCs w:val="20"/>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黑体" w:hAnsi="黑体" w:eastAsia="黑体" w:cs="宋体"/>
                <w:kern w:val="0"/>
                <w:sz w:val="20"/>
                <w:szCs w:val="20"/>
              </w:rPr>
              <w:t>0</w:t>
            </w:r>
          </w:p>
        </w:tc>
      </w:tr>
    </w:tbl>
    <w:p>
      <w:pPr>
        <w:widowControl/>
        <w:shd w:val="clear" w:color="auto" w:fill="FFFFFF"/>
        <w:wordWrap w:val="0"/>
        <w:spacing w:line="509" w:lineRule="atLeast"/>
        <w:rPr>
          <w:rFonts w:ascii="Calibri" w:hAnsi="Calibri" w:eastAsia="宋体" w:cs="宋体"/>
          <w:color w:val="333333"/>
          <w:kern w:val="0"/>
          <w:szCs w:val="21"/>
        </w:rPr>
      </w:pPr>
      <w:r>
        <w:rPr>
          <w:rFonts w:ascii="Calibri" w:hAnsi="Calibri" w:eastAsia="宋体" w:cs="宋体"/>
          <w:color w:val="333333"/>
          <w:kern w:val="0"/>
          <w:szCs w:val="21"/>
        </w:rPr>
        <w:t> </w:t>
      </w:r>
    </w:p>
    <w:p>
      <w:pPr>
        <w:widowControl/>
        <w:shd w:val="clear" w:color="auto" w:fill="FFFFFF"/>
        <w:wordWrap w:val="0"/>
        <w:spacing w:line="509" w:lineRule="atLeast"/>
        <w:ind w:firstLine="640"/>
        <w:rPr>
          <w:rFonts w:ascii="Calibri" w:hAnsi="Calibri" w:eastAsia="宋体" w:cs="宋体"/>
          <w:color w:val="333333"/>
          <w:kern w:val="0"/>
          <w:szCs w:val="21"/>
        </w:rPr>
      </w:pPr>
      <w:r>
        <w:rPr>
          <w:rFonts w:hint="eastAsia" w:ascii="黑体" w:hAnsi="黑体" w:eastAsia="黑体" w:cs="宋体"/>
          <w:color w:val="333333"/>
          <w:kern w:val="0"/>
          <w:sz w:val="32"/>
          <w:szCs w:val="32"/>
          <w:shd w:val="clear" w:color="auto" w:fill="FFFFFF"/>
        </w:rPr>
        <w:t>五、存在的主要问题及改进情况</w:t>
      </w:r>
    </w:p>
    <w:p>
      <w:pPr>
        <w:widowControl/>
        <w:shd w:val="clear" w:color="auto" w:fill="FFFFFF"/>
        <w:wordWrap w:val="0"/>
        <w:spacing w:line="560" w:lineRule="atLeast"/>
        <w:ind w:firstLine="640"/>
        <w:rPr>
          <w:rFonts w:ascii="Calibri" w:hAnsi="Calibri" w:eastAsia="宋体" w:cs="宋体"/>
          <w:color w:val="333333"/>
          <w:kern w:val="0"/>
          <w:szCs w:val="21"/>
        </w:rPr>
      </w:pPr>
      <w:r>
        <w:rPr>
          <w:rFonts w:hint="eastAsia" w:ascii="仿宋" w:hAnsi="仿宋" w:eastAsia="仿宋" w:cs="宋体"/>
          <w:color w:val="333333"/>
          <w:kern w:val="0"/>
          <w:sz w:val="32"/>
          <w:szCs w:val="32"/>
        </w:rPr>
        <w:t>2022年，相山区经信局在政府信息公开方面取得良好成效，但信息发布解读的深度广度精度仍需提升。下一步，我局将积极改进：一是提升数据发布质效。不断完善网站架构，优化智能检索系统，为公众提供更为便捷、优质的数据查找，更好地满足社会公众多元化需求。二是不断提升数据解读影响力。强化选题设计，运用多途径、多方式对数据发布及解读、政策咨询解答和热点回应等，提升经信服务水平。三是持续推进政务公开规范化标准化建设，确保做到以公开促落实、促规范、促服务。2023年，我们将坚持以习近平新时代中国，</w:t>
      </w:r>
      <w:r>
        <w:rPr>
          <w:rFonts w:hint="eastAsia" w:ascii="仿宋" w:hAnsi="仿宋" w:eastAsia="仿宋" w:cs="宋体"/>
          <w:color w:val="333333"/>
          <w:kern w:val="0"/>
          <w:sz w:val="32"/>
          <w:szCs w:val="32"/>
          <w:shd w:val="clear" w:color="auto" w:fill="FFFFFF"/>
        </w:rPr>
        <w:t>结合经信工作实际，完善政务公开相关制度，将政务公开工作做到细化，</w:t>
      </w:r>
      <w:r>
        <w:rPr>
          <w:rFonts w:hint="eastAsia" w:ascii="仿宋" w:hAnsi="仿宋" w:eastAsia="仿宋" w:cs="宋体"/>
          <w:color w:val="333333"/>
          <w:kern w:val="0"/>
          <w:sz w:val="32"/>
          <w:szCs w:val="32"/>
        </w:rPr>
        <w:t>全面推进我局政务公开工作再上新台阶。</w:t>
      </w:r>
    </w:p>
    <w:p>
      <w:pPr>
        <w:widowControl/>
        <w:shd w:val="clear" w:color="auto" w:fill="FFFFFF"/>
        <w:wordWrap w:val="0"/>
        <w:spacing w:line="509" w:lineRule="atLeast"/>
        <w:ind w:firstLine="640"/>
        <w:rPr>
          <w:rFonts w:hint="eastAsia" w:ascii="Calibri" w:hAnsi="Calibri" w:eastAsia="宋体" w:cs="宋体"/>
          <w:color w:val="333333"/>
          <w:kern w:val="0"/>
          <w:szCs w:val="21"/>
        </w:rPr>
      </w:pPr>
      <w:r>
        <w:rPr>
          <w:rFonts w:hint="eastAsia" w:ascii="黑体" w:hAnsi="黑体" w:eastAsia="黑体" w:cs="宋体"/>
          <w:color w:val="333333"/>
          <w:kern w:val="0"/>
          <w:sz w:val="32"/>
          <w:szCs w:val="32"/>
          <w:shd w:val="clear" w:color="auto" w:fill="FFFFFF"/>
        </w:rPr>
        <w:t>六、其他需要报告的事项</w:t>
      </w:r>
    </w:p>
    <w:p>
      <w:pPr>
        <w:widowControl/>
        <w:shd w:val="clear" w:color="auto" w:fill="FFFFFF"/>
        <w:wordWrap w:val="0"/>
        <w:spacing w:line="509" w:lineRule="atLeast"/>
        <w:ind w:firstLine="640"/>
        <w:rPr>
          <w:rFonts w:ascii="Calibri" w:hAnsi="Calibri" w:eastAsia="宋体" w:cs="宋体"/>
          <w:color w:val="333333"/>
          <w:kern w:val="0"/>
          <w:szCs w:val="21"/>
        </w:rPr>
      </w:pPr>
      <w:r>
        <w:rPr>
          <w:rFonts w:hint="eastAsia" w:ascii="仿宋" w:hAnsi="仿宋" w:eastAsia="仿宋" w:cs="宋体"/>
          <w:color w:val="333333"/>
          <w:kern w:val="0"/>
          <w:sz w:val="32"/>
          <w:szCs w:val="32"/>
          <w:shd w:val="clear" w:color="auto" w:fill="FFFFFF"/>
        </w:rPr>
        <w:t>按照《国务院办公厅关于印发〈政府信息公开信息处理费管理办法〉的通知》（国办函〔2020〕109号）规定的按件、按量收费标准，本年度没有产生信息公开处理费。</w:t>
      </w:r>
    </w:p>
    <w:p>
      <w:pPr>
        <w:widowControl/>
        <w:shd w:val="clear" w:color="auto" w:fill="FFFFFF"/>
        <w:wordWrap w:val="0"/>
        <w:spacing w:line="509" w:lineRule="atLeast"/>
        <w:rPr>
          <w:rFonts w:ascii="Calibri" w:hAnsi="Calibri" w:eastAsia="宋体" w:cs="宋体"/>
          <w:color w:val="333333"/>
          <w:kern w:val="0"/>
          <w:szCs w:val="21"/>
        </w:rPr>
      </w:pPr>
      <w:r>
        <w:rPr>
          <w:rFonts w:ascii="Calibri" w:hAnsi="Calibri" w:eastAsia="宋体" w:cs="宋体"/>
          <w:color w:val="333333"/>
          <w:kern w:val="0"/>
          <w:szCs w:val="21"/>
        </w:rPr>
        <w:t> </w:t>
      </w:r>
    </w:p>
    <w:p>
      <w:pPr>
        <w:widowControl/>
        <w:shd w:val="clear" w:color="auto" w:fill="FFFFFF"/>
        <w:wordWrap w:val="0"/>
        <w:spacing w:line="509" w:lineRule="atLeast"/>
        <w:rPr>
          <w:rFonts w:ascii="Calibri" w:hAnsi="Calibri" w:eastAsia="宋体" w:cs="宋体"/>
          <w:color w:val="333333"/>
          <w:kern w:val="0"/>
          <w:szCs w:val="21"/>
        </w:rPr>
      </w:pPr>
      <w:r>
        <w:rPr>
          <w:rFonts w:ascii="Calibri" w:hAnsi="Calibri" w:eastAsia="宋体" w:cs="宋体"/>
          <w:color w:val="333333"/>
          <w:kern w:val="0"/>
          <w:szCs w:val="21"/>
        </w:rPr>
        <w:t> </w:t>
      </w:r>
    </w:p>
    <w:p>
      <w:pPr>
        <w:widowControl/>
        <w:shd w:val="clear" w:color="auto" w:fill="FFFFFF"/>
        <w:wordWrap w:val="0"/>
        <w:spacing w:line="509" w:lineRule="atLeast"/>
        <w:rPr>
          <w:rFonts w:ascii="Calibri" w:hAnsi="Calibri" w:eastAsia="宋体" w:cs="宋体"/>
          <w:color w:val="333333"/>
          <w:kern w:val="0"/>
          <w:szCs w:val="21"/>
        </w:rPr>
      </w:pPr>
      <w:r>
        <w:rPr>
          <w:rFonts w:ascii="Calibri" w:hAnsi="Calibri" w:eastAsia="宋体" w:cs="宋体"/>
          <w:color w:val="333333"/>
          <w:kern w:val="0"/>
          <w:szCs w:val="21"/>
        </w:rPr>
        <w:t> </w:t>
      </w:r>
    </w:p>
    <w:p>
      <w:pPr>
        <w:widowControl/>
        <w:shd w:val="clear" w:color="auto" w:fill="FFFFFF"/>
        <w:wordWrap w:val="0"/>
        <w:spacing w:line="509" w:lineRule="atLeast"/>
        <w:rPr>
          <w:rFonts w:ascii="Calibri" w:hAnsi="Calibri" w:eastAsia="宋体" w:cs="宋体"/>
          <w:color w:val="333333"/>
          <w:kern w:val="0"/>
          <w:szCs w:val="21"/>
        </w:rPr>
      </w:pPr>
      <w:r>
        <w:rPr>
          <w:rFonts w:ascii="Calibri" w:hAnsi="Calibri" w:eastAsia="宋体" w:cs="宋体"/>
          <w:color w:val="333333"/>
          <w:kern w:val="0"/>
          <w:szCs w:val="21"/>
        </w:rPr>
        <w:t> </w:t>
      </w:r>
    </w:p>
    <w:p>
      <w:pPr>
        <w:widowControl/>
        <w:shd w:val="clear" w:color="auto" w:fill="FFFFFF"/>
        <w:wordWrap w:val="0"/>
        <w:spacing w:line="509" w:lineRule="atLeast"/>
        <w:rPr>
          <w:rFonts w:ascii="Calibri" w:hAnsi="Calibri" w:eastAsia="宋体" w:cs="宋体"/>
          <w:color w:val="333333"/>
          <w:kern w:val="0"/>
          <w:szCs w:val="21"/>
        </w:rPr>
      </w:pPr>
      <w:r>
        <w:rPr>
          <w:rFonts w:ascii="Calibri" w:hAnsi="Calibri" w:eastAsia="宋体" w:cs="宋体"/>
          <w:color w:val="333333"/>
          <w:kern w:val="0"/>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4YTAzMTQzYzFlNmE4OTczYjA2ZWY4OTkzMDgwOWIifQ=="/>
  </w:docVars>
  <w:rsids>
    <w:rsidRoot w:val="00940611"/>
    <w:rsid w:val="00306D10"/>
    <w:rsid w:val="00940611"/>
    <w:rsid w:val="009C27EF"/>
    <w:rsid w:val="00D90AD0"/>
    <w:rsid w:val="7EC8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530</Words>
  <Characters>3022</Characters>
  <Lines>25</Lines>
  <Paragraphs>7</Paragraphs>
  <TotalTime>25</TotalTime>
  <ScaleCrop>false</ScaleCrop>
  <LinksUpToDate>false</LinksUpToDate>
  <CharactersWithSpaces>3545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2023-01-18T01:58:00Z</dcterms:created>
  <dc:creator>赵涵</dc:creator>
  <cp:lastModifiedBy>格格格格格</cp:lastModifiedBy>
  <dcterms:modified xsi:type="dcterms:W3CDTF">2024-01-25T07:46:17Z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A3EDD22F70EB4564A28E8D56D12DC985_12</vt:lpwstr>
  </property>
</Properties>
</file>