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kern w:val="0"/>
          <w:sz w:val="44"/>
          <w:szCs w:val="44"/>
          <w:shd w:val="clear" w:fill="FFFFFF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kern w:val="0"/>
          <w:sz w:val="44"/>
          <w:szCs w:val="44"/>
          <w:shd w:val="clear" w:fill="FFFFFF"/>
        </w:rPr>
        <w:t>相山经济开发区2021年政府信息公开工作年度报告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both"/>
      </w:pPr>
      <w:r>
        <w:rPr>
          <w:rFonts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报告是根据《中华人民共和国政府信息公开条例》（以下简称《条例》）要求，由相山经济开发区编制。全文由政府信息公开总体情况、主动公开政府信息情况、收到和处理政府信息公开申请情况、政府信息公开行政复议和行政诉讼情况、存在主要问题和改进情况、其它需要报告等六部分组成。本报告中所列数据的统计期限自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2021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年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日起至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2021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年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12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31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日止。如有疑问，请与相山经济开发区办公室联系。（地址：淮北市淮海西路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25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号科创大厦七楼开发区管委会办公室，邮编：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235000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，电话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:0561-3239860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一、总体情况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2021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年，相山经济开发区全面贯彻党中央、国务院、安徽省、淮北市、相山区关于全面推进政务公开工作的决策部署，充分运用门户网站、新闻媒体及新媒体等，加强政务公开工作，及时主动向社会公布政府工作，认真办理依申请公开事项，积极做好政策解读和回应工作，拓展政府信息公开的广度和深度，持续增强政府公信力和执行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2021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年，相山经济开发区公开政府信息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180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条，新增主动公开政府信息中包括：依申请公开目录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7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条，政策法规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条，重大决策预公开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4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条，规划计划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6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条，决策部署落实情况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4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条，建议提案办理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6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条，机构领导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14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条，机构设置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8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条，年度财政预决算及三公经费情况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8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条，财政专项资金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3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条，精准脱贫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5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条，应急管理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14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条，权责清单和动态调整情况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条，公共服务清单和中介服务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5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条，招标采购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13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条，新闻发布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条，上级政策解读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3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条，本级政策解读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9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条，主动回应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27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条，监督保障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20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主动公开政府信息情况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一是在决策公开中充分落实重大决策预公开机制，对涉及重大民生议题、重要改革方案、重大政策措施、重点工程项目，除依法应当保密的外，主动向社会公布决策草案、决策依据等，通过公众征集、网络征集、咨询协商等多种形式向社会征求意见，全年重大决策意见征集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5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次。二是在执行和结果公开中，对上级重大决策部署贯彻落实情况和政府工作报告明确的目标任务；对重大政策落实跟踪审计按照季度公开跟踪审计结果。三是在管理和服务公开中，重点对区政府和区政府办财政预决算及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三公经费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、财政收支情况、政府债务等信息进行主动公开。大力推进行政权力运行结果公开，及时公布区级政府权责清单目录和区级行政权力中介服务清单目录（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202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年本），集中展示机构改革后的权责清单动态调整明细。四是本级政策解读中，除了有媒体解读、专家解读、领导解读、文字解读，制作全市首个视频动漫解读，丰富了解读形式。严格按照省政务公开考评重点，做到解读要素齐全，解读形式多样化。五是深化重点领域信息公开。认真做好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三大攻坚战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放管服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改革、防范化解重大风险、精准脱贫、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双随机一公开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、重大建设项目批准和实施、高质量发展类信息公开。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依申请公开情况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深入规范依申请公开，根据新修订的政府信息公开条例，政府信息公开的答复期限由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15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个工作日修改为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20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个工作日，延长不得超过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20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个工作日。并不断畅通网上及信函受理渠道，建立了科学的信息公开申请答复机制。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3.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政府信息管理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1.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进一步完善政务信息常态化管理机制，不断建立健全政务信息制作、公开、存档等制度，探索对政务信息进行全生命周期的规范管理。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2.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加强重要政务信息的管理。对全区地方性法规、行政规章、规范性文件进行集约化集中式公开，并按照立改废的要求，及时动态调整。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4.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政务公开信息平台建设情况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一是优化信息分类，设立全国政务公开标准化规范化、高质量发展、三大攻坚战、重大建设项目批准和实施领域信息公开、各部门公共服务清单和中介服务清单、财政预决算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三公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经费、权力清单和责任清单、各部门公共服务和中介服务清单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8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个专题专栏，方便群众查阅政府信息。二是顺应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互联网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+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政务服务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趋势，切实加大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两微一端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新媒体建设力度，依托互联网搭建信息公开新平台，全方位提升信息公开受众群体以及舆论引导能力。注重图文结合，通俗易懂地展示政府工作，使新媒体更加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接地气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，更容易为群众所接受。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5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.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监督保障情况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一方面建立领导机构和工作机构。建立了政务公开和政府信息公开并轨领导和推进的工作体制。成立了区政府信息公开领导小组，由区政府办负责推进、指导、监督全区政府信息公开工作；建立健全政务公开工作机制，确保了政府信息公开工作的顺利开展；加强新条例和政府信息公开工作的宣传教育，深入基层进行新《条例》宣传教育，并开展全区政务公开工作推进会，领导全区深入学习政府信息公开新条例。另一方面邀请第三方，进行政务公开测评，并组织政务公开培训会，采取集中培训、集中办公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一对一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一对多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等多种方式对全区信息员进行培训和指导，做到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“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有问必答、有需必应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”</w:t>
      </w:r>
      <w:r>
        <w:rPr>
          <w:rFonts w:hint="eastAsia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both"/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both"/>
      </w:pPr>
      <w:r>
        <w:rPr>
          <w:rFonts w:hint="eastAsia" w:ascii="仿宋_GB2312" w:eastAsia="仿宋_GB2312" w:cs="仿宋_GB2312"/>
          <w:b/>
          <w:bCs/>
          <w:color w:val="333333"/>
          <w:kern w:val="0"/>
          <w:sz w:val="32"/>
          <w:szCs w:val="32"/>
        </w:rPr>
        <w:t>二、主动公开政府信息情况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center"/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tbl>
      <w:tblPr>
        <w:tblW w:w="97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第二十条第（一）项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本年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现行有效件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第二十条第（五）项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第二十条第（六）项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第二十条第（八）项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本年收费金额（单位：万元）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both"/>
      </w:pPr>
      <w:r>
        <w:rPr>
          <w:rFonts w:hint="eastAsia" w:ascii="仿宋_GB2312" w:eastAsia="仿宋_GB2312" w:cs="仿宋_GB2312"/>
          <w:b/>
          <w:bCs/>
          <w:color w:val="333333"/>
          <w:kern w:val="0"/>
          <w:sz w:val="32"/>
          <w:szCs w:val="32"/>
        </w:rPr>
        <w:t>三、收到和处理政府信息公开申请情况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center"/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tbl>
      <w:tblPr>
        <w:tblW w:w="974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754"/>
        <w:gridCol w:w="921"/>
        <w:gridCol w:w="3271"/>
        <w:gridCol w:w="685"/>
        <w:gridCol w:w="685"/>
        <w:gridCol w:w="685"/>
        <w:gridCol w:w="685"/>
        <w:gridCol w:w="685"/>
        <w:gridCol w:w="685"/>
        <w:gridCol w:w="68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46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ascii="楷体" w:hAnsi="楷体" w:eastAsia="楷体" w:cs="楷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4795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46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自然人</w:t>
            </w:r>
          </w:p>
        </w:tc>
        <w:tc>
          <w:tcPr>
            <w:tcW w:w="342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法人或其他组织</w:t>
            </w:r>
          </w:p>
        </w:tc>
        <w:tc>
          <w:tcPr>
            <w:tcW w:w="685" w:type="dxa"/>
            <w:vMerge w:val="restart"/>
            <w:tcBorders>
              <w:top w:val="single" w:color="auto" w:sz="8" w:space="0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46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8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商业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企业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科研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机构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社会公益组织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法律服务机构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其他</w:t>
            </w:r>
          </w:p>
        </w:tc>
        <w:tc>
          <w:tcPr>
            <w:tcW w:w="685" w:type="dxa"/>
            <w:vMerge w:val="continue"/>
            <w:tcBorders>
              <w:top w:val="single" w:color="auto" w:sz="8" w:space="0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4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4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restart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三、本年度办理结果</w:t>
            </w:r>
          </w:p>
        </w:tc>
        <w:tc>
          <w:tcPr>
            <w:tcW w:w="419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（一）予以公开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9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（二）部分公开</w:t>
            </w:r>
            <w:r>
              <w:rPr>
                <w:rFonts w:hint="eastAsia" w:ascii="楷体" w:hAnsi="楷体" w:eastAsia="楷体" w:cs="楷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（区分处理的，只计这一情形，不计其他情形）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（三）不予公开</w:t>
            </w: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1.属于国家秘密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2.其他法律行政法规禁止公开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3.危及“三安全一稳定”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4.保护第三方合法权益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5.属于三类内部事务信息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6.属于四类过程性信息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7.属于行政执法案卷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8.属于行政查询事项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（四）无法提供</w:t>
            </w: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1.本机关不掌握相关政府信息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2.没有现成信息需要另行制作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3.补正后申请内容仍不明确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（五）不予处理</w:t>
            </w: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1.信访举报投诉类申请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2.重复申请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3.要求提供公开出版物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4.无正当理由大量反复申请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79" w:hRule="atLeast"/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（六）其他处理</w:t>
            </w: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1.申请人无正当理由逾期不补正、行政机关不再处理其政府信息公开申请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3.其他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9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（七）总计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4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四、结转下年度继续办理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right="0"/>
              <w:jc w:val="center"/>
            </w:pPr>
            <w:r>
              <w:rPr>
                <w:rFonts w:hint="eastAsia" w:ascii="Calibri" w:hAnsi="Calibri" w:eastAsia="宋体" w:cs="Calibri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uto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2"/>
          <w:sz w:val="24"/>
          <w:szCs w:val="24"/>
          <w:bdr w:val="none" w:color="auto" w:sz="0" w:space="0"/>
          <w:lang w:val="en-US" w:eastAsia="zh-CN" w:bidi="ar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both"/>
      </w:pPr>
      <w:r>
        <w:rPr>
          <w:rFonts w:hint="eastAsia" w:ascii="仿宋_GB2312" w:eastAsia="仿宋_GB2312" w:cs="仿宋_GB2312"/>
          <w:b/>
          <w:bCs/>
          <w:color w:val="333333"/>
          <w:kern w:val="0"/>
          <w:sz w:val="32"/>
          <w:szCs w:val="32"/>
        </w:rPr>
        <w:t>四、政府信息公开行政复议、行政诉讼情况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2" w:lineRule="auto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2"/>
          <w:sz w:val="24"/>
          <w:szCs w:val="24"/>
          <w:bdr w:val="none" w:color="auto" w:sz="0" w:space="0"/>
          <w:lang w:val="en-US" w:eastAsia="zh-CN" w:bidi="ar"/>
        </w:rPr>
        <w:t xml:space="preserve"> </w:t>
      </w:r>
    </w:p>
    <w:tbl>
      <w:tblPr>
        <w:tblW w:w="97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行政复议</w:t>
            </w:r>
          </w:p>
        </w:tc>
        <w:tc>
          <w:tcPr>
            <w:tcW w:w="6498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结果维持</w:t>
            </w:r>
          </w:p>
        </w:tc>
        <w:tc>
          <w:tcPr>
            <w:tcW w:w="649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纠正</w:t>
            </w:r>
          </w:p>
        </w:tc>
        <w:tc>
          <w:tcPr>
            <w:tcW w:w="649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</w:p>
        </w:tc>
        <w:tc>
          <w:tcPr>
            <w:tcW w:w="649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尚未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审结</w:t>
            </w:r>
          </w:p>
        </w:tc>
        <w:tc>
          <w:tcPr>
            <w:tcW w:w="649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324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未经复议直接起诉</w:t>
            </w:r>
          </w:p>
        </w:tc>
        <w:tc>
          <w:tcPr>
            <w:tcW w:w="325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维持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尚未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其他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尚未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bdr w:val="none" w:color="auto" w:sz="0" w:space="0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Lines="0" w:afterAutospacing="0" w:line="240" w:lineRule="atLeast"/>
              <w:ind w:left="0" w:leftChars="0" w:right="0" w:rightChars="0" w:firstLine="0" w:firstLineChars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2"/>
                <w:sz w:val="20"/>
                <w:szCs w:val="20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both"/>
      </w:pPr>
      <w:r>
        <w:rPr>
          <w:rFonts w:hint="default" w:ascii="Calibri" w:hAnsi="Calibri" w:cs="Calibri" w:eastAsiaTheme="minorEastAsia"/>
          <w:kern w:val="0"/>
          <w:sz w:val="21"/>
          <w:szCs w:val="21"/>
          <w:lang w:val="en-US" w:eastAsia="zh-CN" w:bidi="ar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rPr>
          <w:rFonts w:hint="eastAsia" w:ascii="仿宋_GB2312" w:eastAsia="仿宋_GB2312" w:cs="仿宋_GB2312"/>
          <w:b/>
          <w:bCs/>
          <w:color w:val="333333"/>
          <w:kern w:val="0"/>
          <w:sz w:val="32"/>
          <w:szCs w:val="32"/>
        </w:rPr>
        <w:t>五、存在的主要问题及改进情况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drawing>
          <wp:inline distT="0" distB="0" distL="114300" distR="114300">
            <wp:extent cx="4924425" cy="25241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333333"/>
          <w:kern w:val="2"/>
          <w:sz w:val="24"/>
          <w:szCs w:val="24"/>
          <w:lang w:val="en-US" w:eastAsia="zh-CN" w:bidi="ar"/>
        </w:rPr>
        <w:t>2.改进情况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4191000" cy="3514725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420" w:leftChars="0" w:right="0" w:rightChars="0"/>
        <w:jc w:val="both"/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 w:firstLine="420"/>
        <w:jc w:val="both"/>
      </w:pPr>
      <w:r>
        <w:rPr>
          <w:rFonts w:hint="eastAsia" w:ascii="仿宋_GB2312" w:eastAsia="仿宋_GB2312" w:cs="仿宋_GB2312"/>
          <w:b/>
          <w:bCs/>
          <w:color w:val="333333"/>
          <w:kern w:val="0"/>
          <w:sz w:val="32"/>
          <w:szCs w:val="32"/>
        </w:rPr>
        <w:t>六、其他需要报告的事项</w:t>
      </w:r>
    </w:p>
    <w:p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</w:pPr>
      <w:r>
        <w:rPr>
          <w:rFonts w:hint="eastAsia" w:ascii="仿宋_GB2312" w:eastAsia="仿宋_GB2312" w:cs="仿宋_GB2312" w:hAnsiTheme="minorHAnsi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"/>
        </w:rPr>
        <w:t>按照《国务院办公厅关于印发（政府信息公开信息处理费管理办法）的通知》（国办函（2020）109号）规定的按件、按量收费标准，本年度本单位没有产生信息公开处理费。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1ZTBhZDdjNGVhZDRjNDc5MWQxNDMxMjRlYzhjMWYifQ=="/>
  </w:docVars>
  <w:rsids>
    <w:rsidRoot w:val="00EF65D0"/>
    <w:rsid w:val="00E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2024-01-29T07:40:00Z</dcterms:created>
  <dc:creator>Administrator</dc:creator>
  <cp:lastModifiedBy>Administrator</cp:lastModifiedBy>
  <cp:lastPrinted>2024-01-29T07:41:21Z</cp:lastPrinted>
  <dcterms:modified xsi:type="dcterms:W3CDTF">2024-01-29T07:41:29Z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A806F1994DE74CDB9A5A1E0305B182BE_11</vt:lpwstr>
  </property>
</Properties>
</file>