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143" w:line="230" w:lineRule="auto"/>
        <w:ind w:left="3146" w:right="102" w:hanging="2740"/>
        <w:jc w:val="center"/>
        <w:textAlignment w:val="baseline"/>
        <w:rPr>
          <w:rFonts w:hint="eastAsia" w:ascii="宋体" w:hAnsi="宋体" w:eastAsia="宋体" w:cs="宋体"/>
          <w:b/>
          <w:bCs/>
          <w:color w:val="000000"/>
          <w:spacing w:val="18"/>
          <w:kern w:val="0"/>
          <w:sz w:val="44"/>
          <w:szCs w:val="44"/>
          <w:lang w:eastAsia="zh-CN"/>
        </w:rPr>
      </w:pPr>
      <w:r>
        <w:rPr>
          <w:rFonts w:hint="eastAsia" w:ascii="宋体" w:hAnsi="宋体" w:eastAsia="宋体" w:cs="宋体"/>
          <w:b/>
          <w:bCs/>
          <w:color w:val="000000"/>
          <w:spacing w:val="18"/>
          <w:kern w:val="0"/>
          <w:sz w:val="44"/>
          <w:szCs w:val="44"/>
          <w:lang w:eastAsia="zh-CN"/>
        </w:rPr>
        <w:t>相山区经济和信息化局2021年政府</w:t>
      </w:r>
    </w:p>
    <w:p>
      <w:pPr>
        <w:widowControl/>
        <w:kinsoku w:val="0"/>
        <w:autoSpaceDE w:val="0"/>
        <w:autoSpaceDN w:val="0"/>
        <w:adjustRightInd w:val="0"/>
        <w:snapToGrid w:val="0"/>
        <w:spacing w:before="143" w:line="230" w:lineRule="auto"/>
        <w:ind w:left="3146" w:right="102" w:hanging="2740"/>
        <w:jc w:val="center"/>
        <w:textAlignment w:val="baseline"/>
        <w:rPr>
          <w:rFonts w:hint="eastAsia" w:ascii="宋体" w:hAnsi="宋体" w:eastAsia="宋体" w:cs="宋体"/>
          <w:b/>
          <w:bCs/>
          <w:color w:val="000000"/>
          <w:spacing w:val="18"/>
          <w:kern w:val="0"/>
          <w:sz w:val="44"/>
          <w:szCs w:val="44"/>
          <w:lang w:eastAsia="zh-CN"/>
        </w:rPr>
      </w:pPr>
      <w:r>
        <w:rPr>
          <w:rFonts w:hint="eastAsia" w:ascii="宋体" w:hAnsi="宋体" w:eastAsia="宋体" w:cs="宋体"/>
          <w:b/>
          <w:bCs/>
          <w:color w:val="000000"/>
          <w:spacing w:val="18"/>
          <w:kern w:val="0"/>
          <w:sz w:val="44"/>
          <w:szCs w:val="44"/>
          <w:lang w:eastAsia="zh-CN"/>
        </w:rPr>
        <w:t>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32"/>
          <w:szCs w:val="32"/>
          <w:bdr w:val="none" w:color="auto" w:sz="0" w:space="0"/>
          <w:shd w:val="clear" w:fill="FFFFFF"/>
        </w:rPr>
        <w:t>本年度报告是根据《政府信息公开条例》（以下简称《条例》）的要求编制而成。全文包括政府信息公开工作总体情况、主动公开政府信息情况、收到和处理政府信息公开申请情况、信息公开行政复议和行政诉讼情况、存在的主要问题和改进措施、其他需要报告的事项等。除特别说明的外，所列数据统计时限为</w:t>
      </w:r>
      <w:r>
        <w:rPr>
          <w:rFonts w:hint="eastAsia" w:ascii="仿宋" w:hAnsi="仿宋" w:eastAsia="仿宋" w:cs="仿宋"/>
          <w:i w:val="0"/>
          <w:iCs w:val="0"/>
          <w:caps w:val="0"/>
          <w:color w:val="333333"/>
          <w:spacing w:val="0"/>
          <w:sz w:val="32"/>
          <w:szCs w:val="32"/>
          <w:bdr w:val="none" w:color="auto" w:sz="0" w:space="0"/>
          <w:shd w:val="clear" w:fill="FFFFFF"/>
        </w:rPr>
        <w:t>2021年1月1日至2021年12月31日。如对本年度报告有任何疑问，请与相山区经济和信息化局联系（地址：孟山北路89号，邮编：235000；电话：0561-3190551，电子邮箱：xsjxj0561@126.com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（一）主动公开情况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2021年，我局依托区政府信息公开网站共发布信息194条。其中，“领导活动”栏目发布信息57条，占总数的29%；“政策法规”栏目发布信息6条，占总数的3%；“行政权力运行”栏目发布信息38条，占总数的19.3%；“应急管理”栏目发布信息11条；其他栏目中办件情况汇总发布信息82条。解读信息、回应关切发布六条。目前，本机关文件从生成到上网公开平均需要1个工作日，最长需要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（二）依申请公开情况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根据《相山区经济和信息化局依申请公开制度》等文件要求，我局在区政府网站设置了“政府信息公开指南”和“依申请公开”专栏，按规定程序受理、审核、处理和答复。2021年度共受理依申请公开0件。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（三）政府信息管理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一、进一步完善政务信息常态化管理机制，不断建立健全政务信息制作、公开、存档等制度，探索对政务信息进行全生命周期的规范管理。二、加强重要政务信息的管理。对全区地方性法规、行政规章、规范性文件进行集约化集中式公开，并按照立改废的要求，及时动态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（四）政府信息公开平台建设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2021年，相山区经济和信息化局根据国办、省、市、区政务信息公开工作要求，结合相山区网站集约化情况，一如既往积极配合区政府开展政务公开网站改版升级和动态维护工作，通过开展培训和“传帮带”，确保局政务公开工作专职人员和兼职人员均熟悉政务公开网站操作流程和工作程序。同时围绕局年度重点工作，主动向淮北市经信局和兄弟城区政务公开工作人员请教，保持正向沟通，积极向区政务公开办申请协调，合理设置和调整信息公开栏目。2021年全年，我局平台运行情况良好，未出现任何不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（五）监督保障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一是提高思想认识。将政府信息公开条例纳入局党委理论学习中心组学习内容和业务工作专题会学习内容，切实提高工作人员行政权力公开透明运行意识。二是细化任务分解。为了进一步做好政府信息公开工作，相山区经济和信息化局年初按照政务公开考评方案和考核细则，对标对表，任务细化到具体科室和具体经办人，明确各栏目更新时限，有力保障了政府信息公开的高质量、高效率。三是加强反馈整改。对区政务公开办每季度通报反馈的问题，逐条逐项进行梳理研究，明确整改“时间表”和“路线图”，迅速落实、迅速整改到位，同时向相关部门反馈整改结果，确保任务布置有回音。加强日常管理和定期考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sz w:val="32"/>
          <w:szCs w:val="32"/>
          <w:bdr w:val="none" w:color="auto" w:sz="0" w:space="0"/>
          <w:shd w:val="clear" w:fill="FFFFFF"/>
        </w:rPr>
        <w:t>二、主动公开政府信息情况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tbl>
      <w:tblP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信息内容</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本年</w:t>
            </w:r>
            <w:r>
              <w:rPr>
                <w:rFonts w:hint="eastAsia" w:ascii="宋体" w:hAnsi="宋体" w:eastAsia="宋体" w:cs="宋体"/>
                <w:i w:val="0"/>
                <w:iCs w:val="0"/>
                <w:caps w:val="0"/>
                <w:color w:val="333333"/>
                <w:spacing w:val="0"/>
                <w:sz w:val="20"/>
                <w:szCs w:val="20"/>
                <w:bdr w:val="none" w:color="auto" w:sz="0" w:space="0"/>
              </w:rPr>
              <w:t>制发件数</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本年废止件数</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现行有效件</w:t>
            </w:r>
            <w:r>
              <w:rPr>
                <w:rFonts w:hint="eastAsia" w:ascii="宋体" w:hAnsi="宋体" w:eastAsia="宋体" w:cs="宋体"/>
                <w:i w:val="0"/>
                <w:iCs w:val="0"/>
                <w:caps w:val="0"/>
                <w:color w:val="333333"/>
                <w:spacing w:val="0"/>
                <w:sz w:val="20"/>
                <w:szCs w:val="20"/>
                <w:bdr w:val="none" w:color="auto" w:sz="0" w:space="0"/>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规章</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eastAsia="宋体" w:cs="Calibri"/>
                <w:i w:val="0"/>
                <w:iCs w:val="0"/>
                <w:caps w:val="0"/>
                <w:color w:val="333333"/>
                <w:spacing w:val="0"/>
                <w:sz w:val="21"/>
                <w:szCs w:val="21"/>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行政规范性文件</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0　　</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0 　</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eastAsia="宋体" w:cs="Calibri"/>
                <w:i w:val="0"/>
                <w:iCs w:val="0"/>
                <w:caps w:val="0"/>
                <w:color w:val="333333"/>
                <w:spacing w:val="0"/>
                <w:sz w:val="21"/>
                <w:szCs w:val="21"/>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信息内容</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行政许可</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eastAsia="宋体" w:cs="Calibri"/>
                <w:i w:val="0"/>
                <w:iCs w:val="0"/>
                <w:caps w:val="0"/>
                <w:color w:val="333333"/>
                <w:spacing w:val="0"/>
                <w:sz w:val="21"/>
                <w:szCs w:val="21"/>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信息内容</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行政处罚</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行政强制</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信息内容</w:t>
            </w:r>
          </w:p>
        </w:tc>
        <w:tc>
          <w:tcPr>
            <w:tcW w:w="7305"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0"/>
                <w:szCs w:val="20"/>
                <w:bdr w:val="none" w:color="auto" w:sz="0" w:space="0"/>
              </w:rPr>
              <w:t>行政事业性收费</w:t>
            </w:r>
          </w:p>
        </w:tc>
        <w:tc>
          <w:tcPr>
            <w:tcW w:w="7305"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三、收到和处理政府信息公开申请情况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tbl>
      <w:tblPr>
        <w:tblW w:w="973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14"/>
        <w:gridCol w:w="926"/>
        <w:gridCol w:w="3007"/>
        <w:gridCol w:w="683"/>
        <w:gridCol w:w="683"/>
        <w:gridCol w:w="699"/>
        <w:gridCol w:w="699"/>
        <w:gridCol w:w="699"/>
        <w:gridCol w:w="775"/>
        <w:gridCol w:w="8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rPr>
        <w:tc>
          <w:tcPr>
            <w:tcW w:w="4470" w:type="dxa"/>
            <w:gridSpan w:val="3"/>
            <w:vMerge w:val="restart"/>
            <w:tcBorders>
              <w:top w:val="single" w:color="auto" w:sz="8" w:space="0"/>
              <w:left w:val="single" w:color="auto" w:sz="8" w:space="0"/>
              <w:bottom w:val="inset"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ascii="楷体" w:hAnsi="楷体" w:eastAsia="楷体" w:cs="楷体"/>
                <w:i w:val="0"/>
                <w:iCs w:val="0"/>
                <w:caps w:val="0"/>
                <w:color w:val="333333"/>
                <w:spacing w:val="0"/>
                <w:sz w:val="20"/>
                <w:szCs w:val="20"/>
                <w:bdr w:val="none" w:color="auto" w:sz="0" w:space="0"/>
              </w:rPr>
              <w:t>（本列数据的勾稽关系为：第一项加第二项之和，等于第三项加第四项之和）</w:t>
            </w:r>
          </w:p>
        </w:tc>
        <w:tc>
          <w:tcPr>
            <w:tcW w:w="4950" w:type="dxa"/>
            <w:gridSpan w:val="7"/>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4470" w:type="dxa"/>
            <w:gridSpan w:val="3"/>
            <w:vMerge w:val="continue"/>
            <w:tcBorders>
              <w:top w:val="single" w:color="auto" w:sz="8" w:space="0"/>
              <w:left w:val="single" w:color="auto" w:sz="8" w:space="0"/>
              <w:bottom w:val="inset" w:color="auto" w:sz="8" w:space="0"/>
              <w:right w:val="single" w:color="auto" w:sz="8" w:space="0"/>
            </w:tcBorders>
            <w:shd w:val="clear" w:color="auto" w:fill="FFFFFF"/>
            <w:tcMar>
              <w:left w:w="108"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630" w:type="dxa"/>
            <w:vMerge w:val="restart"/>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自然人</w:t>
            </w:r>
          </w:p>
        </w:tc>
        <w:tc>
          <w:tcPr>
            <w:tcW w:w="3510" w:type="dxa"/>
            <w:gridSpan w:val="5"/>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法人或其他组织</w:t>
            </w:r>
          </w:p>
        </w:tc>
        <w:tc>
          <w:tcPr>
            <w:tcW w:w="630" w:type="dxa"/>
            <w:vMerge w:val="restart"/>
            <w:tcBorders>
              <w:top w:val="nil"/>
              <w:left w:val="nil"/>
              <w:bottom w:val="inset"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4470" w:type="dxa"/>
            <w:gridSpan w:val="3"/>
            <w:vMerge w:val="continue"/>
            <w:tcBorders>
              <w:top w:val="single" w:color="auto" w:sz="8" w:space="0"/>
              <w:left w:val="single" w:color="auto" w:sz="8" w:space="0"/>
              <w:bottom w:val="inset" w:color="auto" w:sz="8" w:space="0"/>
              <w:right w:val="single" w:color="auto" w:sz="8" w:space="0"/>
            </w:tcBorders>
            <w:shd w:val="clear" w:color="auto" w:fill="FFFFFF"/>
            <w:tcMar>
              <w:left w:w="108"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630" w:type="dxa"/>
            <w:vMerge w:val="continue"/>
            <w:tcBorders>
              <w:top w:val="nil"/>
              <w:left w:val="nil"/>
              <w:bottom w:val="single"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商业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企业</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机构</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社会公益组织</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法律服务机构</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其他</w:t>
            </w:r>
          </w:p>
        </w:tc>
        <w:tc>
          <w:tcPr>
            <w:tcW w:w="630" w:type="dxa"/>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4590"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一、本年新收政府信息公开申请数量</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4590"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二、上年结转政府信息公开申请数量</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705" w:type="dxa"/>
            <w:vMerge w:val="restart"/>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三、本年度办理结果</w:t>
            </w:r>
          </w:p>
        </w:tc>
        <w:tc>
          <w:tcPr>
            <w:tcW w:w="3780"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（一）予以公开</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705" w:type="dxa"/>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3780"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（二）部分公开</w:t>
            </w:r>
            <w:r>
              <w:rPr>
                <w:rFonts w:hint="eastAsia" w:ascii="楷体" w:hAnsi="楷体" w:eastAsia="楷体" w:cs="楷体"/>
                <w:i w:val="0"/>
                <w:iCs w:val="0"/>
                <w:caps w:val="0"/>
                <w:color w:val="333333"/>
                <w:spacing w:val="0"/>
                <w:sz w:val="20"/>
                <w:szCs w:val="20"/>
                <w:bdr w:val="none" w:color="auto" w:sz="0" w:space="0"/>
              </w:rPr>
              <w:t>（区分处理的，只计这一情形，不计其他情形）</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705" w:type="dxa"/>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915" w:type="dxa"/>
            <w:vMerge w:val="restart"/>
            <w:tcBorders>
              <w:top w:val="nil"/>
              <w:left w:val="nil"/>
              <w:bottom w:val="inset"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（三）不予公开</w:t>
            </w:r>
          </w:p>
        </w:tc>
        <w:tc>
          <w:tcPr>
            <w:tcW w:w="277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1.属于国家秘密</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705" w:type="dxa"/>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915" w:type="dxa"/>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277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2.其他法律行政法规禁止公开</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705" w:type="dxa"/>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915" w:type="dxa"/>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277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3.危及“三安全一稳定”</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705" w:type="dxa"/>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915" w:type="dxa"/>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277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4.保护第三方合法权益</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705" w:type="dxa"/>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915" w:type="dxa"/>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277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5.属于三类内部事务信息</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705" w:type="dxa"/>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915" w:type="dxa"/>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277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6.属于四类过程性信息</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705" w:type="dxa"/>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915" w:type="dxa"/>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277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7.属于行政执法案卷</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705" w:type="dxa"/>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915" w:type="dxa"/>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277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8.属于行政查询事项</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705" w:type="dxa"/>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915" w:type="dxa"/>
            <w:vMerge w:val="restart"/>
            <w:tcBorders>
              <w:top w:val="nil"/>
              <w:left w:val="nil"/>
              <w:bottom w:val="inset"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（四）无法提供</w:t>
            </w:r>
          </w:p>
        </w:tc>
        <w:tc>
          <w:tcPr>
            <w:tcW w:w="277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1.本机关不掌握相关政府信息</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705" w:type="dxa"/>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915" w:type="dxa"/>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277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2.没有现成信息需要另行制作</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705" w:type="dxa"/>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915" w:type="dxa"/>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277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3.补正后申请内容仍不明确</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705" w:type="dxa"/>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915" w:type="dxa"/>
            <w:vMerge w:val="restart"/>
            <w:tcBorders>
              <w:top w:val="nil"/>
              <w:left w:val="nil"/>
              <w:bottom w:val="inset"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（五）不予处理</w:t>
            </w:r>
          </w:p>
        </w:tc>
        <w:tc>
          <w:tcPr>
            <w:tcW w:w="277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1.信访举报投诉类申请</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705" w:type="dxa"/>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915" w:type="dxa"/>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277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2.重复申请</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705" w:type="dxa"/>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915" w:type="dxa"/>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277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3.要求提供公开出版物</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705" w:type="dxa"/>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915" w:type="dxa"/>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277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4.无正当理由大量反复申请</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0" w:hRule="atLeast"/>
        </w:trPr>
        <w:tc>
          <w:tcPr>
            <w:tcW w:w="705" w:type="dxa"/>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915" w:type="dxa"/>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2775" w:type="dxa"/>
            <w:tcBorders>
              <w:top w:val="nil"/>
              <w:left w:val="nil"/>
              <w:bottom w:val="inset"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5.要求行政机关确认或重新出具已获取信息</w:t>
            </w:r>
          </w:p>
        </w:tc>
        <w:tc>
          <w:tcPr>
            <w:tcW w:w="630" w:type="dxa"/>
            <w:tcBorders>
              <w:top w:val="nil"/>
              <w:left w:val="nil"/>
              <w:bottom w:val="inset"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inset"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30" w:type="dxa"/>
            <w:tcBorders>
              <w:top w:val="nil"/>
              <w:left w:val="nil"/>
              <w:bottom w:val="inset"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inset"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inset"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inset"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inset"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705" w:type="dxa"/>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915" w:type="dxa"/>
            <w:vMerge w:val="restart"/>
            <w:tcBorders>
              <w:top w:val="nil"/>
              <w:left w:val="nil"/>
              <w:bottom w:val="inset"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（六）其他处理</w:t>
            </w:r>
          </w:p>
        </w:tc>
        <w:tc>
          <w:tcPr>
            <w:tcW w:w="279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1.申请人无正当理由逾期不补正、行政机关不再处理其政府信息公开申请</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705" w:type="dxa"/>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915" w:type="dxa"/>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279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2.申请人逾期未按收费通知要求缴纳费用、行政机关不再处理其政府信息公开申请</w:t>
            </w:r>
          </w:p>
        </w:tc>
        <w:tc>
          <w:tcPr>
            <w:tcW w:w="63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705" w:type="dxa"/>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915" w:type="dxa"/>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279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3.其他</w:t>
            </w:r>
          </w:p>
        </w:tc>
        <w:tc>
          <w:tcPr>
            <w:tcW w:w="67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7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7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7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7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7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9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705" w:type="dxa"/>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jc w:val="both"/>
              <w:rPr>
                <w:rFonts w:hint="eastAsia" w:ascii="宋体" w:hAnsi="宋体" w:eastAsia="宋体" w:cs="宋体"/>
                <w:i w:val="0"/>
                <w:iCs w:val="0"/>
                <w:caps w:val="0"/>
                <w:color w:val="333333"/>
                <w:spacing w:val="0"/>
                <w:sz w:val="24"/>
                <w:szCs w:val="24"/>
              </w:rPr>
            </w:pPr>
          </w:p>
        </w:tc>
        <w:tc>
          <w:tcPr>
            <w:tcW w:w="3480"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（七）总计</w:t>
            </w:r>
          </w:p>
        </w:tc>
        <w:tc>
          <w:tcPr>
            <w:tcW w:w="67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7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7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7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7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7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9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4260"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四、结转下年度继续办理</w:t>
            </w:r>
          </w:p>
        </w:tc>
        <w:tc>
          <w:tcPr>
            <w:tcW w:w="67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7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9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9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9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0 </w:t>
            </w:r>
          </w:p>
        </w:tc>
        <w:tc>
          <w:tcPr>
            <w:tcW w:w="69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i w:val="0"/>
                <w:iCs w:val="0"/>
                <w:caps w:val="0"/>
                <w:color w:val="333333"/>
                <w:spacing w:val="0"/>
                <w:sz w:val="20"/>
                <w:szCs w:val="20"/>
                <w:bdr w:val="none" w:color="auto" w:sz="0" w:space="0"/>
              </w:rPr>
              <w:t> 0</w:t>
            </w:r>
          </w:p>
        </w:tc>
        <w:tc>
          <w:tcPr>
            <w:tcW w:w="690"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333333"/>
                <w:spacing w:val="0"/>
                <w:sz w:val="20"/>
                <w:szCs w:val="20"/>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四、政府信息公开行政复议、行政诉讼情况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tbl>
      <w:tblPr>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行政复议</w:t>
            </w:r>
          </w:p>
        </w:tc>
        <w:tc>
          <w:tcPr>
            <w:tcW w:w="6428"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结果维持</w:t>
            </w:r>
          </w:p>
        </w:tc>
        <w:tc>
          <w:tcPr>
            <w:tcW w:w="64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结果</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纠正</w:t>
            </w:r>
          </w:p>
        </w:tc>
        <w:tc>
          <w:tcPr>
            <w:tcW w:w="64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其他</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结果</w:t>
            </w:r>
          </w:p>
        </w:tc>
        <w:tc>
          <w:tcPr>
            <w:tcW w:w="64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尚未</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审结</w:t>
            </w:r>
          </w:p>
        </w:tc>
        <w:tc>
          <w:tcPr>
            <w:tcW w:w="64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总计</w:t>
            </w:r>
          </w:p>
        </w:tc>
        <w:tc>
          <w:tcPr>
            <w:tcW w:w="3213" w:type="dxa"/>
            <w:gridSpan w:val="5"/>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未经复议直接起诉</w:t>
            </w:r>
          </w:p>
        </w:tc>
        <w:tc>
          <w:tcPr>
            <w:tcW w:w="3215" w:type="dxa"/>
            <w:gridSpan w:val="5"/>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结果</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维持</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结果</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纠正</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其他</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结果</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尚未</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审结</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总计</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结果</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维持</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结果</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纠正</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其他</w:t>
            </w:r>
            <w:r>
              <w:rPr>
                <w:rFonts w:hint="eastAsia" w:ascii="宋体" w:hAnsi="宋体" w:eastAsia="宋体" w:cs="宋体"/>
                <w:color w:val="000000"/>
                <w:sz w:val="20"/>
                <w:szCs w:val="20"/>
                <w:bdr w:val="none" w:color="auto" w:sz="0" w:space="0"/>
              </w:rPr>
              <w:br w:type="textWrapping"/>
            </w:r>
            <w:r>
              <w:rPr>
                <w:rFonts w:hint="eastAsia" w:ascii="宋体" w:hAnsi="宋体" w:eastAsia="宋体" w:cs="宋体"/>
                <w:color w:val="000000"/>
                <w:sz w:val="20"/>
                <w:szCs w:val="20"/>
                <w:bdr w:val="none" w:color="auto" w:sz="0" w:space="0"/>
              </w:rPr>
              <w:t>结果</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尚未</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审结</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0 </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0 </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0</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 0</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0"/>
                <w:szCs w:val="20"/>
                <w:bdr w:val="none" w:color="auto" w:sz="0" w:space="0"/>
              </w:rPr>
              <w:t>0</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0</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0</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0</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0</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 </w:t>
            </w:r>
            <w:r>
              <w:rPr>
                <w:rFonts w:hint="eastAsia" w:ascii="黑体" w:hAnsi="宋体" w:eastAsia="黑体" w:cs="黑体"/>
                <w:sz w:val="20"/>
                <w:szCs w:val="20"/>
                <w:bdr w:val="none" w:color="auto" w:sz="0" w:space="0"/>
              </w:rPr>
              <w:t>0</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0</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0</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0</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0</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0"/>
                <w:szCs w:val="20"/>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（一）存在的主要问题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2021年，我局政府信息公开工作取得了积极进展，但与人民群众期盼还有一定差距，政府信息统筹管理能力仍需进一步加强，群众获得信息的便利性还需进一步提升。具体而言，在以下几个方面还存在薄弱环节：</w:t>
      </w:r>
      <w:r>
        <w:rPr>
          <w:rFonts w:hint="eastAsia" w:ascii="仿宋" w:hAnsi="仿宋" w:eastAsia="仿宋" w:cs="仿宋"/>
          <w:b/>
          <w:bCs/>
          <w:i w:val="0"/>
          <w:iCs w:val="0"/>
          <w:caps w:val="0"/>
          <w:color w:val="333333"/>
          <w:spacing w:val="0"/>
          <w:sz w:val="32"/>
          <w:szCs w:val="32"/>
          <w:bdr w:val="none" w:color="auto" w:sz="0" w:space="0"/>
          <w:shd w:val="clear" w:fill="FFFFFF"/>
        </w:rPr>
        <w:t>一是</w:t>
      </w:r>
      <w:r>
        <w:rPr>
          <w:rFonts w:hint="eastAsia" w:ascii="仿宋" w:hAnsi="仿宋" w:eastAsia="仿宋" w:cs="仿宋"/>
          <w:i w:val="0"/>
          <w:iCs w:val="0"/>
          <w:caps w:val="0"/>
          <w:color w:val="333333"/>
          <w:spacing w:val="0"/>
          <w:sz w:val="32"/>
          <w:szCs w:val="32"/>
          <w:bdr w:val="none" w:color="auto" w:sz="0" w:space="0"/>
          <w:shd w:val="clear" w:fill="FFFFFF"/>
        </w:rPr>
        <w:t>政府信息公开的深度和广度还不够。</w:t>
      </w:r>
      <w:r>
        <w:rPr>
          <w:rFonts w:hint="eastAsia" w:ascii="仿宋" w:hAnsi="仿宋" w:eastAsia="仿宋" w:cs="仿宋"/>
          <w:b/>
          <w:bCs/>
          <w:i w:val="0"/>
          <w:iCs w:val="0"/>
          <w:caps w:val="0"/>
          <w:color w:val="333333"/>
          <w:spacing w:val="0"/>
          <w:sz w:val="32"/>
          <w:szCs w:val="32"/>
          <w:bdr w:val="none" w:color="auto" w:sz="0" w:space="0"/>
          <w:shd w:val="clear" w:fill="FFFFFF"/>
        </w:rPr>
        <w:t>二是</w:t>
      </w:r>
      <w:r>
        <w:rPr>
          <w:rFonts w:hint="eastAsia" w:ascii="仿宋" w:hAnsi="仿宋" w:eastAsia="仿宋" w:cs="仿宋"/>
          <w:i w:val="0"/>
          <w:iCs w:val="0"/>
          <w:caps w:val="0"/>
          <w:color w:val="333333"/>
          <w:spacing w:val="0"/>
          <w:sz w:val="32"/>
          <w:szCs w:val="32"/>
          <w:bdr w:val="none" w:color="auto" w:sz="0" w:space="0"/>
          <w:shd w:val="clear" w:fill="FFFFFF"/>
        </w:rPr>
        <w:t>政策解读的形式还不够多样和创新。</w:t>
      </w:r>
      <w:r>
        <w:rPr>
          <w:rFonts w:hint="eastAsia" w:ascii="仿宋" w:hAnsi="仿宋" w:eastAsia="仿宋" w:cs="仿宋"/>
          <w:b/>
          <w:bCs/>
          <w:i w:val="0"/>
          <w:iCs w:val="0"/>
          <w:caps w:val="0"/>
          <w:color w:val="333333"/>
          <w:spacing w:val="0"/>
          <w:sz w:val="32"/>
          <w:szCs w:val="32"/>
          <w:bdr w:val="none" w:color="auto" w:sz="0" w:space="0"/>
          <w:shd w:val="clear" w:fill="FFFFFF"/>
        </w:rPr>
        <w:t>三是</w:t>
      </w:r>
      <w:r>
        <w:rPr>
          <w:rFonts w:hint="eastAsia" w:ascii="仿宋" w:hAnsi="仿宋" w:eastAsia="仿宋" w:cs="仿宋"/>
          <w:i w:val="0"/>
          <w:iCs w:val="0"/>
          <w:caps w:val="0"/>
          <w:color w:val="333333"/>
          <w:spacing w:val="0"/>
          <w:sz w:val="32"/>
          <w:szCs w:val="32"/>
          <w:bdr w:val="none" w:color="auto" w:sz="0" w:space="0"/>
          <w:shd w:val="clear" w:fill="FFFFFF"/>
        </w:rPr>
        <w:t>部分政策文件没有提供下载渠道。</w:t>
      </w:r>
      <w:r>
        <w:rPr>
          <w:rFonts w:hint="eastAsia" w:ascii="仿宋" w:hAnsi="仿宋" w:eastAsia="仿宋" w:cs="仿宋"/>
          <w:b/>
          <w:bCs/>
          <w:i w:val="0"/>
          <w:iCs w:val="0"/>
          <w:caps w:val="0"/>
          <w:color w:val="333333"/>
          <w:spacing w:val="0"/>
          <w:sz w:val="32"/>
          <w:szCs w:val="32"/>
          <w:bdr w:val="none" w:color="auto" w:sz="0" w:space="0"/>
          <w:shd w:val="clear" w:fill="FFFFFF"/>
        </w:rPr>
        <w:t>四是</w:t>
      </w:r>
      <w:r>
        <w:rPr>
          <w:rFonts w:hint="eastAsia" w:ascii="仿宋" w:hAnsi="仿宋" w:eastAsia="仿宋" w:cs="仿宋"/>
          <w:i w:val="0"/>
          <w:iCs w:val="0"/>
          <w:caps w:val="0"/>
          <w:color w:val="333333"/>
          <w:spacing w:val="0"/>
          <w:sz w:val="32"/>
          <w:szCs w:val="32"/>
          <w:bdr w:val="none" w:color="auto" w:sz="0" w:space="0"/>
          <w:shd w:val="clear" w:fill="FFFFFF"/>
        </w:rPr>
        <w:t>部分业务科室对政府信息公开工作不够重视，公共服务事项办理过程和结果没有及时在平台进行更新。</w:t>
      </w:r>
      <w:r>
        <w:rPr>
          <w:rFonts w:hint="eastAsia" w:ascii="仿宋" w:hAnsi="仿宋" w:eastAsia="仿宋" w:cs="仿宋"/>
          <w:b/>
          <w:bCs/>
          <w:i w:val="0"/>
          <w:iCs w:val="0"/>
          <w:caps w:val="0"/>
          <w:color w:val="333333"/>
          <w:spacing w:val="0"/>
          <w:sz w:val="32"/>
          <w:szCs w:val="32"/>
          <w:bdr w:val="none" w:color="auto" w:sz="0" w:space="0"/>
          <w:shd w:val="clear" w:fill="FFFFFF"/>
        </w:rPr>
        <w:t>五是</w:t>
      </w:r>
      <w:r>
        <w:rPr>
          <w:rFonts w:hint="eastAsia" w:ascii="仿宋" w:hAnsi="仿宋" w:eastAsia="仿宋" w:cs="仿宋"/>
          <w:i w:val="0"/>
          <w:iCs w:val="0"/>
          <w:caps w:val="0"/>
          <w:color w:val="333333"/>
          <w:spacing w:val="0"/>
          <w:sz w:val="32"/>
          <w:szCs w:val="32"/>
          <w:bdr w:val="none" w:color="auto" w:sz="0" w:space="0"/>
          <w:shd w:val="clear" w:fill="FFFFFF"/>
        </w:rPr>
        <w:t>缺乏对已发布内容的经常性检查，导致出现错别字或者部分链接失效，出现页面丢失的情况。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（二）改进措施和下一步工作方向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2022年，我们将坚持以习近平新时代中国，全面推进我局政务公开工作再上新台阶。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重点完成以下任务：</w:t>
      </w:r>
      <w:r>
        <w:rPr>
          <w:rFonts w:hint="eastAsia" w:ascii="仿宋" w:hAnsi="仿宋" w:eastAsia="仿宋" w:cs="仿宋"/>
          <w:b/>
          <w:bCs/>
          <w:i w:val="0"/>
          <w:iCs w:val="0"/>
          <w:caps w:val="0"/>
          <w:color w:val="333333"/>
          <w:spacing w:val="0"/>
          <w:sz w:val="32"/>
          <w:szCs w:val="32"/>
          <w:bdr w:val="none" w:color="auto" w:sz="0" w:space="0"/>
          <w:shd w:val="clear" w:fill="FFFFFF"/>
        </w:rPr>
        <w:t>一是</w:t>
      </w:r>
      <w:r>
        <w:rPr>
          <w:rFonts w:hint="eastAsia" w:ascii="仿宋" w:hAnsi="仿宋" w:eastAsia="仿宋" w:cs="仿宋"/>
          <w:i w:val="0"/>
          <w:iCs w:val="0"/>
          <w:caps w:val="0"/>
          <w:color w:val="333333"/>
          <w:spacing w:val="0"/>
          <w:sz w:val="32"/>
          <w:szCs w:val="32"/>
          <w:bdr w:val="none" w:color="auto" w:sz="0" w:space="0"/>
          <w:shd w:val="clear" w:fill="FFFFFF"/>
        </w:rPr>
        <w:t>把握新发展阶段、贯彻新发展理念、构建新发展格局，牢记职责使命，持续拓展政府信息公开的深度和广度。</w:t>
      </w:r>
      <w:r>
        <w:rPr>
          <w:rFonts w:hint="eastAsia" w:ascii="仿宋" w:hAnsi="仿宋" w:eastAsia="仿宋" w:cs="仿宋"/>
          <w:b/>
          <w:bCs/>
          <w:i w:val="0"/>
          <w:iCs w:val="0"/>
          <w:caps w:val="0"/>
          <w:color w:val="333333"/>
          <w:spacing w:val="0"/>
          <w:sz w:val="32"/>
          <w:szCs w:val="32"/>
          <w:bdr w:val="none" w:color="auto" w:sz="0" w:space="0"/>
          <w:shd w:val="clear" w:fill="FFFFFF"/>
        </w:rPr>
        <w:t>二是</w:t>
      </w:r>
      <w:r>
        <w:rPr>
          <w:rFonts w:hint="eastAsia" w:ascii="仿宋" w:hAnsi="仿宋" w:eastAsia="仿宋" w:cs="仿宋"/>
          <w:i w:val="0"/>
          <w:iCs w:val="0"/>
          <w:caps w:val="0"/>
          <w:color w:val="333333"/>
          <w:spacing w:val="0"/>
          <w:sz w:val="32"/>
          <w:szCs w:val="32"/>
          <w:bdr w:val="none" w:color="auto" w:sz="0" w:space="0"/>
          <w:shd w:val="clear" w:fill="FFFFFF"/>
        </w:rPr>
        <w:t>加强业务学习，组织开展业务培训，提高政务公开工作经办人员的业务水平，增强政策解读力度，多样化开展政策解读，增加政策文件下载渠道，增强主动公开工作实效，让公众获取信息更快捷。</w:t>
      </w:r>
      <w:r>
        <w:rPr>
          <w:rFonts w:hint="eastAsia" w:ascii="仿宋" w:hAnsi="仿宋" w:eastAsia="仿宋" w:cs="仿宋"/>
          <w:b/>
          <w:bCs/>
          <w:i w:val="0"/>
          <w:iCs w:val="0"/>
          <w:caps w:val="0"/>
          <w:color w:val="333333"/>
          <w:spacing w:val="0"/>
          <w:sz w:val="32"/>
          <w:szCs w:val="32"/>
          <w:bdr w:val="none" w:color="auto" w:sz="0" w:space="0"/>
          <w:shd w:val="clear" w:fill="FFFFFF"/>
        </w:rPr>
        <w:t>三是</w:t>
      </w:r>
      <w:r>
        <w:rPr>
          <w:rFonts w:hint="eastAsia" w:ascii="仿宋" w:hAnsi="仿宋" w:eastAsia="仿宋" w:cs="仿宋"/>
          <w:i w:val="0"/>
          <w:iCs w:val="0"/>
          <w:caps w:val="0"/>
          <w:color w:val="333333"/>
          <w:spacing w:val="0"/>
          <w:sz w:val="32"/>
          <w:szCs w:val="32"/>
          <w:bdr w:val="none" w:color="auto" w:sz="0" w:space="0"/>
          <w:shd w:val="clear" w:fill="FFFFFF"/>
        </w:rPr>
        <w:t>加强对栏目的优化调整，超期栏目及时更新，不符合规范的栏目及时申请取消，加强对发布信息的日常巡查，尽量不要出现错别字、失效链接等问题。四是进一步规范和细化政务公开工作的内容、形式，对政务公开流程、公开范围和渠道进行规范，根据我局政务公开栏目分布情况，结合经信工作实际，完善政务公开相关制度，将政务公开工作做到细化，全力推进政务公开工作再上新台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按照《国务院办公厅关于印发〈政府信息公开信息处理费管理办法〉的通知》（国办函〔2020〕109号）规定的按件、按量收费标准，本年度没有产生信息公开处理费。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AzMTQzYzFlNmE4OTczYjA2ZWY4OTkzMDgwOWIifQ=="/>
  </w:docVars>
  <w:rsids>
    <w:rsidRoot w:val="59165B41"/>
    <w:rsid w:val="59165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2024-01-29T07:52:00Z</dcterms:created>
  <dc:creator>嚯嚯嚯</dc:creator>
  <cp:lastModifiedBy>嚯嚯嚯</cp:lastModifiedBy>
  <dcterms:modified xsi:type="dcterms:W3CDTF">2024-01-29T07:57:30Z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C44493EE5A974367AFD42B7590856400_11</vt:lpwstr>
  </property>
</Properties>
</file>