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bdr w:val="none" w:color="auto" w:sz="0" w:space="0"/>
          <w:shd w:val="clear" w:fill="FFFFFF"/>
        </w:rPr>
        <w:t>淮北市相山区司法局2021年政府信息公开</w:t>
      </w:r>
      <w:bookmarkStart w:id="0" w:name="_GoBack"/>
      <w:r>
        <w:rPr>
          <w:rFonts w:hint="default" w:ascii="Times New Roman" w:hAnsi="Times New Roman" w:eastAsia="方正小标宋简体" w:cs="Times New Roman"/>
          <w:sz w:val="44"/>
          <w:szCs w:val="44"/>
          <w:bdr w:val="none" w:color="auto" w:sz="0" w:space="0"/>
          <w:shd w:val="clear" w:fill="FFFFFF"/>
        </w:rPr>
        <w:t xml:space="preserve">工作年度报告 </w:t>
      </w:r>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kern w:val="2"/>
          <w:sz w:val="32"/>
          <w:szCs w:val="32"/>
          <w:shd w:val="clear" w:fill="FFFFFF"/>
          <w:lang w:val="en-US" w:eastAsia="zh-CN" w:bidi="ar"/>
        </w:rPr>
        <w:t>本报告</w:t>
      </w:r>
      <w:r>
        <w:rPr>
          <w:rFonts w:hint="default" w:ascii="Times New Roman" w:hAnsi="Times New Roman" w:eastAsia="仿宋_GB2312" w:cs="Times New Roman"/>
          <w:kern w:val="2"/>
          <w:sz w:val="32"/>
          <w:szCs w:val="32"/>
          <w:shd w:val="clear" w:fill="FFFFFF"/>
          <w:lang w:val="en-US" w:eastAsia="zh-CN" w:bidi="ar"/>
        </w:rPr>
        <w:t>根据《中华人民共和国政府信息公开条例》（国务院令第711号）和《国务院办公厅政府信息与政务公开办公室关于印发&lt;中华人民共和国政府信息公开工作年度报告格式&gt;的通知》（国办公开办函〔2021〕30号）要求，并结合我局工作实际形成。报告内容由总体情况、主动公开政府信息情况、收到和处理政府信息公开申请情况、政府信息公开行政复议、行政诉讼情况、存在的主要问题及改进情况、其他需要报告的事项等六个部分组成。报告中数据统计期限自2021年1月1日起至2021年12月31日止。对本报告如有任何疑问，请与相山区司法局联系，联系地址：相山区南湖路与梅苑路交叉口南黎街道办事处三楼，电话：0561-3195537，邮编：235000）。</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cs="Times New Roman"/>
        </w:rPr>
      </w:pPr>
      <w:r>
        <w:rPr>
          <w:rFonts w:hint="default" w:ascii="Times New Roman" w:hAnsi="Times New Roman" w:eastAsia="黑体" w:cs="Times New Roman"/>
          <w:kern w:val="2"/>
          <w:sz w:val="32"/>
          <w:szCs w:val="32"/>
          <w:shd w:val="clear" w:fill="FFFFFF"/>
          <w:lang w:val="en-US" w:eastAsia="zh-CN" w:bidi="ar"/>
        </w:rPr>
        <w:t>一、总体情况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kern w:val="2"/>
          <w:sz w:val="32"/>
          <w:szCs w:val="32"/>
          <w:shd w:val="clear" w:fill="FFFFFF"/>
          <w:lang w:val="en-US" w:eastAsia="zh-CN" w:bidi="ar"/>
        </w:rPr>
        <w:t>2021年以来，相山区司法局在区委、区政府的正确领导下，认真贯彻落实《中华人民共和国政府信息公开条例》，严格落实省、市、区关于深入推进政务公开工作相关决策部署，抓好抓实规范政府信息公开，进一步提高司法行政工作的透明度,促进依法行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rPr>
      </w:pPr>
      <w:r>
        <w:rPr>
          <w:rFonts w:hint="default" w:ascii="Times New Roman" w:hAnsi="Times New Roman" w:eastAsia="楷体" w:cs="Times New Roman"/>
          <w:b/>
          <w:bCs/>
          <w:kern w:val="0"/>
          <w:sz w:val="32"/>
          <w:szCs w:val="32"/>
          <w:shd w:val="clear" w:fill="FFFFFF"/>
        </w:rPr>
        <w:t>（一）主动公开情况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rPr>
      </w:pPr>
      <w:r>
        <w:rPr>
          <w:rFonts w:hint="default" w:ascii="Times New Roman" w:hAnsi="Times New Roman" w:eastAsia="仿宋_GB2312" w:cs="Times New Roman"/>
          <w:kern w:val="2"/>
          <w:sz w:val="32"/>
          <w:szCs w:val="32"/>
          <w:shd w:val="clear" w:fill="FFFFFF"/>
        </w:rPr>
        <w:t>2021年，相山区司法局坚持以公开为常态、不公开为例外，统筹兼顾、突出重点，主动公开政策法规、重大决策预公开、规划计划、建议提案办理、机构领导、机构设置等信息，做好公共法律服务基层政务公开，2021年累计主动公开信息178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rPr>
      </w:pPr>
      <w:r>
        <w:rPr>
          <w:rFonts w:hint="default" w:ascii="Times New Roman" w:hAnsi="Times New Roman" w:eastAsia="楷体" w:cs="Times New Roman"/>
          <w:b/>
          <w:bCs/>
          <w:kern w:val="0"/>
          <w:sz w:val="32"/>
          <w:szCs w:val="32"/>
          <w:shd w:val="clear" w:fill="FFFFFF"/>
        </w:rPr>
        <w:t>（二）依申请公开情况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kern w:val="2"/>
          <w:sz w:val="32"/>
          <w:szCs w:val="32"/>
          <w:shd w:val="clear" w:fill="FFFFFF"/>
          <w:lang w:val="en-US" w:eastAsia="zh-CN" w:bidi="ar"/>
        </w:rPr>
        <w:t>2021年度暂未收到公民、法人或其他组织通过政府信息公开平台、传真、信函的政府信息公开申请。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rPr>
      </w:pPr>
      <w:r>
        <w:rPr>
          <w:rFonts w:hint="default" w:ascii="Times New Roman" w:hAnsi="Times New Roman" w:eastAsia="楷体" w:cs="Times New Roman"/>
          <w:b/>
          <w:bCs/>
          <w:kern w:val="0"/>
          <w:sz w:val="32"/>
          <w:szCs w:val="32"/>
          <w:shd w:val="clear" w:fill="FFFFFF"/>
        </w:rPr>
        <w:t>（三）政府信息管理工作情况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kern w:val="2"/>
          <w:sz w:val="32"/>
          <w:szCs w:val="32"/>
          <w:shd w:val="clear" w:fill="FFFFFF"/>
          <w:lang w:val="en-US" w:eastAsia="zh-CN" w:bidi="ar"/>
        </w:rPr>
        <w:t>坚持“严格依法、全面真实、注重实效、及时便民”的政府信息公开原则，对全局信息公开目录进行全面梳理，同时根据最新权责清单和工作职责做好栏目调整和信息发布，积极参加市、区组织的政务信息工作培训和集中办公，深入推进全局政府信息公开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rPr>
      </w:pPr>
      <w:r>
        <w:rPr>
          <w:rFonts w:hint="default" w:ascii="Times New Roman" w:hAnsi="Times New Roman" w:eastAsia="楷体" w:cs="Times New Roman"/>
          <w:b/>
          <w:bCs/>
          <w:kern w:val="0"/>
          <w:sz w:val="32"/>
          <w:szCs w:val="32"/>
          <w:shd w:val="clear" w:fill="FFFFFF"/>
        </w:rPr>
        <w:t>（四）政府信息公开平台建设情况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kern w:val="2"/>
          <w:sz w:val="32"/>
          <w:szCs w:val="32"/>
          <w:shd w:val="clear" w:fill="FFFFFF"/>
          <w:lang w:val="en-US" w:eastAsia="zh-CN" w:bidi="ar"/>
        </w:rPr>
        <w:t>在区政府办牵头下，2021年区司法局严格按照要求完成了基层政务公共法律服务领域目录信息录入工作，全力推进我区基层政务公开标准化规范化建设。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rPr>
      </w:pPr>
      <w:r>
        <w:rPr>
          <w:rFonts w:hint="default" w:ascii="Times New Roman" w:hAnsi="Times New Roman" w:eastAsia="楷体" w:cs="Times New Roman"/>
          <w:b/>
          <w:bCs/>
          <w:kern w:val="0"/>
          <w:sz w:val="32"/>
          <w:szCs w:val="32"/>
          <w:shd w:val="clear" w:fill="FFFFFF"/>
        </w:rPr>
        <w:t>（五）监督保障情况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kern w:val="2"/>
          <w:sz w:val="32"/>
          <w:szCs w:val="32"/>
          <w:shd w:val="clear" w:fill="FFFFFF"/>
          <w:lang w:val="en-US" w:eastAsia="zh-CN" w:bidi="ar"/>
        </w:rPr>
        <w:t>一是强化组织领导。将政务公开工作纳入局党组领导班子重要议事日程，及时传达学习相关工作要求。成立以主要领导为组长，分管领导为副组长，各部门为成员的政府信息公开工作领导小组，并落实专人负责信息公开工作，确保政府信息公开责任到人。</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kern w:val="2"/>
          <w:sz w:val="32"/>
          <w:szCs w:val="32"/>
          <w:shd w:val="clear" w:fill="FFFFFF"/>
          <w:lang w:val="en-US" w:eastAsia="zh-CN" w:bidi="ar"/>
        </w:rPr>
        <w:t>二是强化业务培训。积极参加市、区组织的政务公开培训会和集中办公，定期召开全局政务公开业务培训会，进一步提升政务公开业务水平，促进了政府信息公开工作的规范化、制度化运行。</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kern w:val="2"/>
          <w:sz w:val="32"/>
          <w:szCs w:val="32"/>
          <w:shd w:val="clear" w:fill="FFFFFF"/>
          <w:lang w:val="en-US" w:eastAsia="zh-CN" w:bidi="ar"/>
        </w:rPr>
        <w:t>三是强化监督保障。积极接受社会各界和群众的监督，定期开展政务公开自查，并结合第三方测评结果及时进行整改完善，确保全局政务公开工作规范有序开展。同时根据工作实际，进一步强化全局政务公开工作日常管理和定期考评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rPr>
      </w:pPr>
      <w:r>
        <w:rPr>
          <w:rFonts w:hint="default" w:ascii="Times New Roman" w:hAnsi="Times New Roman" w:eastAsia="楷体" w:cs="Times New Roman"/>
          <w:b/>
          <w:bCs/>
          <w:kern w:val="0"/>
          <w:sz w:val="32"/>
          <w:szCs w:val="32"/>
          <w:shd w:val="clear" w:fill="FFFFFF"/>
        </w:rPr>
        <w:t>（六）2021年政务公开工作要点的落实情况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b w:val="0"/>
          <w:bCs w:val="0"/>
          <w:kern w:val="2"/>
          <w:sz w:val="32"/>
          <w:szCs w:val="32"/>
          <w:shd w:val="clear" w:fill="FFFFFF"/>
          <w:lang w:val="en-US" w:eastAsia="zh-CN" w:bidi="ar"/>
        </w:rPr>
        <w:t>1、财政资金信息公开。及时规范公开2020年部门决算、2021年部门预算信息、“三公”经费信息、专项资金管理和使用情况信息等。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b w:val="0"/>
          <w:bCs w:val="0"/>
          <w:kern w:val="2"/>
          <w:sz w:val="32"/>
          <w:szCs w:val="32"/>
          <w:shd w:val="clear" w:fill="FFFFFF"/>
          <w:lang w:val="en-US" w:eastAsia="zh-CN" w:bidi="ar"/>
        </w:rPr>
        <w:t>2、围绕规划计划，做好政策解读。及时公开本部门相关规划计划和落实情况，通过文字解读、专家解读等多种形式详细解读相关政策。</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b w:val="0"/>
          <w:bCs w:val="0"/>
          <w:kern w:val="2"/>
          <w:sz w:val="32"/>
          <w:szCs w:val="32"/>
          <w:shd w:val="clear" w:fill="FFFFFF"/>
          <w:lang w:val="en-US" w:eastAsia="zh-CN" w:bidi="ar"/>
        </w:rPr>
        <w:t>3、推进基层政务公开。及时公开公共法律服务领域关于法治宣传教育、法律援助、基层法律服务等相关内容，落实基层政务公开工作。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黑体" w:cs="Times New Roman"/>
          <w:b w:val="0"/>
          <w:bCs w:val="0"/>
          <w:kern w:val="0"/>
          <w:sz w:val="32"/>
          <w:szCs w:val="32"/>
          <w:shd w:val="clear" w:fill="FFFFFF"/>
        </w:rPr>
        <w:t>    二、主动公开政府信息情况</w:t>
      </w:r>
    </w:p>
    <w:tbl>
      <w:tblPr>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97"/>
        <w:gridCol w:w="1997"/>
        <w:gridCol w:w="1997"/>
        <w:gridCol w:w="23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638" w:type="dxa"/>
            <w:gridSpan w:val="4"/>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07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信息内容</w:t>
            </w:r>
          </w:p>
        </w:tc>
        <w:tc>
          <w:tcPr>
            <w:tcW w:w="207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本年制发件数</w:t>
            </w:r>
          </w:p>
        </w:tc>
        <w:tc>
          <w:tcPr>
            <w:tcW w:w="207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本年废止件数</w:t>
            </w:r>
          </w:p>
        </w:tc>
        <w:tc>
          <w:tcPr>
            <w:tcW w:w="2419"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07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规章</w:t>
            </w:r>
          </w:p>
        </w:tc>
        <w:tc>
          <w:tcPr>
            <w:tcW w:w="207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207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2419"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07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行政规范性文件</w:t>
            </w:r>
          </w:p>
        </w:tc>
        <w:tc>
          <w:tcPr>
            <w:tcW w:w="207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207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2419"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638" w:type="dxa"/>
            <w:gridSpan w:val="4"/>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07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信息内容</w:t>
            </w:r>
          </w:p>
        </w:tc>
        <w:tc>
          <w:tcPr>
            <w:tcW w:w="6565" w:type="dxa"/>
            <w:gridSpan w:val="3"/>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67" w:hRule="atLeast"/>
        </w:trPr>
        <w:tc>
          <w:tcPr>
            <w:tcW w:w="207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行政许可</w:t>
            </w:r>
          </w:p>
        </w:tc>
        <w:tc>
          <w:tcPr>
            <w:tcW w:w="6565" w:type="dxa"/>
            <w:gridSpan w:val="3"/>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宋体" w:cs="Times New Roman"/>
                <w:color w:val="333333"/>
                <w:kern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638" w:type="dxa"/>
            <w:gridSpan w:val="4"/>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07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信息内容</w:t>
            </w:r>
          </w:p>
        </w:tc>
        <w:tc>
          <w:tcPr>
            <w:tcW w:w="6565" w:type="dxa"/>
            <w:gridSpan w:val="3"/>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07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行政处罚</w:t>
            </w:r>
          </w:p>
        </w:tc>
        <w:tc>
          <w:tcPr>
            <w:tcW w:w="6565" w:type="dxa"/>
            <w:gridSpan w:val="3"/>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07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行政强制</w:t>
            </w:r>
          </w:p>
        </w:tc>
        <w:tc>
          <w:tcPr>
            <w:tcW w:w="6565" w:type="dxa"/>
            <w:gridSpan w:val="3"/>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638" w:type="dxa"/>
            <w:gridSpan w:val="4"/>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7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信息内容</w:t>
            </w:r>
          </w:p>
        </w:tc>
        <w:tc>
          <w:tcPr>
            <w:tcW w:w="6565" w:type="dxa"/>
            <w:gridSpan w:val="3"/>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7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行政事业性收费</w:t>
            </w:r>
          </w:p>
        </w:tc>
        <w:tc>
          <w:tcPr>
            <w:tcW w:w="6565" w:type="dxa"/>
            <w:gridSpan w:val="3"/>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黑体" w:cs="Times New Roman"/>
          <w:b w:val="0"/>
          <w:bCs w:val="0"/>
          <w:kern w:val="0"/>
          <w:sz w:val="32"/>
          <w:szCs w:val="32"/>
          <w:shd w:val="clear" w:fill="FFFFFF"/>
        </w:rPr>
        <w:t>    三、收到和处理政府信息公开申请情况</w:t>
      </w:r>
    </w:p>
    <w:tbl>
      <w:tblPr>
        <w:tblW w:w="5000" w:type="pct"/>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65"/>
        <w:gridCol w:w="1257"/>
        <w:gridCol w:w="1329"/>
        <w:gridCol w:w="1074"/>
        <w:gridCol w:w="1074"/>
        <w:gridCol w:w="419"/>
        <w:gridCol w:w="419"/>
        <w:gridCol w:w="419"/>
        <w:gridCol w:w="501"/>
        <w:gridCol w:w="6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3887" w:type="dxa"/>
            <w:gridSpan w:val="3"/>
            <w:vMerge w:val="restart"/>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（本列数据的勾稽关系为：第一项加第二项之和，等于第三项加第四项之和）</w:t>
            </w:r>
          </w:p>
        </w:tc>
        <w:tc>
          <w:tcPr>
            <w:tcW w:w="4751" w:type="dxa"/>
            <w:gridSpan w:val="7"/>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3887" w:type="dxa"/>
            <w:gridSpan w:val="3"/>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123" w:type="dxa"/>
            <w:vMerge w:val="restart"/>
            <w:tcBorders>
              <w:top w:val="nil"/>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自然人</w:t>
            </w:r>
          </w:p>
        </w:tc>
        <w:tc>
          <w:tcPr>
            <w:tcW w:w="2937" w:type="dxa"/>
            <w:gridSpan w:val="5"/>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法人或其他组织</w:t>
            </w:r>
          </w:p>
        </w:tc>
        <w:tc>
          <w:tcPr>
            <w:tcW w:w="691" w:type="dxa"/>
            <w:vMerge w:val="restar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3887" w:type="dxa"/>
            <w:gridSpan w:val="3"/>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123"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商业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企业</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科研</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机构</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社会公益组织</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法律服务机构</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其他</w:t>
            </w:r>
          </w:p>
        </w:tc>
        <w:tc>
          <w:tcPr>
            <w:tcW w:w="691" w:type="dxa"/>
            <w:vMerge w:val="continue"/>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3887" w:type="dxa"/>
            <w:gridSpan w:val="3"/>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一、本年新收政府信息公开申请数量</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3887" w:type="dxa"/>
            <w:gridSpan w:val="3"/>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二、上年结转政府信息公开申请数量</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restart"/>
            <w:tcBorders>
              <w:top w:val="nil"/>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三、本年度办理结果</w:t>
            </w:r>
          </w:p>
        </w:tc>
        <w:tc>
          <w:tcPr>
            <w:tcW w:w="2678" w:type="dxa"/>
            <w:gridSpan w:val="2"/>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（一）予以公开</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2678" w:type="dxa"/>
            <w:gridSpan w:val="2"/>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（二）部分公开（区分处理的，只计这一情形，不计其他情形）</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restart"/>
            <w:tcBorders>
              <w:top w:val="nil"/>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（三）不予公开</w:t>
            </w: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1.       属于国家秘密</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2.       其他法律行政法规禁止公开</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3.       危及“三安全一稳定”</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4.       保护第三方合法权益</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5.       属于三类内部事务信息</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6.       属于四类过程性信息</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7.       属于行政执法案卷</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8.       属于行政查询事项</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restart"/>
            <w:tcBorders>
              <w:top w:val="nil"/>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（四）无法提供</w:t>
            </w: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1.       本机关不掌握相关政府信息</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2.       没有现成信息需要另行制作</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3.       补正后申请内容仍不明确</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restart"/>
            <w:tcBorders>
              <w:top w:val="nil"/>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（五）不予处理</w:t>
            </w: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1.       信访举报投诉类申请</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2.       重复申请</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3.       要求提供公开出版物</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4.       无正当理由大量反复申请</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5.       要求行政机关确认或重新出具已获取信息</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restart"/>
            <w:tcBorders>
              <w:top w:val="nil"/>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（六）其他处理</w:t>
            </w: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1.       申请人无正当理由逾期不补正、行政机关不再处理其政府信息公开申请</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2.       申请人逾期未按收费通知要求缴纳费用、行政机关不再处理其政府信息公开申请</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296" w:type="dxa"/>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138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3.       其他</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09" w:type="dxa"/>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2678" w:type="dxa"/>
            <w:gridSpan w:val="2"/>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（七）总计</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3887" w:type="dxa"/>
            <w:gridSpan w:val="3"/>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四、结转下年度继续办理</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1123"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432"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518"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691" w:type="dxa"/>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黑体" w:cs="Times New Roman"/>
          <w:b w:val="0"/>
          <w:bCs w:val="0"/>
          <w:kern w:val="0"/>
          <w:sz w:val="32"/>
          <w:szCs w:val="32"/>
          <w:shd w:val="clear" w:fill="FFFFFF"/>
        </w:rPr>
        <w:t>    四、政府信息公开行政复议、行政诉讼情况</w:t>
      </w:r>
    </w:p>
    <w:tbl>
      <w:tblPr>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2"/>
        <w:gridCol w:w="552"/>
        <w:gridCol w:w="552"/>
        <w:gridCol w:w="553"/>
        <w:gridCol w:w="561"/>
        <w:gridCol w:w="553"/>
        <w:gridCol w:w="553"/>
        <w:gridCol w:w="553"/>
        <w:gridCol w:w="553"/>
        <w:gridCol w:w="561"/>
        <w:gridCol w:w="554"/>
        <w:gridCol w:w="554"/>
        <w:gridCol w:w="554"/>
        <w:gridCol w:w="554"/>
        <w:gridCol w:w="5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665" w:type="pct"/>
            <w:gridSpan w:val="5"/>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行政复议</w:t>
            </w:r>
          </w:p>
        </w:tc>
        <w:tc>
          <w:tcPr>
            <w:tcW w:w="3334" w:type="pct"/>
            <w:gridSpan w:val="10"/>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332" w:type="pct"/>
            <w:vMerge w:val="restart"/>
            <w:tcBorders>
              <w:top w:val="nil"/>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结果维持</w:t>
            </w:r>
          </w:p>
        </w:tc>
        <w:tc>
          <w:tcPr>
            <w:tcW w:w="332" w:type="pct"/>
            <w:vMerge w:val="restart"/>
            <w:tcBorders>
              <w:top w:val="nil"/>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结果纠正</w:t>
            </w:r>
          </w:p>
        </w:tc>
        <w:tc>
          <w:tcPr>
            <w:tcW w:w="332" w:type="pct"/>
            <w:vMerge w:val="restar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其他结果</w:t>
            </w:r>
          </w:p>
        </w:tc>
        <w:tc>
          <w:tcPr>
            <w:tcW w:w="332" w:type="pct"/>
            <w:vMerge w:val="restar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尚未审结</w:t>
            </w:r>
          </w:p>
        </w:tc>
        <w:tc>
          <w:tcPr>
            <w:tcW w:w="334" w:type="pct"/>
            <w:vMerge w:val="restar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总计</w:t>
            </w:r>
          </w:p>
        </w:tc>
        <w:tc>
          <w:tcPr>
            <w:tcW w:w="1665" w:type="pct"/>
            <w:gridSpan w:val="5"/>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未经复议直接起诉</w:t>
            </w:r>
          </w:p>
        </w:tc>
        <w:tc>
          <w:tcPr>
            <w:tcW w:w="1668" w:type="pct"/>
            <w:gridSpan w:val="5"/>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332" w:type="pct"/>
            <w:vMerge w:val="continue"/>
            <w:tcBorders>
              <w:top w:val="nil"/>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332" w:type="pct"/>
            <w:vMerge w:val="continue"/>
            <w:tcBorders>
              <w:top w:val="nil"/>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332" w:type="pct"/>
            <w:vMerge w:val="continue"/>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332" w:type="pct"/>
            <w:vMerge w:val="continue"/>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334" w:type="pct"/>
            <w:vMerge w:val="continue"/>
            <w:tcBorders>
              <w:top w:val="outset" w:color="auto" w:sz="6" w:space="0"/>
              <w:left w:val="nil"/>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eastAsia="微软雅黑" w:cs="Times New Roman"/>
                <w:color w:val="333333"/>
                <w:sz w:val="18"/>
                <w:szCs w:val="18"/>
              </w:rPr>
            </w:pPr>
          </w:p>
        </w:tc>
        <w:tc>
          <w:tcPr>
            <w:tcW w:w="332"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结果维持</w:t>
            </w:r>
          </w:p>
        </w:tc>
        <w:tc>
          <w:tcPr>
            <w:tcW w:w="332"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结果纠正</w:t>
            </w:r>
          </w:p>
        </w:tc>
        <w:tc>
          <w:tcPr>
            <w:tcW w:w="332"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其他结果</w:t>
            </w:r>
          </w:p>
        </w:tc>
        <w:tc>
          <w:tcPr>
            <w:tcW w:w="332"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尚未审结</w:t>
            </w:r>
          </w:p>
        </w:tc>
        <w:tc>
          <w:tcPr>
            <w:tcW w:w="334"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总计</w:t>
            </w:r>
          </w:p>
        </w:tc>
        <w:tc>
          <w:tcPr>
            <w:tcW w:w="333"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结果维持</w:t>
            </w:r>
          </w:p>
        </w:tc>
        <w:tc>
          <w:tcPr>
            <w:tcW w:w="333"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结果纠正</w:t>
            </w:r>
          </w:p>
        </w:tc>
        <w:tc>
          <w:tcPr>
            <w:tcW w:w="333"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其他结果</w:t>
            </w:r>
          </w:p>
        </w:tc>
        <w:tc>
          <w:tcPr>
            <w:tcW w:w="333"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尚未审结</w:t>
            </w:r>
          </w:p>
        </w:tc>
        <w:tc>
          <w:tcPr>
            <w:tcW w:w="334"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332" w:type="pct"/>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2"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2"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2"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4"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2"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2"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2"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2"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4"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3"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3"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3"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3"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c>
          <w:tcPr>
            <w:tcW w:w="334" w:type="pct"/>
            <w:tcBorders>
              <w:top w:val="outset" w:color="auto" w:sz="6" w:space="0"/>
              <w:left w:val="nil"/>
              <w:bottom w:val="outset" w:color="auto" w:sz="6" w:space="0"/>
              <w:right w:val="outset" w:color="auto" w:sz="6" w:space="0"/>
            </w:tcBorders>
            <w:shd w:val="cle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微软雅黑" w:cs="Times New Roman"/>
                <w:color w:val="333333"/>
                <w:kern w:val="0"/>
                <w:sz w:val="18"/>
                <w:szCs w:val="18"/>
                <w:bdr w:val="none" w:color="auto" w:sz="0" w:space="0"/>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r>
        <w:rPr>
          <w:rFonts w:hint="default" w:ascii="Times New Roman" w:hAnsi="Times New Roman" w:eastAsia="黑体" w:cs="Times New Roman"/>
          <w:b w:val="0"/>
          <w:bCs w:val="0"/>
          <w:kern w:val="0"/>
          <w:sz w:val="32"/>
          <w:szCs w:val="32"/>
          <w:shd w:val="clear" w:fill="FFFFFF"/>
        </w:rPr>
        <w:t>    五、存在的主要问题及改进情况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30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kern w:val="0"/>
          <w:sz w:val="32"/>
          <w:szCs w:val="32"/>
          <w:shd w:val="clear" w:fill="FFFFFF"/>
        </w:rPr>
        <w:t>虽然2021年度相山区司法局政务公开工作取得了一定的成绩，但是还存在一些不足，主要是信息公开力度还有待提升，政务公开工作重视程度还有待进一步加强，信息公开的内容、质量和途径还有待进一步丰富。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30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kern w:val="0"/>
          <w:sz w:val="32"/>
          <w:szCs w:val="32"/>
          <w:shd w:val="clear" w:fill="FFFFFF"/>
        </w:rPr>
        <w:t>针对以上问题，我局制定了三方面改进措施：一是加强重点领域政府信息公开。针对基层关心重点问题和反映的实际问题方面，进一步加大公开力度。二是加强业务培训。通过业务培训和相关工作要求传达，进一步提升全局对政务公开工作的重视程度和业务水平，确保政务公开工作有效推进。三是加强质量提升。将政府信息公开和新媒体充分结合，不断丰富信息公开的内容，拓宽政府信息公开的途径，进一步提升信息公开质量，做好政务公开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jc w:val="both"/>
        <w:textAlignment w:val="auto"/>
        <w:rPr>
          <w:rFonts w:hint="default" w:ascii="Times New Roman" w:hAnsi="Times New Roman" w:cs="Times New Roman"/>
        </w:rPr>
      </w:pPr>
      <w:r>
        <w:rPr>
          <w:rFonts w:hint="default" w:ascii="Times New Roman" w:hAnsi="Times New Roman" w:eastAsia="黑体" w:cs="Times New Roman"/>
          <w:b w:val="0"/>
          <w:bCs w:val="0"/>
          <w:kern w:val="0"/>
          <w:sz w:val="32"/>
          <w:szCs w:val="32"/>
          <w:shd w:val="clear" w:fill="FFFFFF"/>
        </w:rPr>
        <w:t>六、其他需要报告的事项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jc w:val="both"/>
        <w:textAlignment w:val="auto"/>
        <w:rPr>
          <w:rFonts w:hint="default" w:ascii="Times New Roman" w:hAnsi="Times New Roman" w:cs="Times New Roman"/>
        </w:rPr>
      </w:pPr>
      <w:r>
        <w:rPr>
          <w:rFonts w:hint="default" w:ascii="Times New Roman" w:hAnsi="Times New Roman" w:eastAsia="仿宋_GB2312" w:cs="Times New Roman"/>
          <w:b w:val="0"/>
          <w:bCs w:val="0"/>
          <w:kern w:val="0"/>
          <w:sz w:val="32"/>
          <w:szCs w:val="32"/>
          <w:shd w:val="clear" w:fill="FFFFFF"/>
        </w:rPr>
        <w:t>按照《国务院办公厅关于印发〈政府信息公开信息处理费管理办法〉的通知》（国办函〔2020〕109号）规定的按件、按量收费标准，本年度没有产生信息公开处理费。</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2384F"/>
    <w:rsid w:val="6FA2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TML Definition"/>
    <w:basedOn w:val="5"/>
    <w:uiPriority w:val="0"/>
    <w:rPr>
      <w:i/>
      <w:iCs/>
    </w:rPr>
  </w:style>
  <w:style w:type="character" w:styleId="9">
    <w:name w:val="HTML Acronym"/>
    <w:basedOn w:val="5"/>
    <w:uiPriority w:val="0"/>
    <w:rPr>
      <w:bdr w:val="none" w:color="auto" w:sz="0" w:space="0"/>
    </w:rPr>
  </w:style>
  <w:style w:type="character" w:styleId="10">
    <w:name w:val="Hyperlink"/>
    <w:basedOn w:val="5"/>
    <w:uiPriority w:val="0"/>
    <w:rPr>
      <w:color w:val="333333"/>
      <w:u w:val="none"/>
    </w:rPr>
  </w:style>
  <w:style w:type="character" w:styleId="11">
    <w:name w:val="HTML Code"/>
    <w:basedOn w:val="5"/>
    <w:uiPriority w:val="0"/>
    <w:rPr>
      <w:rFonts w:hint="default" w:ascii="monospace" w:hAnsi="monospace" w:eastAsia="monospace" w:cs="monospace"/>
      <w:sz w:val="21"/>
      <w:szCs w:val="21"/>
    </w:rPr>
  </w:style>
  <w:style w:type="character" w:styleId="12">
    <w:name w:val="HTML Keyboard"/>
    <w:basedOn w:val="5"/>
    <w:uiPriority w:val="0"/>
    <w:rPr>
      <w:rFonts w:hint="default" w:ascii="monospace" w:hAnsi="monospace" w:eastAsia="monospace" w:cs="monospace"/>
      <w:sz w:val="21"/>
      <w:szCs w:val="21"/>
    </w:rPr>
  </w:style>
  <w:style w:type="character" w:styleId="13">
    <w:name w:val="HTML Sample"/>
    <w:basedOn w:val="5"/>
    <w:uiPriority w:val="0"/>
    <w:rPr>
      <w:rFonts w:ascii="monospace" w:hAnsi="monospace" w:eastAsia="monospace" w:cs="monospace"/>
      <w:sz w:val="21"/>
      <w:szCs w:val="21"/>
    </w:rPr>
  </w:style>
  <w:style w:type="character" w:customStyle="1" w:styleId="14">
    <w:name w:val="button"/>
    <w:basedOn w:val="5"/>
    <w:uiPriority w:val="0"/>
    <w:rPr>
      <w:bdr w:val="none" w:color="auto" w:sz="0" w:space="0"/>
    </w:rPr>
  </w:style>
  <w:style w:type="character" w:customStyle="1" w:styleId="15">
    <w:name w:val="tmpztreemove_arrow"/>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2024-01-30T09:27:00Z</dcterms:created>
  <dc:creator>张娜</dc:creator>
  <cp:lastModifiedBy>张娜</cp:lastModifiedBy>
  <dcterms:modified xsi:type="dcterms:W3CDTF">2024-01-30T09:31:19Z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B5D63681F0F34045BA333EEA7FC88FAC</vt:lpwstr>
  </property>
</Properties>
</file>