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0" w:afterAutospacing="0"/>
        <w:ind w:right="0"/>
        <w:jc w:val="center"/>
        <w:rPr>
          <w:rFonts w:hint="eastAsia" w:ascii="方正小标宋简体" w:hAnsi="方正小标宋简体" w:eastAsia="方正小标宋简体" w:cs="方正小标宋简体"/>
          <w:color w:val="333333"/>
          <w:sz w:val="44"/>
          <w:szCs w:val="44"/>
          <w:u w:val="none"/>
          <w:bdr w:val="none" w:color="auto" w:sz="0" w:space="0"/>
        </w:rPr>
      </w:pPr>
      <w:bookmarkStart w:id="0" w:name="_GoBack"/>
      <w:r>
        <w:rPr>
          <w:rFonts w:hint="eastAsia" w:ascii="方正小标宋简体" w:hAnsi="方正小标宋简体" w:eastAsia="方正小标宋简体" w:cs="方正小标宋简体"/>
          <w:color w:val="333333"/>
          <w:sz w:val="44"/>
          <w:szCs w:val="44"/>
          <w:u w:val="none"/>
          <w:bdr w:val="none" w:color="auto" w:sz="0" w:space="0"/>
        </w:rPr>
        <w:fldChar w:fldCharType="begin"/>
      </w:r>
      <w:r>
        <w:rPr>
          <w:rFonts w:hint="eastAsia" w:ascii="方正小标宋简体" w:hAnsi="方正小标宋简体" w:eastAsia="方正小标宋简体" w:cs="方正小标宋简体"/>
          <w:color w:val="333333"/>
          <w:sz w:val="44"/>
          <w:szCs w:val="44"/>
          <w:u w:val="none"/>
          <w:bdr w:val="none" w:color="auto" w:sz="0" w:space="0"/>
        </w:rPr>
        <w:instrText xml:space="preserve"> HYPERLINK "https://www.hbxs.gov.cn/zwgk/public/content/56196431" \t "http://10.0.3.25:10180/_blank" </w:instrText>
      </w:r>
      <w:r>
        <w:rPr>
          <w:rFonts w:hint="eastAsia" w:ascii="方正小标宋简体" w:hAnsi="方正小标宋简体" w:eastAsia="方正小标宋简体" w:cs="方正小标宋简体"/>
          <w:color w:val="333333"/>
          <w:sz w:val="44"/>
          <w:szCs w:val="44"/>
          <w:u w:val="none"/>
          <w:bdr w:val="none" w:color="auto" w:sz="0" w:space="0"/>
        </w:rPr>
        <w:fldChar w:fldCharType="separate"/>
      </w:r>
      <w:r>
        <w:rPr>
          <w:rStyle w:val="9"/>
          <w:rFonts w:hint="eastAsia" w:ascii="方正小标宋简体" w:hAnsi="方正小标宋简体" w:eastAsia="方正小标宋简体" w:cs="方正小标宋简体"/>
          <w:color w:val="333333"/>
          <w:sz w:val="44"/>
          <w:szCs w:val="44"/>
          <w:u w:val="none"/>
          <w:bdr w:val="none" w:color="auto" w:sz="0" w:space="0"/>
        </w:rPr>
        <w:t xml:space="preserve">淮北市相山区司法局2019年政府信息公开工作年度报告 </w:t>
      </w:r>
      <w:r>
        <w:rPr>
          <w:rFonts w:hint="eastAsia" w:ascii="方正小标宋简体" w:hAnsi="方正小标宋简体" w:eastAsia="方正小标宋简体" w:cs="方正小标宋简体"/>
          <w:color w:val="333333"/>
          <w:sz w:val="44"/>
          <w:szCs w:val="44"/>
          <w:u w:val="none"/>
          <w:bdr w:val="none" w:color="auto" w:sz="0" w:space="0"/>
        </w:rPr>
        <w:fldChar w:fldCharType="end"/>
      </w:r>
    </w:p>
    <w:bookmarkEnd w:id="0"/>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ascii="仿宋" w:hAnsi="仿宋" w:eastAsia="仿宋" w:cs="仿宋"/>
          <w:color w:val="333333"/>
          <w:sz w:val="32"/>
          <w:szCs w:val="32"/>
          <w:shd w:val="clear" w:fill="FFFFFF"/>
        </w:rPr>
        <w:t>本报告是根据《中华人民共和国政府信息公开条例》（以下简称《条例》）要求，由淮北市相山区司法局编制。全文由政府信息公开总体情况、主动公开政府信息情况、收到和处理政府信息公开申请情况、政府信息公开行政复议和行政诉讼情况、存在主要问题和改进情况、其它需要报告等六部分组成。本报告中所列数据的统计期限自</w:t>
      </w:r>
      <w:r>
        <w:rPr>
          <w:rFonts w:hint="eastAsia" w:ascii="仿宋" w:hAnsi="仿宋" w:eastAsia="仿宋" w:cs="仿宋"/>
          <w:color w:val="333333"/>
          <w:sz w:val="32"/>
          <w:szCs w:val="32"/>
          <w:shd w:val="clear" w:fill="FFFFFF"/>
        </w:rPr>
        <w:t>2019年1月1日起至2019年12月31日止。如有疑问，请与淮北市相山区司法局办公室联系。（地址：淮北市相山区梅苑路与南湖路交叉口南黎街道办事处三楼相山区司法局办公室，邮编：235000，电话:0561-3195537）。</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ascii="黑体" w:hAnsi="宋体" w:eastAsia="黑体" w:cs="黑体"/>
          <w:color w:val="333333"/>
          <w:sz w:val="32"/>
          <w:szCs w:val="32"/>
          <w:shd w:val="clear" w:fill="FFFFFF"/>
        </w:rPr>
        <w:t>一、总体情况</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仿宋" w:hAnsi="仿宋" w:eastAsia="仿宋" w:cs="仿宋"/>
          <w:color w:val="333333"/>
          <w:sz w:val="32"/>
          <w:szCs w:val="32"/>
          <w:shd w:val="clear" w:fill="FFFFFF"/>
        </w:rPr>
        <w:t>2019年，我局对本年度公开的政府信息进行了认真的梳理和编目，截至12月31日，新增主动公开政府信息370条，累计主动公开政府信息达2334条。新增主动公开政府信息中包括：政策法规14条，重大决策预公开8条，规划计划10条，决策部署落实情况9条，建议提案办理11条，机构领导14条，机构设置24条，财政资金19条，精准脱贫11条，应急管理8条，权责清单和动态调整情况3条，公共服务清单和中介服务3条，行政权力运行27条，“双随机一公开”2条，招标采购2条，新闻发布11条，上级政策解读9条，本级政策解读4条，主动回应10条，监督保障83条，证明事项清单1条。</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仿宋" w:hAnsi="仿宋" w:eastAsia="仿宋" w:cs="仿宋"/>
          <w:color w:val="333333"/>
          <w:sz w:val="32"/>
          <w:szCs w:val="32"/>
          <w:bdr w:val="none" w:color="auto" w:sz="0" w:space="0"/>
          <w:shd w:val="clear" w:fill="FFFFFF"/>
        </w:rPr>
        <w:drawing>
          <wp:inline distT="0" distB="0" distL="114300" distR="114300">
            <wp:extent cx="4610100" cy="2762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10100" cy="2762250"/>
                    </a:xfrm>
                    <a:prstGeom prst="rect">
                      <a:avLst/>
                    </a:prstGeom>
                    <a:noFill/>
                    <a:ln w="9525">
                      <a:noFill/>
                    </a:ln>
                  </pic:spPr>
                </pic:pic>
              </a:graphicData>
            </a:graphic>
          </wp:inline>
        </w:drawing>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b/>
          <w:bCs/>
          <w:sz w:val="32"/>
          <w:szCs w:val="32"/>
          <w:shd w:val="clear" w:fill="FFFFFF"/>
        </w:rPr>
        <w:t>（一）主动公开与中心工作相结合</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1、应公开信息及时更新。相山区司法局主动、及时、全面公开司法行政工作及百姓关心的热点等方面的工作信息。及时发布本局机构领导、机构设置、法律法规、部门文件和上级及本级政策解读信息，公开各项业务办事指南，进一步扩大政务公开的覆盖面和影响力。</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2、权责清单和公共服务清单注重落实。依法梳理和公布本部门权责清单和公共服务清单，落实并公开“双随机一公开”工作，实行动态管理。</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3、财政资金重点公开。及时、准确做好财政预决算、“三公”经费和招投标等信息公开工作，做到财政资金公开快、准、实，依法依规接受广大群众的监督。</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b/>
          <w:bCs/>
          <w:sz w:val="32"/>
          <w:szCs w:val="32"/>
          <w:shd w:val="clear" w:fill="FFFFFF"/>
        </w:rPr>
        <w:t>（二）按法规范依申请公开工作</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1、畅通依申请公开受理渠道。按照工作要求，定期对依申请公开信息进行整理汇总，畅通依申请公开受理渠道，依法保障公众合理的信息需求。2019年，我局共接收依申请公开0件。</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2、落实依申请公开受理责任。健全落实依申请公开流程，指定专人负责依申请公开工作，落实责任，明确到人，确保依申请公开有序开展。</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b/>
          <w:bCs/>
          <w:sz w:val="32"/>
          <w:szCs w:val="32"/>
          <w:shd w:val="clear" w:fill="FFFFFF"/>
        </w:rPr>
        <w:t>（三）政府信息公开的收费及减免情况</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2019年我局认真按照《政府信息公开条例》规定公开政府信息，未收取涉及政府信息公开申请的任何费用。</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b/>
          <w:bCs/>
          <w:sz w:val="32"/>
          <w:szCs w:val="32"/>
          <w:shd w:val="clear" w:fill="FFFFFF"/>
        </w:rPr>
        <w:t>（四）政府信息管理情况</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根据工作需要和人事变动及时调整政务公开工作领导小组成员，由主要负责人任组长，分管负责人任副组长，各相关部门、派出机构负责人担任领导小组成员，领导小组下设办公室，明确专人负责政务公开相关工作，压实责任，落实工作，促进我局政务公开工作健康有序的发展。</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b/>
          <w:bCs/>
          <w:sz w:val="32"/>
          <w:szCs w:val="32"/>
          <w:shd w:val="clear" w:fill="FFFFFF"/>
        </w:rPr>
        <w:t>（五）做好政务公开平台建设</w:t>
      </w:r>
    </w:p>
    <w:p>
      <w:pPr>
        <w:pStyle w:val="2"/>
        <w:keepNext w:val="0"/>
        <w:keepLines w:val="0"/>
        <w:widowControl/>
        <w:suppressLineNumbers w:val="0"/>
        <w:spacing w:before="150" w:beforeAutospacing="0" w:after="0" w:afterAutospacing="0"/>
        <w:ind w:left="0" w:right="0" w:firstLine="480"/>
        <w:jc w:val="both"/>
        <w:rPr>
          <w:rFonts w:hint="eastAsia" w:ascii="宋体" w:hAnsi="宋体" w:eastAsia="宋体" w:cs="宋体"/>
          <w:sz w:val="24"/>
          <w:szCs w:val="24"/>
        </w:rPr>
      </w:pPr>
      <w:r>
        <w:rPr>
          <w:rFonts w:hint="eastAsia" w:ascii="仿宋" w:hAnsi="仿宋" w:eastAsia="仿宋" w:cs="仿宋"/>
          <w:sz w:val="32"/>
          <w:szCs w:val="32"/>
          <w:shd w:val="clear" w:fill="FFFFFF"/>
        </w:rPr>
        <w:t>2019年，我局加强政务公开平台建设，有序的完成了政务公开信息的发布、搬迁等工作，及时参加市、区政务公开工作培训会，并传达培训内容，做好学习落实。</w:t>
      </w:r>
    </w:p>
    <w:p>
      <w:pPr>
        <w:pStyle w:val="2"/>
        <w:keepNext w:val="0"/>
        <w:keepLines w:val="0"/>
        <w:widowControl/>
        <w:suppressLineNumbers w:val="0"/>
        <w:spacing w:before="0" w:beforeAutospacing="0" w:after="0" w:afterAutospacing="0"/>
        <w:ind w:left="0" w:right="0" w:firstLine="420"/>
        <w:jc w:val="both"/>
      </w:pPr>
      <w:r>
        <w:rPr>
          <w:rFonts w:hint="eastAsia" w:ascii="仿宋" w:hAnsi="仿宋" w:eastAsia="仿宋" w:cs="仿宋"/>
          <w:b/>
          <w:bCs/>
          <w:color w:val="333333"/>
          <w:kern w:val="0"/>
          <w:sz w:val="32"/>
          <w:szCs w:val="32"/>
          <w:shd w:val="clear" w:fill="FFFFFF"/>
        </w:rPr>
        <w:t>（六）监督保障情况</w:t>
      </w:r>
    </w:p>
    <w:p>
      <w:pPr>
        <w:pStyle w:val="2"/>
        <w:keepNext w:val="0"/>
        <w:keepLines w:val="0"/>
        <w:widowControl/>
        <w:suppressLineNumbers w:val="0"/>
        <w:spacing w:before="0" w:beforeAutospacing="0" w:after="0" w:afterAutospacing="0"/>
        <w:ind w:left="0" w:right="0" w:firstLine="420"/>
        <w:jc w:val="both"/>
      </w:pPr>
      <w:r>
        <w:rPr>
          <w:rFonts w:hint="eastAsia" w:ascii="仿宋" w:hAnsi="仿宋" w:eastAsia="仿宋" w:cs="仿宋"/>
          <w:color w:val="333333"/>
          <w:kern w:val="0"/>
          <w:sz w:val="32"/>
          <w:szCs w:val="32"/>
          <w:shd w:val="clear" w:fill="FFFFFF"/>
        </w:rPr>
        <w:t>一是加强组织领导。根据工作需要调整政务公开工作领导小组成员，优化职能，继续推行“一把手”负总则，落实责任，加强对政务公开工作的监督和指导，将政务公开工作纳入年度重点工作中去，确保政务公开工作稳定、高效、有序的开展。二是完善公开机制。建立和健全相山区司法局政务信息公开工作机制，明确公开责任、程序、公开方式和公开时限，保质、保量完成政务信息公开工作任务，向社会各界公布司法行政工作各项政策法规、机构设置、办事指南、最新动态、财务状况等信息，并设置互动栏目，为群众答疑解惑，加强与群众的交流和沟通，接受社会评议和社会监督。三、强化考核监督。为保障相山区司法局政务公开工作的开展，我局将政务公开工作纳入年度目标考核任务，定期对各部门政务公开工作开展情况进行监督检查，对应公开未公开的信息，和公开不及时的情况进行通报，并将检查结果作为年终目标考核依据并督促落实整改。对于区政务中心发送的整改信息，及时整改并公布整改情况。</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二、主动公开政府信息情况</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16"/>
        <w:gridCol w:w="2317"/>
        <w:gridCol w:w="6"/>
        <w:gridCol w:w="666"/>
        <w:gridCol w:w="2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5000" w:type="pct"/>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151"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本年新</w:t>
            </w:r>
            <w:r>
              <w:rPr>
                <w:rFonts w:hint="eastAsia" w:ascii="仿宋" w:hAnsi="仿宋" w:eastAsia="仿宋" w:cs="仿宋"/>
                <w:color w:val="000000"/>
                <w:sz w:val="32"/>
                <w:szCs w:val="32"/>
              </w:rPr>
              <w:br w:type="textWrapping"/>
            </w:r>
            <w:r>
              <w:rPr>
                <w:rFonts w:hint="eastAsia" w:ascii="仿宋" w:hAnsi="仿宋" w:eastAsia="仿宋" w:cs="仿宋"/>
                <w:color w:val="333333"/>
                <w:sz w:val="32"/>
                <w:szCs w:val="32"/>
              </w:rPr>
              <w:t>制作数量</w:t>
            </w:r>
          </w:p>
        </w:tc>
        <w:tc>
          <w:tcPr>
            <w:tcW w:w="781"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本年新</w:t>
            </w:r>
            <w:r>
              <w:rPr>
                <w:rFonts w:hint="eastAsia" w:ascii="仿宋" w:hAnsi="仿宋" w:eastAsia="仿宋" w:cs="仿宋"/>
                <w:color w:val="000000"/>
                <w:sz w:val="32"/>
                <w:szCs w:val="32"/>
              </w:rPr>
              <w:br w:type="textWrapping"/>
            </w:r>
            <w:r>
              <w:rPr>
                <w:rFonts w:hint="eastAsia" w:ascii="仿宋" w:hAnsi="仿宋" w:eastAsia="仿宋" w:cs="仿宋"/>
                <w:color w:val="333333"/>
                <w:sz w:val="32"/>
                <w:szCs w:val="32"/>
              </w:rPr>
              <w:t>公开数量</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规章</w:t>
            </w:r>
          </w:p>
        </w:tc>
        <w:tc>
          <w:tcPr>
            <w:tcW w:w="1151"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781"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0</w:t>
            </w:r>
            <w:r>
              <w:rPr>
                <w:rFonts w:hint="eastAsia" w:ascii="宋体" w:hAnsi="宋体" w:eastAsia="宋体" w:cs="宋体"/>
                <w:color w:val="000000"/>
                <w:sz w:val="32"/>
                <w:szCs w:val="32"/>
              </w:rPr>
              <w:t> </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规范性文件</w:t>
            </w:r>
          </w:p>
        </w:tc>
        <w:tc>
          <w:tcPr>
            <w:tcW w:w="1151"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781"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0</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5000" w:type="pct"/>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151"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上一年项目数量</w:t>
            </w:r>
          </w:p>
        </w:tc>
        <w:tc>
          <w:tcPr>
            <w:tcW w:w="781"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本年增/减</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行政许可</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776"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其他对外管理服务事项</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776"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jc w:val="center"/>
        </w:trPr>
        <w:tc>
          <w:tcPr>
            <w:tcW w:w="5000" w:type="pct"/>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151"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上一年项目数量</w:t>
            </w:r>
          </w:p>
        </w:tc>
        <w:tc>
          <w:tcPr>
            <w:tcW w:w="781" w:type="pct"/>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本年增/减</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行政处罚</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776"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行政强制</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776"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155"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jc w:val="center"/>
        </w:trPr>
        <w:tc>
          <w:tcPr>
            <w:tcW w:w="5000" w:type="pct"/>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上一年项目数量</w:t>
            </w:r>
          </w:p>
        </w:tc>
        <w:tc>
          <w:tcPr>
            <w:tcW w:w="1932"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行政事业性收费</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932"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0</w:t>
            </w:r>
            <w:r>
              <w:rPr>
                <w:rFonts w:hint="eastAsia" w:ascii="宋体" w:hAnsi="宋体" w:eastAsia="宋体" w:cs="宋体"/>
                <w:color w:val="00000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5000" w:type="pct"/>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采购项目数量</w:t>
            </w:r>
          </w:p>
        </w:tc>
        <w:tc>
          <w:tcPr>
            <w:tcW w:w="1932"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912"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政府集中采购</w:t>
            </w:r>
          </w:p>
        </w:tc>
        <w:tc>
          <w:tcPr>
            <w:tcW w:w="1155"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932" w:type="pct"/>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290" w:type="dxa"/>
            <w:shd w:val="clear"/>
            <w:vAlign w:val="center"/>
          </w:tcPr>
          <w:p>
            <w:pPr>
              <w:rPr>
                <w:rFonts w:hint="eastAsia" w:ascii="微软雅黑" w:hAnsi="微软雅黑" w:eastAsia="微软雅黑" w:cs="微软雅黑"/>
                <w:color w:val="333333"/>
                <w:sz w:val="18"/>
                <w:szCs w:val="18"/>
              </w:rPr>
            </w:pPr>
          </w:p>
        </w:tc>
        <w:tc>
          <w:tcPr>
            <w:tcW w:w="2580" w:type="dxa"/>
            <w:shd w:val="clear"/>
            <w:vAlign w:val="center"/>
          </w:tcPr>
          <w:p>
            <w:pPr>
              <w:rPr>
                <w:rFonts w:hint="eastAsia" w:ascii="微软雅黑" w:hAnsi="微软雅黑" w:eastAsia="微软雅黑" w:cs="微软雅黑"/>
                <w:color w:val="333333"/>
                <w:sz w:val="18"/>
                <w:szCs w:val="18"/>
              </w:rPr>
            </w:pPr>
          </w:p>
        </w:tc>
        <w:tc>
          <w:tcPr>
            <w:tcW w:w="6" w:type="dxa"/>
            <w:shd w:val="clear"/>
            <w:vAlign w:val="center"/>
          </w:tcPr>
          <w:p>
            <w:pPr>
              <w:rPr>
                <w:rFonts w:hint="eastAsia" w:ascii="微软雅黑" w:hAnsi="微软雅黑" w:eastAsia="微软雅黑" w:cs="微软雅黑"/>
                <w:color w:val="333333"/>
                <w:sz w:val="18"/>
                <w:szCs w:val="18"/>
              </w:rPr>
            </w:pPr>
          </w:p>
        </w:tc>
        <w:tc>
          <w:tcPr>
            <w:tcW w:w="1740" w:type="dxa"/>
            <w:shd w:val="clear"/>
            <w:vAlign w:val="center"/>
          </w:tcPr>
          <w:p>
            <w:pPr>
              <w:rPr>
                <w:rFonts w:hint="eastAsia" w:ascii="微软雅黑" w:hAnsi="微软雅黑" w:eastAsia="微软雅黑" w:cs="微软雅黑"/>
                <w:color w:val="333333"/>
                <w:sz w:val="18"/>
                <w:szCs w:val="18"/>
              </w:rPr>
            </w:pPr>
          </w:p>
        </w:tc>
        <w:tc>
          <w:tcPr>
            <w:tcW w:w="2595" w:type="dxa"/>
            <w:shd w:val="clear"/>
            <w:vAlign w:val="center"/>
          </w:tcPr>
          <w:p>
            <w:pPr>
              <w:rPr>
                <w:rFonts w:hint="eastAsia" w:ascii="微软雅黑" w:hAnsi="微软雅黑" w:eastAsia="微软雅黑" w:cs="微软雅黑"/>
                <w:color w:val="333333"/>
                <w:sz w:val="18"/>
                <w:szCs w:val="18"/>
              </w:rPr>
            </w:pPr>
          </w:p>
        </w:tc>
      </w:tr>
    </w:tbl>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6"/>
        <w:gridCol w:w="1176"/>
        <w:gridCol w:w="1850"/>
        <w:gridCol w:w="761"/>
        <w:gridCol w:w="715"/>
        <w:gridCol w:w="715"/>
        <w:gridCol w:w="762"/>
        <w:gridCol w:w="890"/>
        <w:gridCol w:w="68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（本列数据的勾稽关系为：第一项加第二项之和，等于第三项加第四项之和）</w:t>
            </w:r>
          </w:p>
        </w:tc>
        <w:tc>
          <w:tcPr>
            <w:tcW w:w="5189"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76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自然人</w:t>
            </w:r>
          </w:p>
        </w:tc>
        <w:tc>
          <w:tcPr>
            <w:tcW w:w="3762"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法人或其他组织</w:t>
            </w:r>
          </w:p>
        </w:tc>
        <w:tc>
          <w:tcPr>
            <w:tcW w:w="66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商业企业</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科研机构</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社会公益组织</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法律服务机构</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其他</w:t>
            </w:r>
          </w:p>
        </w:tc>
        <w:tc>
          <w:tcPr>
            <w:tcW w:w="66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一、本年新收政府信息公开申请数量</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二、上年结转政府信息公开申请数量</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三、本年度办理结果</w:t>
            </w: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（一）予以公开</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（二）部分公开（区分处理的，只计这一情形，不计其他情形）</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（三）不予公开</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1.属于国家秘密</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2.其他法律行政法规禁止公开</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3.危及“三安全一稳定”</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4.保护第三方合法权益</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5.属于三类内部事务信息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6.属于四类过程性信息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7.属于行政执法案卷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8.属于行政查询事项</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（四）无法提供</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1.本机关不掌握相关政府信息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2.没有现成信息需要另行制作</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3.补正后申请内容仍不明确</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（五）不予处理</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1.信访举报投诉类申请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2.重复申请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3.要求提供公开出版物</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4.无正当理由大量反复申请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5.要求行政机关确认或重新出具已获取信息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（六）其他处理</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（七）总计</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四、结转下年度继续办理</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0</w:t>
            </w:r>
            <w:r>
              <w:rPr>
                <w:rFonts w:hint="default" w:ascii="Calibri" w:hAnsi="Calibri" w:eastAsia="微软雅黑" w:cs="Calibri"/>
                <w:color w:val="333333"/>
                <w:sz w:val="32"/>
                <w:szCs w:val="32"/>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0</w:t>
            </w:r>
          </w:p>
        </w:tc>
      </w:tr>
    </w:tbl>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3"/>
        <w:gridCol w:w="544"/>
        <w:gridCol w:w="544"/>
        <w:gridCol w:w="544"/>
        <w:gridCol w:w="550"/>
        <w:gridCol w:w="538"/>
        <w:gridCol w:w="696"/>
        <w:gridCol w:w="696"/>
        <w:gridCol w:w="544"/>
        <w:gridCol w:w="544"/>
        <w:gridCol w:w="696"/>
        <w:gridCol w:w="696"/>
        <w:gridCol w:w="696"/>
        <w:gridCol w:w="696"/>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尚未审结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总计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其他结果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尚未审结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其他结果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00000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3</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4</w:t>
            </w:r>
            <w:r>
              <w:rPr>
                <w:rFonts w:hint="default" w:ascii="Calibri" w:hAnsi="Calibri" w:eastAsia="微软雅黑" w:cs="Calibri"/>
                <w:color w:val="333333"/>
                <w:sz w:val="32"/>
                <w:szCs w:val="32"/>
              </w:rPr>
              <w:t>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5</w:t>
            </w:r>
            <w:r>
              <w:rPr>
                <w:rFonts w:hint="default" w:ascii="Calibri" w:hAnsi="Calibri" w:eastAsia="微软雅黑" w:cs="Calibri"/>
                <w:color w:val="333333"/>
                <w:sz w:val="32"/>
                <w:szCs w:val="32"/>
              </w:rPr>
              <w:t>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default" w:ascii="Calibri" w:hAnsi="Calibri" w:eastAsia="微软雅黑" w:cs="Calibri"/>
                <w:color w:val="333333"/>
                <w:sz w:val="32"/>
                <w:szCs w:val="32"/>
              </w:rPr>
              <w:t> </w:t>
            </w:r>
            <w:r>
              <w:rPr>
                <w:rFonts w:hint="eastAsia" w:ascii="仿宋" w:hAnsi="仿宋" w:eastAsia="仿宋" w:cs="仿宋"/>
                <w:color w:val="333333"/>
                <w:sz w:val="32"/>
                <w:szCs w:val="32"/>
              </w:rPr>
              <w:t>3</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15</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15</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5</w:t>
            </w:r>
            <w:r>
              <w:rPr>
                <w:rFonts w:hint="eastAsia" w:ascii="宋体" w:hAnsi="宋体" w:eastAsia="宋体" w:cs="宋体"/>
                <w:color w:val="333333"/>
                <w:sz w:val="32"/>
                <w:szCs w:val="32"/>
              </w:rPr>
              <w:t>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1</w:t>
            </w:r>
            <w:r>
              <w:rPr>
                <w:rFonts w:hint="eastAsia" w:ascii="宋体" w:hAnsi="宋体" w:eastAsia="宋体" w:cs="宋体"/>
                <w:color w:val="333333"/>
                <w:sz w:val="32"/>
                <w:szCs w:val="32"/>
              </w:rPr>
              <w:t>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3</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both"/>
              <w:rPr>
                <w:rFonts w:hint="default" w:ascii="Calibri" w:hAnsi="Calibri" w:cs="Calibri"/>
                <w:sz w:val="21"/>
                <w:szCs w:val="21"/>
              </w:rPr>
            </w:pPr>
            <w:r>
              <w:rPr>
                <w:rFonts w:hint="eastAsia" w:ascii="仿宋" w:hAnsi="仿宋" w:eastAsia="仿宋" w:cs="仿宋"/>
                <w:color w:val="000000"/>
                <w:sz w:val="32"/>
                <w:szCs w:val="32"/>
              </w:rPr>
              <w:t>24</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仿宋" w:hAnsi="仿宋" w:eastAsia="仿宋" w:cs="仿宋"/>
                <w:color w:val="333333"/>
                <w:sz w:val="32"/>
                <w:szCs w:val="32"/>
              </w:rPr>
              <w:t>2</w:t>
            </w:r>
            <w:r>
              <w:rPr>
                <w:rFonts w:hint="eastAsia" w:ascii="宋体" w:hAnsi="宋体" w:eastAsia="宋体" w:cs="宋体"/>
                <w:color w:val="333333"/>
                <w:sz w:val="32"/>
                <w:szCs w:val="32"/>
              </w:rPr>
              <w:t>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333333"/>
                <w:sz w:val="32"/>
                <w:szCs w:val="32"/>
              </w:rPr>
              <w:t> </w:t>
            </w:r>
            <w:r>
              <w:rPr>
                <w:rFonts w:hint="eastAsia" w:ascii="仿宋" w:hAnsi="仿宋" w:eastAsia="仿宋" w:cs="仿宋"/>
                <w:color w:val="333333"/>
                <w:sz w:val="32"/>
                <w:szCs w:val="32"/>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center"/>
              <w:rPr>
                <w:rFonts w:hint="default" w:ascii="Calibri" w:hAnsi="Calibri" w:cs="Calibri"/>
                <w:sz w:val="21"/>
                <w:szCs w:val="21"/>
              </w:rPr>
            </w:pPr>
            <w:r>
              <w:rPr>
                <w:rFonts w:hint="eastAsia" w:ascii="宋体" w:hAnsi="宋体" w:eastAsia="宋体" w:cs="宋体"/>
                <w:color w:val="333333"/>
                <w:sz w:val="32"/>
                <w:szCs w:val="32"/>
              </w:rPr>
              <w:t> </w:t>
            </w:r>
            <w:r>
              <w:rPr>
                <w:rFonts w:hint="eastAsia" w:ascii="仿宋" w:hAnsi="仿宋" w:eastAsia="仿宋" w:cs="仿宋"/>
                <w:color w:val="333333"/>
                <w:sz w:val="32"/>
                <w:szCs w:val="32"/>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3" w:lineRule="atLeast"/>
              <w:ind w:left="0" w:right="0"/>
              <w:jc w:val="left"/>
              <w:rPr>
                <w:rFonts w:hint="default" w:ascii="Calibri" w:hAnsi="Calibri" w:cs="Calibri"/>
                <w:sz w:val="21"/>
                <w:szCs w:val="21"/>
              </w:rPr>
            </w:pPr>
            <w:r>
              <w:rPr>
                <w:rFonts w:hint="eastAsia" w:ascii="仿宋" w:hAnsi="仿宋" w:eastAsia="仿宋" w:cs="仿宋"/>
                <w:color w:val="333333"/>
                <w:sz w:val="32"/>
                <w:szCs w:val="32"/>
              </w:rPr>
              <w:t>2</w:t>
            </w:r>
          </w:p>
        </w:tc>
      </w:tr>
    </w:tbl>
    <w:p>
      <w:pPr>
        <w:pStyle w:val="2"/>
        <w:keepNext w:val="0"/>
        <w:keepLines w:val="0"/>
        <w:widowControl/>
        <w:suppressLineNumbers w:val="0"/>
        <w:spacing w:before="150" w:beforeAutospacing="0" w:after="0" w:afterAutospacing="0"/>
        <w:ind w:left="0" w:right="0"/>
        <w:jc w:val="both"/>
        <w:rPr>
          <w:rFonts w:hint="default" w:ascii="Calibri" w:hAnsi="Calibri" w:cs="Calibri"/>
          <w:sz w:val="21"/>
          <w:szCs w:val="21"/>
        </w:rPr>
      </w:pPr>
      <w:r>
        <w:rPr>
          <w:rFonts w:hint="default" w:ascii="Calibri" w:hAnsi="Calibri" w:cs="Calibri"/>
          <w:sz w:val="21"/>
          <w:szCs w:val="21"/>
          <w:shd w:val="clear" w:fill="FFFFFF"/>
        </w:rPr>
        <w:t> </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五、存在的主要问题及改进情况</w:t>
      </w:r>
    </w:p>
    <w:p>
      <w:pPr>
        <w:pStyle w:val="2"/>
        <w:keepNext w:val="0"/>
        <w:keepLines w:val="0"/>
        <w:widowControl/>
        <w:suppressLineNumbers w:val="0"/>
        <w:shd w:val="clear" w:fill="FFFFFF"/>
        <w:spacing w:before="0" w:beforeAutospacing="0" w:after="0" w:afterAutospacing="0" w:line="240" w:lineRule="atLeast"/>
        <w:ind w:left="0" w:right="0" w:firstLine="482"/>
        <w:jc w:val="both"/>
      </w:pPr>
    </w:p>
    <w:p>
      <w:pPr>
        <w:pStyle w:val="2"/>
        <w:keepNext w:val="0"/>
        <w:keepLines w:val="0"/>
        <w:widowControl/>
        <w:suppressLineNumbers w:val="0"/>
        <w:spacing w:before="0" w:beforeAutospacing="0" w:after="0" w:afterAutospacing="0"/>
        <w:ind w:left="0" w:right="0" w:firstLine="641"/>
        <w:jc w:val="both"/>
      </w:pPr>
      <w:r>
        <w:rPr>
          <w:rFonts w:hint="eastAsia" w:ascii="仿宋" w:hAnsi="仿宋" w:eastAsia="仿宋" w:cs="仿宋"/>
          <w:color w:val="333333"/>
          <w:kern w:val="0"/>
          <w:sz w:val="32"/>
          <w:szCs w:val="32"/>
          <w:shd w:val="clear" w:fill="FFFFFF"/>
        </w:rPr>
        <w:t>一年来，我局在政务公开工作过程中，取得了一定的成效，但是，也存在不足之处，我局政务公开存在主要问题表现在：一是重视程度不够，政务公开数量较少，信息比较单一；二是政策解读形式不够丰富，内容较少，质量有待提高；三是业务不够熟悉，没有专业、专职人员负责此项工作，不能及时完成政务公开各项工作任务等。对此，我局将根据政务公开工作要求和我局工作实际，进一步加强政务公开改进工作。主要改进情况如下：</w:t>
      </w:r>
    </w:p>
    <w:p>
      <w:pPr>
        <w:pStyle w:val="2"/>
        <w:keepNext w:val="0"/>
        <w:keepLines w:val="0"/>
        <w:widowControl/>
        <w:suppressLineNumbers w:val="0"/>
        <w:shd w:val="clear" w:fill="FFFFFF"/>
        <w:spacing w:before="0" w:beforeAutospacing="0" w:after="0" w:afterAutospacing="0" w:line="240" w:lineRule="atLeast"/>
        <w:ind w:left="0" w:right="0" w:firstLine="482"/>
        <w:jc w:val="both"/>
      </w:pPr>
    </w:p>
    <w:p>
      <w:pPr>
        <w:pStyle w:val="2"/>
        <w:keepNext w:val="0"/>
        <w:keepLines w:val="0"/>
        <w:widowControl/>
        <w:suppressLineNumbers w:val="0"/>
        <w:shd w:val="clear" w:fill="FFFFFF"/>
        <w:spacing w:before="0" w:beforeAutospacing="0" w:after="0" w:afterAutospacing="0" w:line="240" w:lineRule="atLeast"/>
        <w:ind w:left="0" w:right="0" w:firstLine="482"/>
        <w:jc w:val="both"/>
      </w:pPr>
      <w:r>
        <w:rPr>
          <w:rFonts w:hint="eastAsia" w:ascii="仿宋" w:hAnsi="仿宋" w:eastAsia="仿宋" w:cs="仿宋"/>
          <w:color w:val="333333"/>
          <w:kern w:val="0"/>
          <w:sz w:val="32"/>
          <w:szCs w:val="32"/>
          <w:shd w:val="clear" w:fill="FFFFFF"/>
        </w:rPr>
        <w:t>1、加强领导，提高认识。进一步提高对政务公开工作的认识，把政务公开工作纳入全局年度重点工作任务，加强领导，抓好落实。</w:t>
      </w:r>
    </w:p>
    <w:p>
      <w:pPr>
        <w:pStyle w:val="2"/>
        <w:keepNext w:val="0"/>
        <w:keepLines w:val="0"/>
        <w:widowControl/>
        <w:suppressLineNumbers w:val="0"/>
        <w:shd w:val="clear" w:fill="FFFFFF"/>
        <w:spacing w:before="0" w:beforeAutospacing="0" w:after="0" w:afterAutospacing="0" w:line="240" w:lineRule="atLeast"/>
        <w:ind w:left="0" w:right="0" w:firstLine="482"/>
        <w:jc w:val="both"/>
      </w:pPr>
      <w:r>
        <w:rPr>
          <w:rFonts w:hint="eastAsia" w:ascii="仿宋" w:hAnsi="仿宋" w:eastAsia="仿宋" w:cs="仿宋"/>
          <w:color w:val="333333"/>
          <w:kern w:val="0"/>
          <w:sz w:val="32"/>
          <w:szCs w:val="32"/>
          <w:shd w:val="clear" w:fill="FFFFFF"/>
        </w:rPr>
        <w:t>2、注重实效，补差补缺。下一步工作中，我局将深化政策解读工作，积极丰富政策解读形式，充实政策解读内容，全面提升政务公开工作水平。</w:t>
      </w:r>
    </w:p>
    <w:p>
      <w:pPr>
        <w:pStyle w:val="2"/>
        <w:keepNext w:val="0"/>
        <w:keepLines w:val="0"/>
        <w:widowControl/>
        <w:suppressLineNumbers w:val="0"/>
        <w:shd w:val="clear" w:fill="FFFFFF"/>
        <w:spacing w:before="0" w:beforeAutospacing="0" w:after="0" w:afterAutospacing="0" w:line="240" w:lineRule="atLeast"/>
        <w:ind w:left="0" w:right="0" w:firstLine="482"/>
        <w:jc w:val="both"/>
      </w:pPr>
      <w:r>
        <w:rPr>
          <w:rFonts w:hint="eastAsia" w:ascii="仿宋" w:hAnsi="仿宋" w:eastAsia="仿宋" w:cs="仿宋"/>
          <w:color w:val="333333"/>
          <w:kern w:val="0"/>
          <w:sz w:val="32"/>
          <w:szCs w:val="32"/>
          <w:shd w:val="clear" w:fill="FFFFFF"/>
        </w:rPr>
        <w:t>3、加强培训，提升水平。下一步我局将加强对政务公开工作的业务培训，提升全局干部队伍信息公开能力和水平，促进全局政务公开工作再上新台阶。</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六、其他需要报告的事项</w:t>
      </w:r>
    </w:p>
    <w:p>
      <w:pPr>
        <w:pStyle w:val="2"/>
        <w:keepNext w:val="0"/>
        <w:keepLines w:val="0"/>
        <w:widowControl/>
        <w:suppressLineNumbers w:val="0"/>
        <w:shd w:val="clear" w:fill="FFFFFF"/>
        <w:spacing w:before="150" w:beforeAutospacing="0" w:after="0" w:afterAutospacing="0"/>
        <w:ind w:left="0" w:right="0" w:firstLine="480"/>
        <w:jc w:val="both"/>
        <w:rPr>
          <w:rFonts w:hint="default" w:ascii="Calibri" w:hAnsi="Calibri" w:cs="Calibri"/>
          <w:sz w:val="21"/>
          <w:szCs w:val="21"/>
        </w:rPr>
      </w:pPr>
      <w:r>
        <w:rPr>
          <w:rFonts w:hint="eastAsia" w:ascii="仿宋" w:hAnsi="仿宋" w:eastAsia="仿宋" w:cs="仿宋"/>
          <w:color w:val="333333"/>
          <w:sz w:val="32"/>
          <w:szCs w:val="32"/>
          <w:shd w:val="clear" w:fill="FFFFFF"/>
        </w:rPr>
        <w:t>淮北市相山区司法局无其他报告事项。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lonsunfont">
    <w:altName w:val="Segoe Print"/>
    <w:panose1 w:val="00000000000000000000"/>
    <w:charset w:val="00"/>
    <w:family w:val="auto"/>
    <w:pitch w:val="default"/>
    <w:sig w:usb0="00000000" w:usb1="00000000" w:usb2="00000000" w:usb3="00000000" w:csb0="00000000" w:csb1="00000000"/>
  </w:font>
  <w:font w:name="sp-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创艺简魏碑">
    <w:panose1 w:val="00000000000000000000"/>
    <w:charset w:val="00"/>
    <w:family w:val="auto"/>
    <w:pitch w:val="default"/>
    <w:sig w:usb0="00000000" w:usb1="00000000" w:usb2="00000000" w:usb3="00000000" w:csb0="00000000" w:csb1="00000000"/>
  </w:font>
  <w:font w:name="方正书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43AF6"/>
    <w:rsid w:val="0454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TML Acronym"/>
    <w:basedOn w:val="4"/>
    <w:uiPriority w:val="0"/>
    <w:rPr>
      <w:bdr w:val="none" w:color="auto" w:sz="0" w:space="0"/>
    </w:rPr>
  </w:style>
  <w:style w:type="character" w:styleId="9">
    <w:name w:val="Hyperlink"/>
    <w:basedOn w:val="4"/>
    <w:uiPriority w:val="0"/>
    <w:rPr>
      <w:color w:val="333333"/>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uiPriority w:val="0"/>
    <w:rPr>
      <w:rFonts w:ascii="monospace" w:hAnsi="monospace" w:eastAsia="monospace" w:cs="monospace"/>
      <w:sz w:val="21"/>
      <w:szCs w:val="21"/>
    </w:rPr>
  </w:style>
  <w:style w:type="character" w:customStyle="1" w:styleId="13">
    <w:name w:val="tmpztreemove_arrow"/>
    <w:basedOn w:val="4"/>
    <w:uiPriority w:val="0"/>
    <w:rPr>
      <w:bdr w:val="none" w:color="auto" w:sz="0" w:space="0"/>
    </w:rPr>
  </w:style>
  <w:style w:type="character" w:customStyle="1" w:styleId="14">
    <w:name w:val="button"/>
    <w:basedOn w:val="4"/>
    <w:uiPriority w:val="0"/>
    <w:rPr>
      <w:bdr w:val="none" w:color="auto" w:sz="0" w:space="0"/>
    </w:rPr>
  </w:style>
  <w:style w:type="character" w:customStyle="1" w:styleId="15">
    <w:name w:val="tag_close"/>
    <w:basedOn w:val="4"/>
    <w:uiPriority w:val="0"/>
    <w:rPr>
      <w:rFonts w:ascii="Calibri" w:hAnsi="Calibri" w:eastAsia="Calibri" w:cs="Calibri"/>
      <w:sz w:val="22"/>
      <w:szCs w:val="22"/>
    </w:rPr>
  </w:style>
  <w:style w:type="character" w:customStyle="1" w:styleId="16">
    <w:name w:val="cm-type"/>
    <w:basedOn w:val="4"/>
    <w:uiPriority w:val="0"/>
    <w:rPr>
      <w:color w:val="0000C0"/>
    </w:rPr>
  </w:style>
  <w:style w:type="character" w:customStyle="1" w:styleId="17">
    <w:name w:val="disabled"/>
    <w:basedOn w:val="4"/>
    <w:uiPriority w:val="0"/>
    <w:rPr>
      <w:color w:val="CCCCCC"/>
      <w:bdr w:val="single" w:color="F3F3F3" w:sz="6" w:space="0"/>
    </w:rPr>
  </w:style>
  <w:style w:type="character" w:customStyle="1" w:styleId="18">
    <w:name w:val="sp_caret"/>
    <w:basedOn w:val="4"/>
    <w:uiPriority w:val="0"/>
  </w:style>
  <w:style w:type="character" w:customStyle="1" w:styleId="19">
    <w:name w:val="sp_caret1"/>
    <w:basedOn w:val="4"/>
    <w:uiPriority w:val="0"/>
  </w:style>
  <w:style w:type="character" w:customStyle="1" w:styleId="20">
    <w:name w:val="cm-variable-22"/>
    <w:basedOn w:val="4"/>
    <w:uiPriority w:val="0"/>
    <w:rPr>
      <w:color w:val="0000C0"/>
    </w:rPr>
  </w:style>
  <w:style w:type="character" w:customStyle="1" w:styleId="21">
    <w:name w:val="cm-string-2"/>
    <w:basedOn w:val="4"/>
    <w:uiPriority w:val="0"/>
    <w:rPr>
      <w:color w:val="FF5500"/>
    </w:rPr>
  </w:style>
  <w:style w:type="character" w:customStyle="1" w:styleId="22">
    <w:name w:val="cm-variable"/>
    <w:basedOn w:val="4"/>
    <w:uiPriority w:val="0"/>
    <w:rPr>
      <w:color w:val="000000"/>
    </w:rPr>
  </w:style>
  <w:style w:type="character" w:customStyle="1" w:styleId="23">
    <w:name w:val="cm-property"/>
    <w:basedOn w:val="4"/>
    <w:uiPriority w:val="0"/>
    <w:rPr>
      <w:color w:val="000000"/>
    </w:rPr>
  </w:style>
  <w:style w:type="character" w:customStyle="1" w:styleId="24">
    <w:name w:val="cm-comment"/>
    <w:basedOn w:val="4"/>
    <w:uiPriority w:val="0"/>
    <w:rPr>
      <w:color w:val="3F7F5F"/>
    </w:rPr>
  </w:style>
  <w:style w:type="character" w:customStyle="1" w:styleId="25">
    <w:name w:val="cm-attribute2"/>
    <w:basedOn w:val="4"/>
    <w:uiPriority w:val="0"/>
    <w:rPr>
      <w:color w:val="0000CC"/>
    </w:rPr>
  </w:style>
  <w:style w:type="character" w:customStyle="1" w:styleId="26">
    <w:name w:val="codemirror-nonmatchingbracket"/>
    <w:basedOn w:val="4"/>
    <w:uiPriority w:val="0"/>
    <w:rPr>
      <w:color w:val="AA2222"/>
    </w:rPr>
  </w:style>
  <w:style w:type="character" w:customStyle="1" w:styleId="27">
    <w:name w:val="cm-qualifier2"/>
    <w:basedOn w:val="4"/>
    <w:uiPriority w:val="0"/>
    <w:rPr>
      <w:color w:val="555555"/>
    </w:rPr>
  </w:style>
  <w:style w:type="character" w:customStyle="1" w:styleId="28">
    <w:name w:val="cm-string"/>
    <w:basedOn w:val="4"/>
    <w:uiPriority w:val="0"/>
    <w:rPr>
      <w:color w:val="2A00FF"/>
    </w:rPr>
  </w:style>
  <w:style w:type="character" w:customStyle="1" w:styleId="29">
    <w:name w:val="current2"/>
    <w:basedOn w:val="4"/>
    <w:uiPriority w:val="0"/>
    <w:rPr>
      <w:b/>
      <w:bCs/>
      <w:color w:val="AAAAAA"/>
      <w:bdr w:val="single" w:color="E0E0E0" w:sz="6" w:space="0"/>
      <w:shd w:val="clear" w:fill="F0F0F0"/>
    </w:rPr>
  </w:style>
  <w:style w:type="character" w:customStyle="1" w:styleId="30">
    <w:name w:val="cm-link4"/>
    <w:basedOn w:val="4"/>
    <w:uiPriority w:val="0"/>
    <w:rPr>
      <w:color w:val="221199"/>
    </w:rPr>
  </w:style>
  <w:style w:type="character" w:customStyle="1" w:styleId="31">
    <w:name w:val="codemirror-matchingbracket"/>
    <w:basedOn w:val="4"/>
    <w:uiPriority w:val="0"/>
    <w:rPr>
      <w:color w:val="00BB00"/>
    </w:rPr>
  </w:style>
  <w:style w:type="character" w:customStyle="1" w:styleId="32">
    <w:name w:val="cm-number2"/>
    <w:basedOn w:val="4"/>
    <w:uiPriority w:val="0"/>
    <w:rPr>
      <w:color w:val="116644"/>
    </w:rPr>
  </w:style>
  <w:style w:type="character" w:customStyle="1" w:styleId="33">
    <w:name w:val="cm-error2"/>
    <w:basedOn w:val="4"/>
    <w:uiPriority w:val="0"/>
    <w:rPr>
      <w:color w:val="FF0000"/>
    </w:rPr>
  </w:style>
  <w:style w:type="character" w:customStyle="1" w:styleId="34">
    <w:name w:val="cm-def2"/>
    <w:basedOn w:val="4"/>
    <w:uiPriority w:val="0"/>
    <w:rPr>
      <w:color w:val="0000FF"/>
    </w:rPr>
  </w:style>
  <w:style w:type="character" w:customStyle="1" w:styleId="35">
    <w:name w:val="cm-builtin2"/>
    <w:basedOn w:val="4"/>
    <w:uiPriority w:val="0"/>
    <w:rPr>
      <w:color w:val="3300AA"/>
    </w:rPr>
  </w:style>
  <w:style w:type="character" w:customStyle="1" w:styleId="36">
    <w:name w:val="cm-meta2"/>
    <w:basedOn w:val="4"/>
    <w:uiPriority w:val="0"/>
    <w:rPr>
      <w:color w:val="FF1717"/>
    </w:rPr>
  </w:style>
  <w:style w:type="character" w:customStyle="1" w:styleId="37">
    <w:name w:val="cm-keyword2"/>
    <w:basedOn w:val="4"/>
    <w:uiPriority w:val="0"/>
    <w:rPr>
      <w:b/>
      <w:bCs/>
      <w:color w:val="7F0055"/>
    </w:rPr>
  </w:style>
  <w:style w:type="character" w:customStyle="1" w:styleId="38">
    <w:name w:val="cm-atom2"/>
    <w:basedOn w:val="4"/>
    <w:uiPriority w:val="0"/>
    <w:rPr>
      <w:color w:val="221199"/>
    </w:rPr>
  </w:style>
  <w:style w:type="character" w:customStyle="1" w:styleId="39">
    <w:name w:val="cm-variable-32"/>
    <w:basedOn w:val="4"/>
    <w:uiPriority w:val="0"/>
    <w:rPr>
      <w:color w:val="0000C0"/>
    </w:rPr>
  </w:style>
  <w:style w:type="character" w:customStyle="1" w:styleId="40">
    <w:name w:val="cm-operator"/>
    <w:basedOn w:val="4"/>
    <w:uiPriority w:val="0"/>
    <w:rPr>
      <w:color w:val="000000"/>
    </w:rPr>
  </w:style>
  <w:style w:type="character" w:customStyle="1" w:styleId="41">
    <w:name w:val="cm-bracket2"/>
    <w:basedOn w:val="4"/>
    <w:uiPriority w:val="0"/>
    <w:rPr>
      <w:color w:val="CCCC77"/>
    </w:rPr>
  </w:style>
  <w:style w:type="character" w:customStyle="1" w:styleId="42">
    <w:name w:val="cm-tag2"/>
    <w:basedOn w:val="4"/>
    <w:uiPriority w:val="0"/>
    <w:rPr>
      <w:color w:val="117700"/>
    </w:rPr>
  </w:style>
  <w:style w:type="character" w:customStyle="1" w:styleId="43">
    <w:name w:val="codemirror-selected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2024-01-30T09:43:00Z</dcterms:created>
  <dc:creator>张娜</dc:creator>
  <cp:lastModifiedBy>张娜</cp:lastModifiedBy>
  <dcterms:modified xsi:type="dcterms:W3CDTF">2024-01-30T09:53:21Z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852E229EC13E4940A0862B54DA54D7E5</vt:lpwstr>
  </property>
</Properties>
</file>