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46" w:lineRule="auto"/>
        <w:jc w:val="center"/>
        <w:textAlignment w:val="auto"/>
        <w:rPr>
          <w:rFonts w:hint="eastAsia" w:ascii="方正小标宋简体" w:hAnsi="方正小标宋简体" w:eastAsia="方正小标宋简体" w:cs="方正小标宋简体"/>
          <w:sz w:val="44"/>
          <w:szCs w:val="48"/>
        </w:rPr>
      </w:pPr>
      <w:r>
        <w:rPr>
          <w:rFonts w:hint="eastAsia" w:ascii="方正小标宋简体" w:hAnsi="方正小标宋简体" w:eastAsia="方正小标宋简体" w:cs="方正小标宋简体"/>
          <w:sz w:val="44"/>
          <w:szCs w:val="48"/>
          <w:lang w:eastAsia="zh-CN"/>
        </w:rPr>
        <w:t>相山区数据资源管理</w:t>
      </w:r>
      <w:r>
        <w:rPr>
          <w:rFonts w:hint="eastAsia" w:ascii="方正小标宋简体" w:hAnsi="方正小标宋简体" w:eastAsia="方正小标宋简体" w:cs="方正小标宋简体"/>
          <w:sz w:val="44"/>
          <w:szCs w:val="48"/>
        </w:rPr>
        <w:t>局20</w:t>
      </w:r>
      <w:r>
        <w:rPr>
          <w:rFonts w:hint="eastAsia" w:ascii="方正小标宋简体" w:hAnsi="方正小标宋简体" w:eastAsia="方正小标宋简体" w:cs="方正小标宋简体"/>
          <w:sz w:val="44"/>
          <w:szCs w:val="48"/>
          <w:lang w:val="en-US" w:eastAsia="zh-CN"/>
        </w:rPr>
        <w:t>19</w:t>
      </w:r>
      <w:bookmarkStart w:id="0" w:name="_GoBack"/>
      <w:bookmarkEnd w:id="0"/>
      <w:r>
        <w:rPr>
          <w:rFonts w:hint="eastAsia" w:ascii="方正小标宋简体" w:hAnsi="方正小标宋简体" w:eastAsia="方正小标宋简体" w:cs="方正小标宋简体"/>
          <w:sz w:val="44"/>
          <w:szCs w:val="48"/>
        </w:rPr>
        <w:t>年政府信息</w:t>
      </w:r>
    </w:p>
    <w:p>
      <w:pPr>
        <w:keepNext w:val="0"/>
        <w:keepLines w:val="0"/>
        <w:pageBreakBefore w:val="0"/>
        <w:widowControl w:val="0"/>
        <w:kinsoku/>
        <w:wordWrap/>
        <w:overflowPunct/>
        <w:topLinePunct w:val="0"/>
        <w:autoSpaceDE/>
        <w:autoSpaceDN/>
        <w:bidi w:val="0"/>
        <w:adjustRightInd/>
        <w:snapToGrid/>
        <w:spacing w:line="346" w:lineRule="auto"/>
        <w:jc w:val="center"/>
        <w:textAlignment w:val="auto"/>
        <w:rPr>
          <w:rFonts w:hint="eastAsia" w:ascii="仿宋_GB2312" w:hAnsi="Times New Roman" w:eastAsia="仿宋_GB2312" w:cs="仿宋_GB2312"/>
          <w:color w:val="160B11"/>
          <w:kern w:val="2"/>
          <w:sz w:val="32"/>
          <w:szCs w:val="32"/>
          <w:lang w:val="en-US" w:eastAsia="zh-CN" w:bidi="ar-SA"/>
        </w:rPr>
      </w:pPr>
      <w:r>
        <w:rPr>
          <w:rFonts w:hint="eastAsia" w:ascii="方正小标宋简体" w:hAnsi="方正小标宋简体" w:eastAsia="方正小标宋简体" w:cs="方正小标宋简体"/>
          <w:sz w:val="44"/>
          <w:szCs w:val="48"/>
        </w:rPr>
        <w:t>公开工作年度报告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right="0" w:firstLine="640" w:firstLineChars="200"/>
        <w:jc w:val="both"/>
        <w:rPr>
          <w:rFonts w:hint="eastAsia" w:ascii="仿宋_GB2312" w:hAnsi="Times New Roman" w:eastAsia="仿宋_GB2312" w:cs="仿宋_GB2312"/>
          <w:color w:val="160B11"/>
          <w:kern w:val="2"/>
          <w:sz w:val="32"/>
          <w:szCs w:val="32"/>
          <w:lang w:val="en-US" w:eastAsia="zh-CN" w:bidi="ar-SA"/>
        </w:rPr>
      </w:pPr>
      <w:r>
        <w:rPr>
          <w:rFonts w:hint="eastAsia" w:ascii="仿宋_GB2312" w:hAnsi="Times New Roman" w:eastAsia="仿宋_GB2312" w:cs="仿宋_GB2312"/>
          <w:color w:val="160B11"/>
          <w:kern w:val="2"/>
          <w:sz w:val="32"/>
          <w:szCs w:val="32"/>
          <w:lang w:val="en-US" w:eastAsia="zh-CN" w:bidi="ar-SA"/>
        </w:rPr>
        <w:t>本报告是根据《中华人民共和国政府信息公开条例》（以下简称《条例》）要求，由淮北市相山区数据资源管理局编制。全文由政府信息公开总体情况、主动公开政府信息情况、收到和处理政府信息公开申请情况、政府信息公开行政复议和行政诉讼情况、存在主要问题和改进情况、其它需要报告等六部分组成。本报告中所列数据的统计期限自2019年1月1日起至2019年12月31日止。如有疑问，请与淮北市相山区数据资源管理局办公室联系。（地址：淮北市南湖路87号相山区政府服务中心三楼数据资源管理局办公室，邮编：235000，电话:0561-3199826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right="0"/>
        <w:jc w:val="both"/>
        <w:rPr>
          <w:rFonts w:hint="eastAsia" w:ascii="黑体" w:hAnsi="黑体" w:eastAsia="黑体" w:cs="黑体"/>
          <w:b/>
          <w:bCs/>
          <w:spacing w:val="-5"/>
          <w:kern w:val="2"/>
          <w:sz w:val="31"/>
          <w:szCs w:val="31"/>
          <w:lang w:val="en-US" w:eastAsia="zh-CN" w:bidi="ar-SA"/>
        </w:rPr>
      </w:pPr>
      <w:r>
        <w:rPr>
          <w:rFonts w:hint="eastAsia" w:ascii="黑体" w:hAnsi="黑体" w:eastAsia="黑体" w:cs="黑体"/>
          <w:b/>
          <w:bCs/>
          <w:spacing w:val="-5"/>
          <w:kern w:val="2"/>
          <w:sz w:val="31"/>
          <w:szCs w:val="31"/>
          <w:lang w:val="en-US" w:eastAsia="zh-CN" w:bidi="ar-SA"/>
        </w:rPr>
        <w:t>一、总体情况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right="0" w:firstLine="640" w:firstLineChars="200"/>
        <w:jc w:val="both"/>
        <w:rPr>
          <w:rFonts w:hint="eastAsia" w:ascii="仿宋_GB2312" w:hAnsi="Times New Roman" w:eastAsia="仿宋_GB2312" w:cs="仿宋_GB2312"/>
          <w:color w:val="160B11"/>
          <w:kern w:val="2"/>
          <w:sz w:val="32"/>
          <w:szCs w:val="32"/>
          <w:lang w:val="en-US" w:eastAsia="zh-CN" w:bidi="ar-SA"/>
        </w:rPr>
      </w:pPr>
      <w:r>
        <w:rPr>
          <w:rFonts w:hint="eastAsia" w:ascii="仿宋_GB2312" w:hAnsi="Times New Roman" w:eastAsia="仿宋_GB2312" w:cs="仿宋_GB2312"/>
          <w:color w:val="160B11"/>
          <w:kern w:val="2"/>
          <w:sz w:val="32"/>
          <w:szCs w:val="32"/>
          <w:lang w:val="en-US" w:eastAsia="zh-CN" w:bidi="ar-SA"/>
        </w:rPr>
        <w:t>2019年，我局对本年度公开的政府信息进行了认真的梳理和编目，截至12月31日，新增主动公开政府信息152条。新增主动公开政府信息中包括：政策法规7条，重大决策预公开4条，规划计划4条，决策部署落实情况6条，建议提案办理4条，“放管服”改革8条，机构领导9条，机构设置4条，财政资金9条，精准脱贫12条，应急管理18条，权责清单和动态调整情况1条，公共服务清单和中介服务1条，招标采购4条，新闻发布9条，上级政策解读8条，本级政策解读6条，主动回应14条，监督保障22条，新媒体应用2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center"/>
      </w:pPr>
      <w:r>
        <w:rPr>
          <w:rFonts w:hint="eastAsia" w:ascii="宋体" w:hAnsi="宋体" w:eastAsia="宋体" w:cs="宋体"/>
          <w:i w:val="0"/>
          <w:iCs w:val="0"/>
          <w:caps w:val="0"/>
          <w:color w:val="333333"/>
          <w:spacing w:val="0"/>
          <w:sz w:val="24"/>
          <w:szCs w:val="24"/>
          <w:shd w:val="clear" w:fill="FFFFFF"/>
        </w:rPr>
        <w:drawing>
          <wp:inline distT="0" distB="0" distL="114300" distR="114300">
            <wp:extent cx="5600700" cy="3190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600700" cy="31908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right="0" w:firstLine="640" w:firstLineChars="200"/>
        <w:jc w:val="both"/>
        <w:rPr>
          <w:rFonts w:hint="eastAsia" w:ascii="仿宋_GB2312" w:hAnsi="Times New Roman" w:eastAsia="仿宋_GB2312" w:cs="仿宋_GB2312"/>
          <w:color w:val="160B11"/>
          <w:kern w:val="2"/>
          <w:sz w:val="32"/>
          <w:szCs w:val="32"/>
          <w:lang w:val="en-US" w:eastAsia="zh-CN" w:bidi="ar-SA"/>
        </w:rPr>
      </w:pPr>
      <w:r>
        <w:rPr>
          <w:rFonts w:hint="eastAsia" w:ascii="仿宋_GB2312" w:hAnsi="Times New Roman" w:eastAsia="仿宋_GB2312" w:cs="仿宋_GB2312"/>
          <w:color w:val="160B11"/>
          <w:kern w:val="2"/>
          <w:sz w:val="32"/>
          <w:szCs w:val="32"/>
          <w:lang w:val="en-US" w:eastAsia="zh-CN" w:bidi="ar-SA"/>
        </w:rPr>
        <w:t>依申请公开情况，2019年收到依申请公开0件，办结0件，未办结0件；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right="0" w:firstLine="640" w:firstLineChars="200"/>
        <w:jc w:val="both"/>
        <w:rPr>
          <w:rFonts w:hint="eastAsia" w:ascii="仿宋_GB2312" w:hAnsi="Times New Roman" w:eastAsia="仿宋_GB2312" w:cs="仿宋_GB2312"/>
          <w:color w:val="160B11"/>
          <w:kern w:val="2"/>
          <w:sz w:val="32"/>
          <w:szCs w:val="32"/>
          <w:lang w:val="en-US" w:eastAsia="zh-CN" w:bidi="ar-SA"/>
        </w:rPr>
      </w:pPr>
      <w:r>
        <w:rPr>
          <w:rFonts w:hint="eastAsia" w:ascii="仿宋_GB2312" w:hAnsi="Times New Roman" w:eastAsia="仿宋_GB2312" w:cs="仿宋_GB2312"/>
          <w:color w:val="160B11"/>
          <w:kern w:val="2"/>
          <w:sz w:val="32"/>
          <w:szCs w:val="32"/>
          <w:lang w:val="en-US" w:eastAsia="zh-CN" w:bidi="ar-SA"/>
        </w:rPr>
        <w:t>政府信息管理情况，建立健全政务信息制作、公开、存档等制度，政务信息进行全生命周期的规范管理。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right="0" w:firstLine="640" w:firstLineChars="200"/>
        <w:jc w:val="both"/>
        <w:rPr>
          <w:rFonts w:hint="eastAsia" w:ascii="仿宋_GB2312" w:hAnsi="Times New Roman" w:eastAsia="仿宋_GB2312" w:cs="仿宋_GB2312"/>
          <w:color w:val="160B11"/>
          <w:kern w:val="2"/>
          <w:sz w:val="32"/>
          <w:szCs w:val="32"/>
          <w:lang w:val="en-US" w:eastAsia="zh-CN" w:bidi="ar-SA"/>
        </w:rPr>
      </w:pPr>
      <w:r>
        <w:rPr>
          <w:rFonts w:hint="eastAsia" w:ascii="仿宋_GB2312" w:hAnsi="Times New Roman" w:eastAsia="仿宋_GB2312" w:cs="仿宋_GB2312"/>
          <w:color w:val="160B11"/>
          <w:kern w:val="2"/>
          <w:sz w:val="32"/>
          <w:szCs w:val="32"/>
          <w:lang w:val="en-US" w:eastAsia="zh-CN" w:bidi="ar-SA"/>
        </w:rPr>
        <w:t>平台建设情况，积极配合区政务公开办完善政务信息公开平台完善，并及时将发现的问题进行反馈，不断优化平台建设。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right="0" w:firstLine="640" w:firstLineChars="200"/>
        <w:jc w:val="both"/>
        <w:rPr>
          <w:rFonts w:hint="eastAsia" w:ascii="仿宋_GB2312" w:hAnsi="Times New Roman" w:eastAsia="仿宋_GB2312" w:cs="仿宋_GB2312"/>
          <w:color w:val="160B11"/>
          <w:kern w:val="2"/>
          <w:sz w:val="32"/>
          <w:szCs w:val="32"/>
          <w:lang w:val="en-US" w:eastAsia="zh-CN" w:bidi="ar-SA"/>
        </w:rPr>
      </w:pPr>
      <w:r>
        <w:rPr>
          <w:rFonts w:hint="eastAsia" w:ascii="仿宋_GB2312" w:hAnsi="Times New Roman" w:eastAsia="仿宋_GB2312" w:cs="仿宋_GB2312"/>
          <w:color w:val="160B11"/>
          <w:kern w:val="2"/>
          <w:sz w:val="32"/>
          <w:szCs w:val="32"/>
          <w:lang w:val="en-US" w:eastAsia="zh-CN" w:bidi="ar-SA"/>
        </w:rPr>
        <w:t>监督保障情况，建立健全政务公开工作考核机制和社会评议制度，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right="0" w:firstLine="640" w:firstLineChars="200"/>
        <w:jc w:val="both"/>
        <w:rPr>
          <w:rFonts w:hint="eastAsia" w:ascii="仿宋_GB2312" w:hAnsi="Times New Roman" w:eastAsia="仿宋_GB2312" w:cs="仿宋_GB2312"/>
          <w:color w:val="160B11"/>
          <w:kern w:val="2"/>
          <w:sz w:val="32"/>
          <w:szCs w:val="32"/>
          <w:lang w:val="en-US" w:eastAsia="zh-CN" w:bidi="ar-SA"/>
        </w:rPr>
      </w:pPr>
      <w:r>
        <w:rPr>
          <w:rFonts w:hint="eastAsia" w:ascii="仿宋_GB2312" w:hAnsi="Times New Roman" w:eastAsia="仿宋_GB2312" w:cs="仿宋_GB2312"/>
          <w:color w:val="160B11"/>
          <w:kern w:val="2"/>
          <w:sz w:val="32"/>
          <w:szCs w:val="32"/>
          <w:lang w:val="en-US" w:eastAsia="zh-CN" w:bidi="ar-SA"/>
        </w:rPr>
        <w:t>数据资源管理局政务公开办公室制作完成首支关于《相山区加强生活垃圾强制分类实施方案》的政策解读视频动漫解读，并将视频解读在相山区区政府大厅和各级政务服务大厅的LED 显示屏播放宣传。同时开展政务公开新条例下社区宣传培训活动，采取现场问答、资料宣传讲解等形式，方便公众快速理解最新政策，加强新条例和政府信息公开工作的宣传教育，深入基层进行新《条例》宣传教育，并在全区开展为全区政务公开工作推进会，邀请市政务公开办吕鲲鹏科长指导教学，传达上级要求、注意事项及工作经验，为政府信息公开工作带来了强大的助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right="0"/>
        <w:jc w:val="both"/>
        <w:rPr>
          <w:rFonts w:hint="eastAsia" w:ascii="黑体" w:hAnsi="黑体" w:eastAsia="黑体" w:cs="黑体"/>
          <w:b/>
          <w:bCs/>
          <w:spacing w:val="-5"/>
          <w:kern w:val="2"/>
          <w:sz w:val="31"/>
          <w:szCs w:val="31"/>
          <w:lang w:val="en-US" w:eastAsia="zh-CN" w:bidi="ar-SA"/>
        </w:rPr>
      </w:pPr>
      <w:r>
        <w:rPr>
          <w:rFonts w:hint="eastAsia" w:ascii="黑体" w:hAnsi="黑体" w:eastAsia="黑体" w:cs="黑体"/>
          <w:b/>
          <w:bCs/>
          <w:spacing w:val="-5"/>
          <w:kern w:val="2"/>
          <w:sz w:val="31"/>
          <w:szCs w:val="31"/>
          <w:lang w:val="en-US" w:eastAsia="zh-CN" w:bidi="ar-SA"/>
        </w:rPr>
        <w:t>二、主动公开政府信息情况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3519"/>
        <w:gridCol w:w="1729"/>
        <w:gridCol w:w="365"/>
        <w:gridCol w:w="1174"/>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9045" w:type="dxa"/>
            <w:gridSpan w:val="5"/>
            <w:shd w:val="clear" w:color="auto" w:fill="auto"/>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55" w:type="dxa"/>
            <w:shd w:val="clear" w:color="auto" w:fill="auto"/>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信息内容</w:t>
            </w:r>
          </w:p>
        </w:tc>
        <w:tc>
          <w:tcPr>
            <w:tcW w:w="1875" w:type="dxa"/>
            <w:shd w:val="clear" w:color="auto" w:fill="auto"/>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本年新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制作数量</w:t>
            </w:r>
          </w:p>
        </w:tc>
        <w:tc>
          <w:tcPr>
            <w:tcW w:w="1275" w:type="dxa"/>
            <w:gridSpan w:val="2"/>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本年新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公开数量</w:t>
            </w:r>
          </w:p>
        </w:tc>
        <w:tc>
          <w:tcPr>
            <w:tcW w:w="2040" w:type="dxa"/>
            <w:shd w:val="clear" w:color="auto" w:fill="auto"/>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对外公开总数量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55" w:type="dxa"/>
            <w:shd w:val="clear" w:color="auto" w:fill="auto"/>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规章</w:t>
            </w:r>
          </w:p>
        </w:tc>
        <w:tc>
          <w:tcPr>
            <w:tcW w:w="1875" w:type="dxa"/>
            <w:shd w:val="clear" w:color="auto" w:fill="auto"/>
            <w:noWrap/>
            <w:tcMar>
              <w:top w:w="0" w:type="dxa"/>
              <w:left w:w="180" w:type="dxa"/>
              <w:bottom w:w="0" w:type="dxa"/>
              <w:right w:w="180" w:type="dxa"/>
            </w:tcMar>
            <w:vAlign w:val="center"/>
          </w:tcPr>
          <w:p>
            <w:pPr>
              <w:rPr>
                <w:rFonts w:hint="eastAsia" w:ascii="宋体"/>
                <w:sz w:val="24"/>
                <w:szCs w:val="24"/>
              </w:rPr>
            </w:pPr>
          </w:p>
        </w:tc>
        <w:tc>
          <w:tcPr>
            <w:tcW w:w="1275" w:type="dxa"/>
            <w:gridSpan w:val="2"/>
            <w:shd w:val="clear" w:color="auto" w:fill="auto"/>
            <w:tcMar>
              <w:top w:w="0" w:type="dxa"/>
              <w:left w:w="180" w:type="dxa"/>
              <w:bottom w:w="0" w:type="dxa"/>
              <w:right w:w="180" w:type="dxa"/>
            </w:tcMar>
            <w:vAlign w:val="center"/>
          </w:tcPr>
          <w:p>
            <w:pPr>
              <w:rPr>
                <w:rFonts w:hint="eastAsia" w:ascii="宋体"/>
                <w:sz w:val="24"/>
                <w:szCs w:val="24"/>
              </w:rPr>
            </w:pPr>
          </w:p>
        </w:tc>
        <w:tc>
          <w:tcPr>
            <w:tcW w:w="2040" w:type="dxa"/>
            <w:shd w:val="clear" w:color="auto" w:fill="auto"/>
            <w:noWrap/>
            <w:tcMar>
              <w:top w:w="0" w:type="dxa"/>
              <w:left w:w="180" w:type="dxa"/>
              <w:bottom w:w="0" w:type="dxa"/>
              <w:right w:w="180" w:type="dxa"/>
            </w:tcM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55" w:type="dxa"/>
            <w:shd w:val="clear" w:color="auto" w:fill="auto"/>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规范性文件</w:t>
            </w:r>
          </w:p>
        </w:tc>
        <w:tc>
          <w:tcPr>
            <w:tcW w:w="1875" w:type="dxa"/>
            <w:shd w:val="clear" w:color="auto" w:fill="auto"/>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2</w:t>
            </w:r>
          </w:p>
        </w:tc>
        <w:tc>
          <w:tcPr>
            <w:tcW w:w="1275" w:type="dxa"/>
            <w:gridSpan w:val="2"/>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2</w:t>
            </w:r>
          </w:p>
        </w:tc>
        <w:tc>
          <w:tcPr>
            <w:tcW w:w="2040" w:type="dxa"/>
            <w:shd w:val="clear" w:color="auto" w:fill="auto"/>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045" w:type="dxa"/>
            <w:gridSpan w:val="5"/>
            <w:shd w:val="clear" w:color="auto" w:fill="auto"/>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55" w:type="dxa"/>
            <w:shd w:val="clear" w:color="auto" w:fill="auto"/>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信息内容</w:t>
            </w:r>
          </w:p>
        </w:tc>
        <w:tc>
          <w:tcPr>
            <w:tcW w:w="1875" w:type="dxa"/>
            <w:shd w:val="clear" w:color="auto" w:fill="auto"/>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上一年项目数量</w:t>
            </w:r>
          </w:p>
        </w:tc>
        <w:tc>
          <w:tcPr>
            <w:tcW w:w="1275" w:type="dxa"/>
            <w:gridSpan w:val="2"/>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本年增/减</w:t>
            </w:r>
          </w:p>
        </w:tc>
        <w:tc>
          <w:tcPr>
            <w:tcW w:w="2040" w:type="dxa"/>
            <w:shd w:val="clear" w:color="auto" w:fill="auto"/>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55" w:type="dxa"/>
            <w:shd w:val="clear" w:color="auto" w:fill="auto"/>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行政许可</w:t>
            </w:r>
          </w:p>
        </w:tc>
        <w:tc>
          <w:tcPr>
            <w:tcW w:w="1875" w:type="dxa"/>
            <w:gridSpan w:val="2"/>
            <w:shd w:val="clear" w:color="auto" w:fill="auto"/>
            <w:noWrap/>
            <w:tcMar>
              <w:top w:w="0" w:type="dxa"/>
              <w:left w:w="180" w:type="dxa"/>
              <w:bottom w:w="0" w:type="dxa"/>
              <w:right w:w="180" w:type="dxa"/>
            </w:tcMar>
            <w:vAlign w:val="center"/>
          </w:tcPr>
          <w:p>
            <w:pPr>
              <w:rPr>
                <w:rFonts w:hint="eastAsia" w:ascii="宋体"/>
                <w:sz w:val="24"/>
                <w:szCs w:val="24"/>
              </w:rPr>
            </w:pPr>
          </w:p>
        </w:tc>
        <w:tc>
          <w:tcPr>
            <w:tcW w:w="1260" w:type="dxa"/>
            <w:shd w:val="clear" w:color="auto" w:fill="auto"/>
            <w:noWrap/>
            <w:tcMar>
              <w:top w:w="0" w:type="dxa"/>
              <w:left w:w="180" w:type="dxa"/>
              <w:bottom w:w="0" w:type="dxa"/>
              <w:right w:w="180" w:type="dxa"/>
            </w:tcMar>
            <w:vAlign w:val="center"/>
          </w:tcPr>
          <w:p>
            <w:pPr>
              <w:rPr>
                <w:rFonts w:hint="eastAsia" w:ascii="宋体"/>
                <w:sz w:val="24"/>
                <w:szCs w:val="24"/>
              </w:rPr>
            </w:pPr>
          </w:p>
        </w:tc>
        <w:tc>
          <w:tcPr>
            <w:tcW w:w="2040" w:type="dxa"/>
            <w:shd w:val="clear" w:color="auto" w:fill="auto"/>
            <w:noWrap/>
            <w:tcMar>
              <w:top w:w="0" w:type="dxa"/>
              <w:left w:w="180" w:type="dxa"/>
              <w:bottom w:w="0" w:type="dxa"/>
              <w:right w:w="180" w:type="dxa"/>
            </w:tcM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55" w:type="dxa"/>
            <w:shd w:val="clear" w:color="auto" w:fill="auto"/>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其他对外管理服务事项</w:t>
            </w:r>
          </w:p>
        </w:tc>
        <w:tc>
          <w:tcPr>
            <w:tcW w:w="1875" w:type="dxa"/>
            <w:gridSpan w:val="2"/>
            <w:shd w:val="clear" w:color="auto" w:fill="auto"/>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1260" w:type="dxa"/>
            <w:shd w:val="clear" w:color="auto" w:fill="auto"/>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2040" w:type="dxa"/>
            <w:shd w:val="clear" w:color="auto" w:fill="auto"/>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045" w:type="dxa"/>
            <w:gridSpan w:val="5"/>
            <w:shd w:val="clear" w:color="auto" w:fill="auto"/>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55" w:type="dxa"/>
            <w:shd w:val="clear" w:color="auto" w:fill="auto"/>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信息内容</w:t>
            </w:r>
          </w:p>
        </w:tc>
        <w:tc>
          <w:tcPr>
            <w:tcW w:w="1875" w:type="dxa"/>
            <w:shd w:val="clear" w:color="auto" w:fill="auto"/>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上一年项目数量</w:t>
            </w:r>
          </w:p>
        </w:tc>
        <w:tc>
          <w:tcPr>
            <w:tcW w:w="1275" w:type="dxa"/>
            <w:gridSpan w:val="2"/>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本年增/减</w:t>
            </w:r>
          </w:p>
        </w:tc>
        <w:tc>
          <w:tcPr>
            <w:tcW w:w="2040" w:type="dxa"/>
            <w:shd w:val="clear" w:color="auto" w:fill="auto"/>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55" w:type="dxa"/>
            <w:shd w:val="clear" w:color="auto" w:fill="auto"/>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行政处罚</w:t>
            </w:r>
          </w:p>
        </w:tc>
        <w:tc>
          <w:tcPr>
            <w:tcW w:w="1875" w:type="dxa"/>
            <w:gridSpan w:val="2"/>
            <w:shd w:val="clear" w:color="auto" w:fill="auto"/>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1260" w:type="dxa"/>
            <w:shd w:val="clear" w:color="auto" w:fill="auto"/>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2040" w:type="dxa"/>
            <w:shd w:val="clear" w:color="auto" w:fill="auto"/>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55" w:type="dxa"/>
            <w:shd w:val="clear" w:color="auto" w:fill="auto"/>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行政强制</w:t>
            </w:r>
          </w:p>
        </w:tc>
        <w:tc>
          <w:tcPr>
            <w:tcW w:w="1875" w:type="dxa"/>
            <w:gridSpan w:val="2"/>
            <w:shd w:val="clear" w:color="auto" w:fill="auto"/>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1260" w:type="dxa"/>
            <w:shd w:val="clear" w:color="auto" w:fill="auto"/>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2040" w:type="dxa"/>
            <w:shd w:val="clear" w:color="auto" w:fill="auto"/>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045" w:type="dxa"/>
            <w:gridSpan w:val="5"/>
            <w:shd w:val="clear" w:color="auto" w:fill="auto"/>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55" w:type="dxa"/>
            <w:shd w:val="clear" w:color="auto" w:fill="auto"/>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信息内容</w:t>
            </w:r>
          </w:p>
        </w:tc>
        <w:tc>
          <w:tcPr>
            <w:tcW w:w="1875" w:type="dxa"/>
            <w:gridSpan w:val="2"/>
            <w:shd w:val="clear" w:color="auto" w:fill="auto"/>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上一年项目数量</w:t>
            </w:r>
          </w:p>
        </w:tc>
        <w:tc>
          <w:tcPr>
            <w:tcW w:w="3300" w:type="dxa"/>
            <w:gridSpan w:val="2"/>
            <w:shd w:val="clear" w:color="auto" w:fill="auto"/>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55" w:type="dxa"/>
            <w:shd w:val="clear" w:color="auto" w:fill="auto"/>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行政事业性收费</w:t>
            </w:r>
          </w:p>
        </w:tc>
        <w:tc>
          <w:tcPr>
            <w:tcW w:w="1875" w:type="dxa"/>
            <w:gridSpan w:val="2"/>
            <w:shd w:val="clear" w:color="auto" w:fill="auto"/>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3300" w:type="dxa"/>
            <w:gridSpan w:val="2"/>
            <w:shd w:val="clear" w:color="auto" w:fill="auto"/>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045" w:type="dxa"/>
            <w:gridSpan w:val="5"/>
            <w:shd w:val="clear" w:color="auto" w:fill="auto"/>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55" w:type="dxa"/>
            <w:shd w:val="clear" w:color="auto" w:fill="auto"/>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信息内容</w:t>
            </w:r>
          </w:p>
        </w:tc>
        <w:tc>
          <w:tcPr>
            <w:tcW w:w="1875" w:type="dxa"/>
            <w:gridSpan w:val="2"/>
            <w:shd w:val="clear" w:color="auto" w:fill="auto"/>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采购项目数量</w:t>
            </w:r>
          </w:p>
        </w:tc>
        <w:tc>
          <w:tcPr>
            <w:tcW w:w="3300" w:type="dxa"/>
            <w:gridSpan w:val="2"/>
            <w:shd w:val="clear" w:color="auto" w:fill="auto"/>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55" w:type="dxa"/>
            <w:shd w:val="clear" w:color="auto" w:fill="auto"/>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政府集中采购</w:t>
            </w:r>
          </w:p>
        </w:tc>
        <w:tc>
          <w:tcPr>
            <w:tcW w:w="1875" w:type="dxa"/>
            <w:gridSpan w:val="2"/>
            <w:shd w:val="clear" w:color="auto" w:fill="auto"/>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3300" w:type="dxa"/>
            <w:gridSpan w:val="2"/>
            <w:shd w:val="clear" w:color="auto" w:fill="auto"/>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855" w:type="dxa"/>
            <w:shd w:val="clear" w:color="auto" w:fill="auto"/>
            <w:tcMar>
              <w:top w:w="0" w:type="dxa"/>
              <w:left w:w="180" w:type="dxa"/>
              <w:bottom w:w="0" w:type="dxa"/>
              <w:right w:w="180" w:type="dxa"/>
            </w:tcMar>
            <w:vAlign w:val="center"/>
          </w:tcPr>
          <w:p>
            <w:pPr>
              <w:rPr>
                <w:rFonts w:hint="eastAsia" w:ascii="宋体"/>
                <w:sz w:val="24"/>
                <w:szCs w:val="24"/>
              </w:rPr>
            </w:pPr>
          </w:p>
        </w:tc>
        <w:tc>
          <w:tcPr>
            <w:tcW w:w="1875" w:type="dxa"/>
            <w:shd w:val="clear" w:color="auto" w:fill="auto"/>
            <w:tcMar>
              <w:top w:w="0" w:type="dxa"/>
              <w:left w:w="180" w:type="dxa"/>
              <w:bottom w:w="0" w:type="dxa"/>
              <w:right w:w="180" w:type="dxa"/>
            </w:tcMar>
            <w:vAlign w:val="center"/>
          </w:tcPr>
          <w:p>
            <w:pPr>
              <w:rPr>
                <w:rFonts w:hint="eastAsia" w:ascii="宋体"/>
                <w:sz w:val="24"/>
                <w:szCs w:val="24"/>
              </w:rPr>
            </w:pPr>
          </w:p>
        </w:tc>
        <w:tc>
          <w:tcPr>
            <w:tcW w:w="6" w:type="dxa"/>
            <w:shd w:val="clear" w:color="auto" w:fill="auto"/>
            <w:tcMar>
              <w:top w:w="0" w:type="dxa"/>
              <w:left w:w="180" w:type="dxa"/>
              <w:bottom w:w="0" w:type="dxa"/>
              <w:right w:w="180" w:type="dxa"/>
            </w:tcMar>
            <w:vAlign w:val="center"/>
          </w:tcPr>
          <w:p>
            <w:pPr>
              <w:rPr>
                <w:rFonts w:hint="eastAsia" w:ascii="宋体"/>
                <w:sz w:val="24"/>
                <w:szCs w:val="24"/>
              </w:rPr>
            </w:pPr>
          </w:p>
        </w:tc>
        <w:tc>
          <w:tcPr>
            <w:tcW w:w="1260" w:type="dxa"/>
            <w:shd w:val="clear" w:color="auto" w:fill="auto"/>
            <w:tcMar>
              <w:top w:w="0" w:type="dxa"/>
              <w:left w:w="180" w:type="dxa"/>
              <w:bottom w:w="0" w:type="dxa"/>
              <w:right w:w="180" w:type="dxa"/>
            </w:tcMar>
            <w:vAlign w:val="center"/>
          </w:tcPr>
          <w:p>
            <w:pPr>
              <w:rPr>
                <w:rFonts w:hint="eastAsia" w:ascii="宋体"/>
                <w:sz w:val="24"/>
                <w:szCs w:val="24"/>
              </w:rPr>
            </w:pPr>
          </w:p>
        </w:tc>
        <w:tc>
          <w:tcPr>
            <w:tcW w:w="2040" w:type="dxa"/>
            <w:shd w:val="clear" w:color="auto" w:fill="auto"/>
            <w:tcMar>
              <w:top w:w="0" w:type="dxa"/>
              <w:left w:w="180" w:type="dxa"/>
              <w:bottom w:w="0" w:type="dxa"/>
              <w:right w:w="180" w:type="dxa"/>
            </w:tcMar>
            <w:vAlign w:val="center"/>
          </w:tcPr>
          <w:p>
            <w:pPr>
              <w:rPr>
                <w:rFonts w:hint="eastAsia" w:ascii="宋体"/>
                <w:sz w:val="24"/>
                <w:szCs w:val="24"/>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right="0"/>
        <w:jc w:val="both"/>
        <w:rPr>
          <w:rFonts w:hint="eastAsia" w:ascii="黑体" w:hAnsi="黑体" w:eastAsia="黑体" w:cs="黑体"/>
          <w:b/>
          <w:bCs/>
          <w:spacing w:val="-5"/>
          <w:kern w:val="2"/>
          <w:sz w:val="31"/>
          <w:szCs w:val="31"/>
          <w:lang w:val="en-US" w:eastAsia="zh-CN" w:bidi="ar-SA"/>
        </w:rPr>
      </w:pPr>
      <w:r>
        <w:rPr>
          <w:rFonts w:hint="eastAsia" w:ascii="黑体" w:hAnsi="黑体" w:eastAsia="黑体" w:cs="黑体"/>
          <w:b/>
          <w:bCs/>
          <w:spacing w:val="-5"/>
          <w:kern w:val="2"/>
          <w:sz w:val="31"/>
          <w:szCs w:val="31"/>
          <w:lang w:val="en-US" w:eastAsia="zh-CN" w:bidi="ar-SA"/>
        </w:rPr>
        <w:t>三、收到和处理政府信息公开申请情况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52"/>
        <w:gridCol w:w="1153"/>
        <w:gridCol w:w="1668"/>
        <w:gridCol w:w="661"/>
        <w:gridCol w:w="698"/>
        <w:gridCol w:w="698"/>
        <w:gridCol w:w="734"/>
        <w:gridCol w:w="832"/>
        <w:gridCol w:w="685"/>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3915" w:type="dxa"/>
            <w:gridSpan w:val="3"/>
            <w:vMerge w:val="restart"/>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（本列数据的勾稽关系为：第一项加第二项之和，等于第三项加第四项之和）</w:t>
            </w:r>
          </w:p>
        </w:tc>
        <w:tc>
          <w:tcPr>
            <w:tcW w:w="5160" w:type="dxa"/>
            <w:gridSpan w:val="7"/>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915" w:type="dxa"/>
            <w:gridSpan w:val="3"/>
            <w:vMerge w:val="continue"/>
            <w:shd w:val="clear" w:color="auto" w:fill="auto"/>
            <w:tcMar>
              <w:top w:w="0" w:type="dxa"/>
              <w:left w:w="180" w:type="dxa"/>
              <w:bottom w:w="0" w:type="dxa"/>
              <w:right w:w="180" w:type="dxa"/>
            </w:tcMar>
            <w:vAlign w:val="center"/>
          </w:tcPr>
          <w:p>
            <w:pPr>
              <w:rPr>
                <w:rFonts w:hint="eastAsia" w:ascii="宋体"/>
                <w:sz w:val="24"/>
                <w:szCs w:val="24"/>
              </w:rPr>
            </w:pPr>
          </w:p>
        </w:tc>
        <w:tc>
          <w:tcPr>
            <w:tcW w:w="675" w:type="dxa"/>
            <w:vMerge w:val="restart"/>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自然人</w:t>
            </w:r>
          </w:p>
        </w:tc>
        <w:tc>
          <w:tcPr>
            <w:tcW w:w="3795" w:type="dxa"/>
            <w:gridSpan w:val="5"/>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法人或其他组织</w:t>
            </w:r>
          </w:p>
        </w:tc>
        <w:tc>
          <w:tcPr>
            <w:tcW w:w="675" w:type="dxa"/>
            <w:vMerge w:val="restart"/>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915" w:type="dxa"/>
            <w:gridSpan w:val="3"/>
            <w:vMerge w:val="continue"/>
            <w:shd w:val="clear" w:color="auto" w:fill="auto"/>
            <w:tcMar>
              <w:top w:w="0" w:type="dxa"/>
              <w:left w:w="180" w:type="dxa"/>
              <w:bottom w:w="0" w:type="dxa"/>
              <w:right w:w="180" w:type="dxa"/>
            </w:tcMar>
            <w:vAlign w:val="center"/>
          </w:tcPr>
          <w:p>
            <w:pPr>
              <w:rPr>
                <w:rFonts w:hint="eastAsia" w:ascii="宋体"/>
                <w:sz w:val="24"/>
                <w:szCs w:val="24"/>
              </w:rPr>
            </w:pPr>
          </w:p>
        </w:tc>
        <w:tc>
          <w:tcPr>
            <w:tcW w:w="675" w:type="dxa"/>
            <w:vMerge w:val="continue"/>
            <w:shd w:val="clear" w:color="auto" w:fill="auto"/>
            <w:tcMar>
              <w:top w:w="0" w:type="dxa"/>
              <w:left w:w="180" w:type="dxa"/>
              <w:bottom w:w="0" w:type="dxa"/>
              <w:right w:w="180" w:type="dxa"/>
            </w:tcMar>
            <w:vAlign w:val="center"/>
          </w:tcPr>
          <w:p>
            <w:pPr>
              <w:rPr>
                <w:rFonts w:hint="eastAsia" w:ascii="宋体"/>
                <w:sz w:val="24"/>
                <w:szCs w:val="24"/>
              </w:rPr>
            </w:pPr>
          </w:p>
        </w:tc>
        <w:tc>
          <w:tcPr>
            <w:tcW w:w="72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商业企业</w:t>
            </w:r>
          </w:p>
        </w:tc>
        <w:tc>
          <w:tcPr>
            <w:tcW w:w="72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科研机构</w:t>
            </w:r>
          </w:p>
        </w:tc>
        <w:tc>
          <w:tcPr>
            <w:tcW w:w="76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社会公益组织</w:t>
            </w:r>
          </w:p>
        </w:tc>
        <w:tc>
          <w:tcPr>
            <w:tcW w:w="88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法律服务机构</w:t>
            </w:r>
          </w:p>
        </w:tc>
        <w:tc>
          <w:tcPr>
            <w:tcW w:w="69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其他</w:t>
            </w:r>
          </w:p>
        </w:tc>
        <w:tc>
          <w:tcPr>
            <w:tcW w:w="675" w:type="dxa"/>
            <w:vMerge w:val="continue"/>
            <w:shd w:val="clear" w:color="auto" w:fill="auto"/>
            <w:tcMar>
              <w:top w:w="0" w:type="dxa"/>
              <w:left w:w="180" w:type="dxa"/>
              <w:bottom w:w="0" w:type="dxa"/>
              <w:right w:w="180" w:type="dxa"/>
            </w:tcM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915" w:type="dxa"/>
            <w:gridSpan w:val="3"/>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一、本年新收政府信息公开申请数量</w:t>
            </w:r>
          </w:p>
        </w:tc>
        <w:tc>
          <w:tcPr>
            <w:tcW w:w="67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2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2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6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88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9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7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915" w:type="dxa"/>
            <w:gridSpan w:val="3"/>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二、上年结转政府信息公开申请数量</w:t>
            </w:r>
          </w:p>
        </w:tc>
        <w:tc>
          <w:tcPr>
            <w:tcW w:w="67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2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2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6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88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9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7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55" w:type="dxa"/>
            <w:vMerge w:val="restart"/>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三、本年度办理结果</w:t>
            </w:r>
          </w:p>
        </w:tc>
        <w:tc>
          <w:tcPr>
            <w:tcW w:w="3060" w:type="dxa"/>
            <w:gridSpan w:val="2"/>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（一）予以公开</w:t>
            </w:r>
          </w:p>
        </w:tc>
        <w:tc>
          <w:tcPr>
            <w:tcW w:w="67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2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2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6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88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9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7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55" w:type="dxa"/>
            <w:vMerge w:val="continue"/>
            <w:shd w:val="clear" w:color="auto" w:fill="auto"/>
            <w:tcMar>
              <w:top w:w="0" w:type="dxa"/>
              <w:left w:w="180" w:type="dxa"/>
              <w:bottom w:w="0" w:type="dxa"/>
              <w:right w:w="180" w:type="dxa"/>
            </w:tcMar>
            <w:vAlign w:val="center"/>
          </w:tcPr>
          <w:p>
            <w:pPr>
              <w:rPr>
                <w:rFonts w:hint="eastAsia" w:ascii="宋体"/>
                <w:sz w:val="24"/>
                <w:szCs w:val="24"/>
              </w:rPr>
            </w:pPr>
          </w:p>
        </w:tc>
        <w:tc>
          <w:tcPr>
            <w:tcW w:w="3060" w:type="dxa"/>
            <w:gridSpan w:val="2"/>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（二）部分公开（区分处理的，只计这一情形，不计其他情形）</w:t>
            </w:r>
          </w:p>
        </w:tc>
        <w:tc>
          <w:tcPr>
            <w:tcW w:w="67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2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2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6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88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9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7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55" w:type="dxa"/>
            <w:vMerge w:val="continue"/>
            <w:shd w:val="clear" w:color="auto" w:fill="auto"/>
            <w:tcMar>
              <w:top w:w="0" w:type="dxa"/>
              <w:left w:w="180" w:type="dxa"/>
              <w:bottom w:w="0" w:type="dxa"/>
              <w:right w:w="180" w:type="dxa"/>
            </w:tcMar>
            <w:vAlign w:val="center"/>
          </w:tcPr>
          <w:p>
            <w:pPr>
              <w:rPr>
                <w:rFonts w:hint="eastAsia" w:ascii="宋体"/>
                <w:sz w:val="24"/>
                <w:szCs w:val="24"/>
              </w:rPr>
            </w:pPr>
          </w:p>
        </w:tc>
        <w:tc>
          <w:tcPr>
            <w:tcW w:w="1170" w:type="dxa"/>
            <w:vMerge w:val="restart"/>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（三）不予公开</w:t>
            </w:r>
          </w:p>
        </w:tc>
        <w:tc>
          <w:tcPr>
            <w:tcW w:w="189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1.属于国家秘密</w:t>
            </w:r>
          </w:p>
        </w:tc>
        <w:tc>
          <w:tcPr>
            <w:tcW w:w="67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2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2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6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88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9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7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55" w:type="dxa"/>
            <w:vMerge w:val="continue"/>
            <w:shd w:val="clear" w:color="auto" w:fill="auto"/>
            <w:tcMar>
              <w:top w:w="0" w:type="dxa"/>
              <w:left w:w="180" w:type="dxa"/>
              <w:bottom w:w="0" w:type="dxa"/>
              <w:right w:w="180" w:type="dxa"/>
            </w:tcMar>
            <w:vAlign w:val="center"/>
          </w:tcPr>
          <w:p>
            <w:pPr>
              <w:rPr>
                <w:rFonts w:hint="eastAsia" w:ascii="宋体"/>
                <w:sz w:val="24"/>
                <w:szCs w:val="24"/>
              </w:rPr>
            </w:pPr>
          </w:p>
        </w:tc>
        <w:tc>
          <w:tcPr>
            <w:tcW w:w="1170" w:type="dxa"/>
            <w:vMerge w:val="continue"/>
            <w:shd w:val="clear" w:color="auto" w:fill="auto"/>
            <w:tcMar>
              <w:top w:w="0" w:type="dxa"/>
              <w:left w:w="180" w:type="dxa"/>
              <w:bottom w:w="0" w:type="dxa"/>
              <w:right w:w="180" w:type="dxa"/>
            </w:tcMar>
            <w:vAlign w:val="center"/>
          </w:tcPr>
          <w:p>
            <w:pPr>
              <w:rPr>
                <w:rFonts w:hint="eastAsia" w:ascii="宋体"/>
                <w:sz w:val="24"/>
                <w:szCs w:val="24"/>
              </w:rPr>
            </w:pPr>
          </w:p>
        </w:tc>
        <w:tc>
          <w:tcPr>
            <w:tcW w:w="189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2.其他法律行政法规禁止公开</w:t>
            </w:r>
          </w:p>
        </w:tc>
        <w:tc>
          <w:tcPr>
            <w:tcW w:w="67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2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2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6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88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9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7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55" w:type="dxa"/>
            <w:vMerge w:val="continue"/>
            <w:shd w:val="clear" w:color="auto" w:fill="auto"/>
            <w:tcMar>
              <w:top w:w="0" w:type="dxa"/>
              <w:left w:w="180" w:type="dxa"/>
              <w:bottom w:w="0" w:type="dxa"/>
              <w:right w:w="180" w:type="dxa"/>
            </w:tcMar>
            <w:vAlign w:val="center"/>
          </w:tcPr>
          <w:p>
            <w:pPr>
              <w:rPr>
                <w:rFonts w:hint="eastAsia" w:ascii="宋体"/>
                <w:sz w:val="24"/>
                <w:szCs w:val="24"/>
              </w:rPr>
            </w:pPr>
          </w:p>
        </w:tc>
        <w:tc>
          <w:tcPr>
            <w:tcW w:w="1170" w:type="dxa"/>
            <w:vMerge w:val="continue"/>
            <w:shd w:val="clear" w:color="auto" w:fill="auto"/>
            <w:tcMar>
              <w:top w:w="0" w:type="dxa"/>
              <w:left w:w="180" w:type="dxa"/>
              <w:bottom w:w="0" w:type="dxa"/>
              <w:right w:w="180" w:type="dxa"/>
            </w:tcMar>
            <w:vAlign w:val="center"/>
          </w:tcPr>
          <w:p>
            <w:pPr>
              <w:rPr>
                <w:rFonts w:hint="eastAsia" w:ascii="宋体"/>
                <w:sz w:val="24"/>
                <w:szCs w:val="24"/>
              </w:rPr>
            </w:pPr>
          </w:p>
        </w:tc>
        <w:tc>
          <w:tcPr>
            <w:tcW w:w="189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3.危及“三安全一稳定”</w:t>
            </w:r>
          </w:p>
        </w:tc>
        <w:tc>
          <w:tcPr>
            <w:tcW w:w="67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2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2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6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88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9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7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55" w:type="dxa"/>
            <w:vMerge w:val="continue"/>
            <w:shd w:val="clear" w:color="auto" w:fill="auto"/>
            <w:tcMar>
              <w:top w:w="0" w:type="dxa"/>
              <w:left w:w="180" w:type="dxa"/>
              <w:bottom w:w="0" w:type="dxa"/>
              <w:right w:w="180" w:type="dxa"/>
            </w:tcMar>
            <w:vAlign w:val="center"/>
          </w:tcPr>
          <w:p>
            <w:pPr>
              <w:rPr>
                <w:rFonts w:hint="eastAsia" w:ascii="宋体"/>
                <w:sz w:val="24"/>
                <w:szCs w:val="24"/>
              </w:rPr>
            </w:pPr>
          </w:p>
        </w:tc>
        <w:tc>
          <w:tcPr>
            <w:tcW w:w="1170" w:type="dxa"/>
            <w:vMerge w:val="continue"/>
            <w:shd w:val="clear" w:color="auto" w:fill="auto"/>
            <w:tcMar>
              <w:top w:w="0" w:type="dxa"/>
              <w:left w:w="180" w:type="dxa"/>
              <w:bottom w:w="0" w:type="dxa"/>
              <w:right w:w="180" w:type="dxa"/>
            </w:tcMar>
            <w:vAlign w:val="center"/>
          </w:tcPr>
          <w:p>
            <w:pPr>
              <w:rPr>
                <w:rFonts w:hint="eastAsia" w:ascii="宋体"/>
                <w:sz w:val="24"/>
                <w:szCs w:val="24"/>
              </w:rPr>
            </w:pPr>
          </w:p>
        </w:tc>
        <w:tc>
          <w:tcPr>
            <w:tcW w:w="189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4.保护第三方合法权益</w:t>
            </w:r>
          </w:p>
        </w:tc>
        <w:tc>
          <w:tcPr>
            <w:tcW w:w="67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2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2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6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88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9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7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55" w:type="dxa"/>
            <w:vMerge w:val="continue"/>
            <w:shd w:val="clear" w:color="auto" w:fill="auto"/>
            <w:tcMar>
              <w:top w:w="0" w:type="dxa"/>
              <w:left w:w="180" w:type="dxa"/>
              <w:bottom w:w="0" w:type="dxa"/>
              <w:right w:w="180" w:type="dxa"/>
            </w:tcMar>
            <w:vAlign w:val="center"/>
          </w:tcPr>
          <w:p>
            <w:pPr>
              <w:rPr>
                <w:rFonts w:hint="eastAsia" w:ascii="宋体"/>
                <w:sz w:val="24"/>
                <w:szCs w:val="24"/>
              </w:rPr>
            </w:pPr>
          </w:p>
        </w:tc>
        <w:tc>
          <w:tcPr>
            <w:tcW w:w="1170" w:type="dxa"/>
            <w:vMerge w:val="continue"/>
            <w:shd w:val="clear" w:color="auto" w:fill="auto"/>
            <w:tcMar>
              <w:top w:w="0" w:type="dxa"/>
              <w:left w:w="180" w:type="dxa"/>
              <w:bottom w:w="0" w:type="dxa"/>
              <w:right w:w="180" w:type="dxa"/>
            </w:tcMar>
            <w:vAlign w:val="center"/>
          </w:tcPr>
          <w:p>
            <w:pPr>
              <w:rPr>
                <w:rFonts w:hint="eastAsia" w:ascii="宋体"/>
                <w:sz w:val="24"/>
                <w:szCs w:val="24"/>
              </w:rPr>
            </w:pPr>
          </w:p>
        </w:tc>
        <w:tc>
          <w:tcPr>
            <w:tcW w:w="189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5.属于三类内部事务信息</w:t>
            </w:r>
          </w:p>
        </w:tc>
        <w:tc>
          <w:tcPr>
            <w:tcW w:w="67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2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2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6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88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9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7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55" w:type="dxa"/>
            <w:vMerge w:val="continue"/>
            <w:shd w:val="clear" w:color="auto" w:fill="auto"/>
            <w:tcMar>
              <w:top w:w="0" w:type="dxa"/>
              <w:left w:w="180" w:type="dxa"/>
              <w:bottom w:w="0" w:type="dxa"/>
              <w:right w:w="180" w:type="dxa"/>
            </w:tcMar>
            <w:vAlign w:val="center"/>
          </w:tcPr>
          <w:p>
            <w:pPr>
              <w:rPr>
                <w:rFonts w:hint="eastAsia" w:ascii="宋体"/>
                <w:sz w:val="24"/>
                <w:szCs w:val="24"/>
              </w:rPr>
            </w:pPr>
          </w:p>
        </w:tc>
        <w:tc>
          <w:tcPr>
            <w:tcW w:w="1170" w:type="dxa"/>
            <w:vMerge w:val="continue"/>
            <w:shd w:val="clear" w:color="auto" w:fill="auto"/>
            <w:tcMar>
              <w:top w:w="0" w:type="dxa"/>
              <w:left w:w="180" w:type="dxa"/>
              <w:bottom w:w="0" w:type="dxa"/>
              <w:right w:w="180" w:type="dxa"/>
            </w:tcMar>
            <w:vAlign w:val="center"/>
          </w:tcPr>
          <w:p>
            <w:pPr>
              <w:rPr>
                <w:rFonts w:hint="eastAsia" w:ascii="宋体"/>
                <w:sz w:val="24"/>
                <w:szCs w:val="24"/>
              </w:rPr>
            </w:pPr>
          </w:p>
        </w:tc>
        <w:tc>
          <w:tcPr>
            <w:tcW w:w="189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6.属于四类过程性信息</w:t>
            </w:r>
          </w:p>
        </w:tc>
        <w:tc>
          <w:tcPr>
            <w:tcW w:w="67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2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2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6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88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9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7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55" w:type="dxa"/>
            <w:vMerge w:val="continue"/>
            <w:shd w:val="clear" w:color="auto" w:fill="auto"/>
            <w:tcMar>
              <w:top w:w="0" w:type="dxa"/>
              <w:left w:w="180" w:type="dxa"/>
              <w:bottom w:w="0" w:type="dxa"/>
              <w:right w:w="180" w:type="dxa"/>
            </w:tcMar>
            <w:vAlign w:val="center"/>
          </w:tcPr>
          <w:p>
            <w:pPr>
              <w:rPr>
                <w:rFonts w:hint="eastAsia" w:ascii="宋体"/>
                <w:sz w:val="24"/>
                <w:szCs w:val="24"/>
              </w:rPr>
            </w:pPr>
          </w:p>
        </w:tc>
        <w:tc>
          <w:tcPr>
            <w:tcW w:w="1170" w:type="dxa"/>
            <w:vMerge w:val="continue"/>
            <w:shd w:val="clear" w:color="auto" w:fill="auto"/>
            <w:tcMar>
              <w:top w:w="0" w:type="dxa"/>
              <w:left w:w="180" w:type="dxa"/>
              <w:bottom w:w="0" w:type="dxa"/>
              <w:right w:w="180" w:type="dxa"/>
            </w:tcMar>
            <w:vAlign w:val="center"/>
          </w:tcPr>
          <w:p>
            <w:pPr>
              <w:rPr>
                <w:rFonts w:hint="eastAsia" w:ascii="宋体"/>
                <w:sz w:val="24"/>
                <w:szCs w:val="24"/>
              </w:rPr>
            </w:pPr>
          </w:p>
        </w:tc>
        <w:tc>
          <w:tcPr>
            <w:tcW w:w="189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7.属于行政执法案卷</w:t>
            </w:r>
          </w:p>
        </w:tc>
        <w:tc>
          <w:tcPr>
            <w:tcW w:w="67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2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2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6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88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9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7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55" w:type="dxa"/>
            <w:vMerge w:val="continue"/>
            <w:shd w:val="clear" w:color="auto" w:fill="auto"/>
            <w:tcMar>
              <w:top w:w="0" w:type="dxa"/>
              <w:left w:w="180" w:type="dxa"/>
              <w:bottom w:w="0" w:type="dxa"/>
              <w:right w:w="180" w:type="dxa"/>
            </w:tcMar>
            <w:vAlign w:val="center"/>
          </w:tcPr>
          <w:p>
            <w:pPr>
              <w:rPr>
                <w:rFonts w:hint="eastAsia" w:ascii="宋体"/>
                <w:sz w:val="24"/>
                <w:szCs w:val="24"/>
              </w:rPr>
            </w:pPr>
          </w:p>
        </w:tc>
        <w:tc>
          <w:tcPr>
            <w:tcW w:w="1170" w:type="dxa"/>
            <w:vMerge w:val="continue"/>
            <w:shd w:val="clear" w:color="auto" w:fill="auto"/>
            <w:tcMar>
              <w:top w:w="0" w:type="dxa"/>
              <w:left w:w="180" w:type="dxa"/>
              <w:bottom w:w="0" w:type="dxa"/>
              <w:right w:w="180" w:type="dxa"/>
            </w:tcMar>
            <w:vAlign w:val="center"/>
          </w:tcPr>
          <w:p>
            <w:pPr>
              <w:rPr>
                <w:rFonts w:hint="eastAsia" w:ascii="宋体"/>
                <w:sz w:val="24"/>
                <w:szCs w:val="24"/>
              </w:rPr>
            </w:pPr>
          </w:p>
        </w:tc>
        <w:tc>
          <w:tcPr>
            <w:tcW w:w="189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8.属于行政查询事项</w:t>
            </w:r>
          </w:p>
        </w:tc>
        <w:tc>
          <w:tcPr>
            <w:tcW w:w="67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2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2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6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88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9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7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55" w:type="dxa"/>
            <w:vMerge w:val="continue"/>
            <w:shd w:val="clear" w:color="auto" w:fill="auto"/>
            <w:tcMar>
              <w:top w:w="0" w:type="dxa"/>
              <w:left w:w="180" w:type="dxa"/>
              <w:bottom w:w="0" w:type="dxa"/>
              <w:right w:w="180" w:type="dxa"/>
            </w:tcMar>
            <w:vAlign w:val="center"/>
          </w:tcPr>
          <w:p>
            <w:pPr>
              <w:rPr>
                <w:rFonts w:hint="eastAsia" w:ascii="宋体"/>
                <w:sz w:val="24"/>
                <w:szCs w:val="24"/>
              </w:rPr>
            </w:pPr>
          </w:p>
        </w:tc>
        <w:tc>
          <w:tcPr>
            <w:tcW w:w="1170" w:type="dxa"/>
            <w:vMerge w:val="restart"/>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（四）无法提供</w:t>
            </w:r>
          </w:p>
        </w:tc>
        <w:tc>
          <w:tcPr>
            <w:tcW w:w="189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1.本机关不掌握相关政府信息</w:t>
            </w:r>
          </w:p>
        </w:tc>
        <w:tc>
          <w:tcPr>
            <w:tcW w:w="67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2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2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6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88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9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7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55" w:type="dxa"/>
            <w:vMerge w:val="continue"/>
            <w:shd w:val="clear" w:color="auto" w:fill="auto"/>
            <w:tcMar>
              <w:top w:w="0" w:type="dxa"/>
              <w:left w:w="180" w:type="dxa"/>
              <w:bottom w:w="0" w:type="dxa"/>
              <w:right w:w="180" w:type="dxa"/>
            </w:tcMar>
            <w:vAlign w:val="center"/>
          </w:tcPr>
          <w:p>
            <w:pPr>
              <w:rPr>
                <w:rFonts w:hint="eastAsia" w:ascii="宋体"/>
                <w:sz w:val="24"/>
                <w:szCs w:val="24"/>
              </w:rPr>
            </w:pPr>
          </w:p>
        </w:tc>
        <w:tc>
          <w:tcPr>
            <w:tcW w:w="1170" w:type="dxa"/>
            <w:vMerge w:val="continue"/>
            <w:shd w:val="clear" w:color="auto" w:fill="auto"/>
            <w:tcMar>
              <w:top w:w="0" w:type="dxa"/>
              <w:left w:w="180" w:type="dxa"/>
              <w:bottom w:w="0" w:type="dxa"/>
              <w:right w:w="180" w:type="dxa"/>
            </w:tcMar>
            <w:vAlign w:val="center"/>
          </w:tcPr>
          <w:p>
            <w:pPr>
              <w:rPr>
                <w:rFonts w:hint="eastAsia" w:ascii="宋体"/>
                <w:sz w:val="24"/>
                <w:szCs w:val="24"/>
              </w:rPr>
            </w:pPr>
          </w:p>
        </w:tc>
        <w:tc>
          <w:tcPr>
            <w:tcW w:w="189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2.没有现成信息需要另行制作</w:t>
            </w:r>
          </w:p>
        </w:tc>
        <w:tc>
          <w:tcPr>
            <w:tcW w:w="67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2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2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6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88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9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7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55" w:type="dxa"/>
            <w:vMerge w:val="continue"/>
            <w:shd w:val="clear" w:color="auto" w:fill="auto"/>
            <w:tcMar>
              <w:top w:w="0" w:type="dxa"/>
              <w:left w:w="180" w:type="dxa"/>
              <w:bottom w:w="0" w:type="dxa"/>
              <w:right w:w="180" w:type="dxa"/>
            </w:tcMar>
            <w:vAlign w:val="center"/>
          </w:tcPr>
          <w:p>
            <w:pPr>
              <w:rPr>
                <w:rFonts w:hint="eastAsia" w:ascii="宋体"/>
                <w:sz w:val="24"/>
                <w:szCs w:val="24"/>
              </w:rPr>
            </w:pPr>
          </w:p>
        </w:tc>
        <w:tc>
          <w:tcPr>
            <w:tcW w:w="1170" w:type="dxa"/>
            <w:vMerge w:val="continue"/>
            <w:shd w:val="clear" w:color="auto" w:fill="auto"/>
            <w:tcMar>
              <w:top w:w="0" w:type="dxa"/>
              <w:left w:w="180" w:type="dxa"/>
              <w:bottom w:w="0" w:type="dxa"/>
              <w:right w:w="180" w:type="dxa"/>
            </w:tcMar>
            <w:vAlign w:val="center"/>
          </w:tcPr>
          <w:p>
            <w:pPr>
              <w:rPr>
                <w:rFonts w:hint="eastAsia" w:ascii="宋体"/>
                <w:sz w:val="24"/>
                <w:szCs w:val="24"/>
              </w:rPr>
            </w:pPr>
          </w:p>
        </w:tc>
        <w:tc>
          <w:tcPr>
            <w:tcW w:w="189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3.补正后申请内容仍不明确</w:t>
            </w:r>
          </w:p>
        </w:tc>
        <w:tc>
          <w:tcPr>
            <w:tcW w:w="67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2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2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6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88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9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7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55" w:type="dxa"/>
            <w:vMerge w:val="continue"/>
            <w:shd w:val="clear" w:color="auto" w:fill="auto"/>
            <w:tcMar>
              <w:top w:w="0" w:type="dxa"/>
              <w:left w:w="180" w:type="dxa"/>
              <w:bottom w:w="0" w:type="dxa"/>
              <w:right w:w="180" w:type="dxa"/>
            </w:tcMar>
            <w:vAlign w:val="center"/>
          </w:tcPr>
          <w:p>
            <w:pPr>
              <w:rPr>
                <w:rFonts w:hint="eastAsia" w:ascii="宋体"/>
                <w:sz w:val="24"/>
                <w:szCs w:val="24"/>
              </w:rPr>
            </w:pPr>
          </w:p>
        </w:tc>
        <w:tc>
          <w:tcPr>
            <w:tcW w:w="1170" w:type="dxa"/>
            <w:vMerge w:val="restart"/>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（五）不予处理</w:t>
            </w:r>
          </w:p>
        </w:tc>
        <w:tc>
          <w:tcPr>
            <w:tcW w:w="189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1.信访举报投诉类申请</w:t>
            </w:r>
          </w:p>
        </w:tc>
        <w:tc>
          <w:tcPr>
            <w:tcW w:w="67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2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2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6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88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9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7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55" w:type="dxa"/>
            <w:vMerge w:val="continue"/>
            <w:shd w:val="clear" w:color="auto" w:fill="auto"/>
            <w:tcMar>
              <w:top w:w="0" w:type="dxa"/>
              <w:left w:w="180" w:type="dxa"/>
              <w:bottom w:w="0" w:type="dxa"/>
              <w:right w:w="180" w:type="dxa"/>
            </w:tcMar>
            <w:vAlign w:val="center"/>
          </w:tcPr>
          <w:p>
            <w:pPr>
              <w:rPr>
                <w:rFonts w:hint="eastAsia" w:ascii="宋体"/>
                <w:sz w:val="24"/>
                <w:szCs w:val="24"/>
              </w:rPr>
            </w:pPr>
          </w:p>
        </w:tc>
        <w:tc>
          <w:tcPr>
            <w:tcW w:w="1170" w:type="dxa"/>
            <w:vMerge w:val="continue"/>
            <w:shd w:val="clear" w:color="auto" w:fill="auto"/>
            <w:tcMar>
              <w:top w:w="0" w:type="dxa"/>
              <w:left w:w="180" w:type="dxa"/>
              <w:bottom w:w="0" w:type="dxa"/>
              <w:right w:w="180" w:type="dxa"/>
            </w:tcMar>
            <w:vAlign w:val="center"/>
          </w:tcPr>
          <w:p>
            <w:pPr>
              <w:rPr>
                <w:rFonts w:hint="eastAsia" w:ascii="宋体"/>
                <w:sz w:val="24"/>
                <w:szCs w:val="24"/>
              </w:rPr>
            </w:pPr>
          </w:p>
        </w:tc>
        <w:tc>
          <w:tcPr>
            <w:tcW w:w="189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2.重复申请</w:t>
            </w:r>
          </w:p>
        </w:tc>
        <w:tc>
          <w:tcPr>
            <w:tcW w:w="67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2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2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6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88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9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7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55" w:type="dxa"/>
            <w:vMerge w:val="continue"/>
            <w:shd w:val="clear" w:color="auto" w:fill="auto"/>
            <w:tcMar>
              <w:top w:w="0" w:type="dxa"/>
              <w:left w:w="180" w:type="dxa"/>
              <w:bottom w:w="0" w:type="dxa"/>
              <w:right w:w="180" w:type="dxa"/>
            </w:tcMar>
            <w:vAlign w:val="center"/>
          </w:tcPr>
          <w:p>
            <w:pPr>
              <w:rPr>
                <w:rFonts w:hint="eastAsia" w:ascii="宋体"/>
                <w:sz w:val="24"/>
                <w:szCs w:val="24"/>
              </w:rPr>
            </w:pPr>
          </w:p>
        </w:tc>
        <w:tc>
          <w:tcPr>
            <w:tcW w:w="1170" w:type="dxa"/>
            <w:vMerge w:val="continue"/>
            <w:shd w:val="clear" w:color="auto" w:fill="auto"/>
            <w:tcMar>
              <w:top w:w="0" w:type="dxa"/>
              <w:left w:w="180" w:type="dxa"/>
              <w:bottom w:w="0" w:type="dxa"/>
              <w:right w:w="180" w:type="dxa"/>
            </w:tcMar>
            <w:vAlign w:val="center"/>
          </w:tcPr>
          <w:p>
            <w:pPr>
              <w:rPr>
                <w:rFonts w:hint="eastAsia" w:ascii="宋体"/>
                <w:sz w:val="24"/>
                <w:szCs w:val="24"/>
              </w:rPr>
            </w:pPr>
          </w:p>
        </w:tc>
        <w:tc>
          <w:tcPr>
            <w:tcW w:w="189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3.要求提供公开出版物</w:t>
            </w:r>
          </w:p>
        </w:tc>
        <w:tc>
          <w:tcPr>
            <w:tcW w:w="67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2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2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6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88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9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7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55" w:type="dxa"/>
            <w:vMerge w:val="continue"/>
            <w:shd w:val="clear" w:color="auto" w:fill="auto"/>
            <w:tcMar>
              <w:top w:w="0" w:type="dxa"/>
              <w:left w:w="180" w:type="dxa"/>
              <w:bottom w:w="0" w:type="dxa"/>
              <w:right w:w="180" w:type="dxa"/>
            </w:tcMar>
            <w:vAlign w:val="center"/>
          </w:tcPr>
          <w:p>
            <w:pPr>
              <w:rPr>
                <w:rFonts w:hint="eastAsia" w:ascii="宋体"/>
                <w:sz w:val="24"/>
                <w:szCs w:val="24"/>
              </w:rPr>
            </w:pPr>
          </w:p>
        </w:tc>
        <w:tc>
          <w:tcPr>
            <w:tcW w:w="1170" w:type="dxa"/>
            <w:vMerge w:val="continue"/>
            <w:shd w:val="clear" w:color="auto" w:fill="auto"/>
            <w:tcMar>
              <w:top w:w="0" w:type="dxa"/>
              <w:left w:w="180" w:type="dxa"/>
              <w:bottom w:w="0" w:type="dxa"/>
              <w:right w:w="180" w:type="dxa"/>
            </w:tcMar>
            <w:vAlign w:val="center"/>
          </w:tcPr>
          <w:p>
            <w:pPr>
              <w:rPr>
                <w:rFonts w:hint="eastAsia" w:ascii="宋体"/>
                <w:sz w:val="24"/>
                <w:szCs w:val="24"/>
              </w:rPr>
            </w:pPr>
          </w:p>
        </w:tc>
        <w:tc>
          <w:tcPr>
            <w:tcW w:w="189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4.无正当理由大量反复申请</w:t>
            </w:r>
          </w:p>
        </w:tc>
        <w:tc>
          <w:tcPr>
            <w:tcW w:w="67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2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2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6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88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9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7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55" w:type="dxa"/>
            <w:vMerge w:val="continue"/>
            <w:shd w:val="clear" w:color="auto" w:fill="auto"/>
            <w:tcMar>
              <w:top w:w="0" w:type="dxa"/>
              <w:left w:w="180" w:type="dxa"/>
              <w:bottom w:w="0" w:type="dxa"/>
              <w:right w:w="180" w:type="dxa"/>
            </w:tcMar>
            <w:vAlign w:val="center"/>
          </w:tcPr>
          <w:p>
            <w:pPr>
              <w:rPr>
                <w:rFonts w:hint="eastAsia" w:ascii="宋体"/>
                <w:sz w:val="24"/>
                <w:szCs w:val="24"/>
              </w:rPr>
            </w:pPr>
          </w:p>
        </w:tc>
        <w:tc>
          <w:tcPr>
            <w:tcW w:w="1170" w:type="dxa"/>
            <w:vMerge w:val="continue"/>
            <w:shd w:val="clear" w:color="auto" w:fill="auto"/>
            <w:tcMar>
              <w:top w:w="0" w:type="dxa"/>
              <w:left w:w="180" w:type="dxa"/>
              <w:bottom w:w="0" w:type="dxa"/>
              <w:right w:w="180" w:type="dxa"/>
            </w:tcMar>
            <w:vAlign w:val="center"/>
          </w:tcPr>
          <w:p>
            <w:pPr>
              <w:rPr>
                <w:rFonts w:hint="eastAsia" w:ascii="宋体"/>
                <w:sz w:val="24"/>
                <w:szCs w:val="24"/>
              </w:rPr>
            </w:pPr>
          </w:p>
        </w:tc>
        <w:tc>
          <w:tcPr>
            <w:tcW w:w="189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5.要求行政机关确认或重新出具已获取信息</w:t>
            </w:r>
          </w:p>
        </w:tc>
        <w:tc>
          <w:tcPr>
            <w:tcW w:w="67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2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2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6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88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9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7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55" w:type="dxa"/>
            <w:vMerge w:val="continue"/>
            <w:shd w:val="clear" w:color="auto" w:fill="auto"/>
            <w:tcMar>
              <w:top w:w="0" w:type="dxa"/>
              <w:left w:w="180" w:type="dxa"/>
              <w:bottom w:w="0" w:type="dxa"/>
              <w:right w:w="180" w:type="dxa"/>
            </w:tcMar>
            <w:vAlign w:val="center"/>
          </w:tcPr>
          <w:p>
            <w:pPr>
              <w:rPr>
                <w:rFonts w:hint="eastAsia" w:ascii="宋体"/>
                <w:sz w:val="24"/>
                <w:szCs w:val="24"/>
              </w:rPr>
            </w:pPr>
          </w:p>
        </w:tc>
        <w:tc>
          <w:tcPr>
            <w:tcW w:w="3060" w:type="dxa"/>
            <w:gridSpan w:val="2"/>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（六）其他处理</w:t>
            </w:r>
          </w:p>
        </w:tc>
        <w:tc>
          <w:tcPr>
            <w:tcW w:w="67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2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2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6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88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9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7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55" w:type="dxa"/>
            <w:vMerge w:val="continue"/>
            <w:shd w:val="clear" w:color="auto" w:fill="auto"/>
            <w:tcMar>
              <w:top w:w="0" w:type="dxa"/>
              <w:left w:w="180" w:type="dxa"/>
              <w:bottom w:w="0" w:type="dxa"/>
              <w:right w:w="180" w:type="dxa"/>
            </w:tcMar>
            <w:vAlign w:val="center"/>
          </w:tcPr>
          <w:p>
            <w:pPr>
              <w:rPr>
                <w:rFonts w:hint="eastAsia" w:ascii="宋体"/>
                <w:sz w:val="24"/>
                <w:szCs w:val="24"/>
              </w:rPr>
            </w:pPr>
          </w:p>
        </w:tc>
        <w:tc>
          <w:tcPr>
            <w:tcW w:w="3060" w:type="dxa"/>
            <w:gridSpan w:val="2"/>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（七）总计</w:t>
            </w:r>
          </w:p>
        </w:tc>
        <w:tc>
          <w:tcPr>
            <w:tcW w:w="67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2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2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6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88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9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7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915" w:type="dxa"/>
            <w:gridSpan w:val="3"/>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四、结转下年度继续办理</w:t>
            </w:r>
          </w:p>
        </w:tc>
        <w:tc>
          <w:tcPr>
            <w:tcW w:w="67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2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2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76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88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90"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75" w:type="dxa"/>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right="0"/>
        <w:jc w:val="both"/>
        <w:rPr>
          <w:rFonts w:hint="eastAsia" w:ascii="黑体" w:hAnsi="黑体" w:eastAsia="黑体" w:cs="黑体"/>
          <w:b/>
          <w:bCs/>
          <w:spacing w:val="-5"/>
          <w:kern w:val="2"/>
          <w:sz w:val="31"/>
          <w:szCs w:val="31"/>
          <w:lang w:val="en-US" w:eastAsia="zh-CN" w:bidi="ar-SA"/>
        </w:rPr>
      </w:pPr>
      <w:r>
        <w:rPr>
          <w:rFonts w:hint="eastAsia" w:ascii="黑体" w:hAnsi="黑体" w:eastAsia="黑体" w:cs="黑体"/>
          <w:b/>
          <w:bCs/>
          <w:spacing w:val="-5"/>
          <w:kern w:val="2"/>
          <w:sz w:val="31"/>
          <w:szCs w:val="31"/>
          <w:lang w:val="en-US" w:eastAsia="zh-CN" w:bidi="ar-SA"/>
        </w:rPr>
        <w:t>四、政府信息公开行政复议、行政诉讼情况</w:t>
      </w:r>
    </w:p>
    <w:tbl>
      <w:tblPr>
        <w:tblStyle w:val="4"/>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autofit"/>
        <w:tblCellMar>
          <w:top w:w="0" w:type="dxa"/>
          <w:left w:w="0" w:type="dxa"/>
          <w:bottom w:w="0" w:type="dxa"/>
          <w:right w:w="0" w:type="dxa"/>
        </w:tblCellMar>
      </w:tblPr>
      <w:tblGrid>
        <w:gridCol w:w="577"/>
        <w:gridCol w:w="577"/>
        <w:gridCol w:w="577"/>
        <w:gridCol w:w="577"/>
        <w:gridCol w:w="578"/>
        <w:gridCol w:w="578"/>
        <w:gridCol w:w="578"/>
        <w:gridCol w:w="578"/>
        <w:gridCol w:w="578"/>
        <w:gridCol w:w="578"/>
        <w:gridCol w:w="578"/>
        <w:gridCol w:w="578"/>
        <w:gridCol w:w="578"/>
        <w:gridCol w:w="578"/>
        <w:gridCol w:w="578"/>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3075" w:type="dxa"/>
            <w:gridSpan w:val="5"/>
            <w:tcBorders>
              <w:top w:val="single" w:color="DDDDDD" w:sz="6" w:space="0"/>
              <w:left w:val="single" w:color="DDDDDD" w:sz="6" w:space="0"/>
              <w:bottom w:val="single" w:color="DDDDDD" w:sz="6" w:space="0"/>
              <w:right w:val="single" w:color="DDDDDD" w:sz="6" w:space="0"/>
            </w:tcBorders>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行政复议</w:t>
            </w:r>
          </w:p>
        </w:tc>
        <w:tc>
          <w:tcPr>
            <w:tcW w:w="6000" w:type="dxa"/>
            <w:gridSpan w:val="10"/>
            <w:tcBorders>
              <w:top w:val="single" w:color="DDDDDD" w:sz="6" w:space="0"/>
              <w:left w:val="single" w:color="DDDDDD" w:sz="6" w:space="0"/>
              <w:bottom w:val="single" w:color="DDDDDD" w:sz="6" w:space="0"/>
              <w:right w:val="single" w:color="DDDDDD" w:sz="6" w:space="0"/>
            </w:tcBorders>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行政诉讼</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600" w:type="dxa"/>
            <w:vMerge w:val="restart"/>
            <w:tcBorders>
              <w:top w:val="single" w:color="DDDDDD" w:sz="6" w:space="0"/>
              <w:left w:val="single" w:color="DDDDDD" w:sz="6" w:space="0"/>
              <w:bottom w:val="single" w:color="DDDDDD" w:sz="6" w:space="0"/>
              <w:right w:val="single" w:color="DDDDDD" w:sz="6" w:space="0"/>
            </w:tcBorders>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结果维持</w:t>
            </w:r>
          </w:p>
        </w:tc>
        <w:tc>
          <w:tcPr>
            <w:tcW w:w="600" w:type="dxa"/>
            <w:vMerge w:val="restart"/>
            <w:tcBorders>
              <w:top w:val="single" w:color="DDDDDD" w:sz="6" w:space="0"/>
              <w:left w:val="single" w:color="DDDDDD" w:sz="6" w:space="0"/>
              <w:bottom w:val="single" w:color="DDDDDD" w:sz="6" w:space="0"/>
              <w:right w:val="single" w:color="DDDDDD" w:sz="6" w:space="0"/>
            </w:tcBorders>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结果纠正</w:t>
            </w:r>
          </w:p>
        </w:tc>
        <w:tc>
          <w:tcPr>
            <w:tcW w:w="600" w:type="dxa"/>
            <w:vMerge w:val="restart"/>
            <w:tcBorders>
              <w:top w:val="single" w:color="DDDDDD" w:sz="6" w:space="0"/>
              <w:left w:val="single" w:color="DDDDDD" w:sz="6" w:space="0"/>
              <w:bottom w:val="single" w:color="DDDDDD" w:sz="6" w:space="0"/>
              <w:right w:val="single" w:color="DDDDDD" w:sz="6" w:space="0"/>
            </w:tcBorders>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其他结果</w:t>
            </w:r>
          </w:p>
        </w:tc>
        <w:tc>
          <w:tcPr>
            <w:tcW w:w="600" w:type="dxa"/>
            <w:vMerge w:val="restart"/>
            <w:tcBorders>
              <w:top w:val="single" w:color="DDDDDD" w:sz="6" w:space="0"/>
              <w:left w:val="single" w:color="DDDDDD" w:sz="6" w:space="0"/>
              <w:bottom w:val="single" w:color="DDDDDD" w:sz="6" w:space="0"/>
              <w:right w:val="single" w:color="DDDDDD" w:sz="6" w:space="0"/>
            </w:tcBorders>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尚未审结</w:t>
            </w:r>
          </w:p>
        </w:tc>
        <w:tc>
          <w:tcPr>
            <w:tcW w:w="660" w:type="dxa"/>
            <w:vMerge w:val="restart"/>
            <w:tcBorders>
              <w:top w:val="single" w:color="DDDDDD" w:sz="6" w:space="0"/>
              <w:left w:val="single" w:color="DDDDDD" w:sz="6" w:space="0"/>
              <w:bottom w:val="single" w:color="DDDDDD" w:sz="6" w:space="0"/>
              <w:right w:val="single" w:color="DDDDDD" w:sz="6" w:space="0"/>
            </w:tcBorders>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总计</w:t>
            </w:r>
          </w:p>
        </w:tc>
        <w:tc>
          <w:tcPr>
            <w:tcW w:w="2970" w:type="dxa"/>
            <w:gridSpan w:val="5"/>
            <w:tcBorders>
              <w:top w:val="single" w:color="DDDDDD" w:sz="6" w:space="0"/>
              <w:left w:val="single" w:color="DDDDDD" w:sz="6" w:space="0"/>
              <w:bottom w:val="single" w:color="DDDDDD" w:sz="6" w:space="0"/>
              <w:right w:val="single" w:color="DDDDDD" w:sz="6" w:space="0"/>
            </w:tcBorders>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未经复议直接起诉</w:t>
            </w:r>
          </w:p>
        </w:tc>
        <w:tc>
          <w:tcPr>
            <w:tcW w:w="3030" w:type="dxa"/>
            <w:gridSpan w:val="5"/>
            <w:tcBorders>
              <w:top w:val="single" w:color="DDDDDD" w:sz="6" w:space="0"/>
              <w:left w:val="single" w:color="DDDDDD" w:sz="6" w:space="0"/>
              <w:bottom w:val="single" w:color="DDDDDD" w:sz="6" w:space="0"/>
              <w:right w:val="single" w:color="DDDDDD" w:sz="6" w:space="0"/>
            </w:tcBorders>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复议后起诉</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600" w:type="dxa"/>
            <w:vMerge w:val="continue"/>
            <w:tcBorders>
              <w:top w:val="single" w:color="DDDDDD" w:sz="6" w:space="0"/>
              <w:left w:val="single" w:color="DDDDDD" w:sz="6" w:space="0"/>
              <w:bottom w:val="single" w:color="DDDDDD" w:sz="6" w:space="0"/>
              <w:right w:val="single" w:color="DDDDDD" w:sz="6" w:space="0"/>
            </w:tcBorders>
            <w:shd w:val="clear" w:color="auto" w:fill="auto"/>
            <w:tcMar>
              <w:top w:w="0" w:type="dxa"/>
              <w:left w:w="180" w:type="dxa"/>
              <w:bottom w:w="0" w:type="dxa"/>
              <w:right w:w="180" w:type="dxa"/>
            </w:tcMar>
            <w:vAlign w:val="center"/>
          </w:tcPr>
          <w:p>
            <w:pPr>
              <w:rPr>
                <w:rFonts w:hint="eastAsia" w:ascii="宋体"/>
                <w:sz w:val="24"/>
                <w:szCs w:val="24"/>
              </w:rPr>
            </w:pPr>
          </w:p>
        </w:tc>
        <w:tc>
          <w:tcPr>
            <w:tcW w:w="600" w:type="dxa"/>
            <w:vMerge w:val="continue"/>
            <w:tcBorders>
              <w:top w:val="single" w:color="DDDDDD" w:sz="6" w:space="0"/>
              <w:left w:val="single" w:color="DDDDDD" w:sz="6" w:space="0"/>
              <w:bottom w:val="single" w:color="DDDDDD" w:sz="6" w:space="0"/>
              <w:right w:val="single" w:color="DDDDDD" w:sz="6" w:space="0"/>
            </w:tcBorders>
            <w:shd w:val="clear" w:color="auto" w:fill="auto"/>
            <w:tcMar>
              <w:top w:w="0" w:type="dxa"/>
              <w:left w:w="180" w:type="dxa"/>
              <w:bottom w:w="0" w:type="dxa"/>
              <w:right w:w="180" w:type="dxa"/>
            </w:tcMar>
            <w:vAlign w:val="center"/>
          </w:tcPr>
          <w:p>
            <w:pPr>
              <w:rPr>
                <w:rFonts w:hint="eastAsia" w:ascii="宋体"/>
                <w:sz w:val="24"/>
                <w:szCs w:val="24"/>
              </w:rPr>
            </w:pPr>
          </w:p>
        </w:tc>
        <w:tc>
          <w:tcPr>
            <w:tcW w:w="600" w:type="dxa"/>
            <w:vMerge w:val="continue"/>
            <w:tcBorders>
              <w:top w:val="single" w:color="DDDDDD" w:sz="6" w:space="0"/>
              <w:left w:val="single" w:color="DDDDDD" w:sz="6" w:space="0"/>
              <w:bottom w:val="single" w:color="DDDDDD" w:sz="6" w:space="0"/>
              <w:right w:val="single" w:color="DDDDDD" w:sz="6" w:space="0"/>
            </w:tcBorders>
            <w:shd w:val="clear" w:color="auto" w:fill="auto"/>
            <w:tcMar>
              <w:top w:w="0" w:type="dxa"/>
              <w:left w:w="180" w:type="dxa"/>
              <w:bottom w:w="0" w:type="dxa"/>
              <w:right w:w="180" w:type="dxa"/>
            </w:tcMar>
            <w:vAlign w:val="center"/>
          </w:tcPr>
          <w:p>
            <w:pPr>
              <w:rPr>
                <w:rFonts w:hint="eastAsia" w:ascii="宋体"/>
                <w:sz w:val="24"/>
                <w:szCs w:val="24"/>
              </w:rPr>
            </w:pPr>
          </w:p>
        </w:tc>
        <w:tc>
          <w:tcPr>
            <w:tcW w:w="600" w:type="dxa"/>
            <w:vMerge w:val="continue"/>
            <w:tcBorders>
              <w:top w:val="single" w:color="DDDDDD" w:sz="6" w:space="0"/>
              <w:left w:val="single" w:color="DDDDDD" w:sz="6" w:space="0"/>
              <w:bottom w:val="single" w:color="DDDDDD" w:sz="6" w:space="0"/>
              <w:right w:val="single" w:color="DDDDDD" w:sz="6" w:space="0"/>
            </w:tcBorders>
            <w:shd w:val="clear" w:color="auto" w:fill="auto"/>
            <w:tcMar>
              <w:top w:w="0" w:type="dxa"/>
              <w:left w:w="180" w:type="dxa"/>
              <w:bottom w:w="0" w:type="dxa"/>
              <w:right w:w="180" w:type="dxa"/>
            </w:tcMar>
            <w:vAlign w:val="center"/>
          </w:tcPr>
          <w:p>
            <w:pPr>
              <w:rPr>
                <w:rFonts w:hint="eastAsia" w:ascii="宋体"/>
                <w:sz w:val="24"/>
                <w:szCs w:val="24"/>
              </w:rPr>
            </w:pPr>
          </w:p>
        </w:tc>
        <w:tc>
          <w:tcPr>
            <w:tcW w:w="660" w:type="dxa"/>
            <w:vMerge w:val="continue"/>
            <w:tcBorders>
              <w:top w:val="single" w:color="DDDDDD" w:sz="6" w:space="0"/>
              <w:left w:val="single" w:color="DDDDDD" w:sz="6" w:space="0"/>
              <w:bottom w:val="single" w:color="DDDDDD" w:sz="6" w:space="0"/>
              <w:right w:val="single" w:color="DDDDDD" w:sz="6" w:space="0"/>
            </w:tcBorders>
            <w:shd w:val="clear" w:color="auto" w:fill="auto"/>
            <w:tcMar>
              <w:top w:w="0" w:type="dxa"/>
              <w:left w:w="180" w:type="dxa"/>
              <w:bottom w:w="0" w:type="dxa"/>
              <w:right w:w="180" w:type="dxa"/>
            </w:tcMar>
            <w:vAlign w:val="center"/>
          </w:tcPr>
          <w:p>
            <w:pPr>
              <w:rPr>
                <w:rFonts w:hint="eastAsia" w:ascii="宋体"/>
                <w:sz w:val="24"/>
                <w:szCs w:val="24"/>
              </w:rPr>
            </w:pPr>
          </w:p>
        </w:tc>
        <w:tc>
          <w:tcPr>
            <w:tcW w:w="555" w:type="dxa"/>
            <w:tcBorders>
              <w:top w:val="single" w:color="DDDDDD" w:sz="6" w:space="0"/>
              <w:left w:val="single" w:color="DDDDDD" w:sz="6" w:space="0"/>
              <w:bottom w:val="single" w:color="DDDDDD" w:sz="6" w:space="0"/>
              <w:right w:val="single" w:color="DDDDDD" w:sz="6" w:space="0"/>
            </w:tcBorders>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结果维持</w:t>
            </w:r>
          </w:p>
        </w:tc>
        <w:tc>
          <w:tcPr>
            <w:tcW w:w="600" w:type="dxa"/>
            <w:tcBorders>
              <w:top w:val="single" w:color="DDDDDD" w:sz="6" w:space="0"/>
              <w:left w:val="single" w:color="DDDDDD" w:sz="6" w:space="0"/>
              <w:bottom w:val="single" w:color="DDDDDD" w:sz="6" w:space="0"/>
              <w:right w:val="single" w:color="DDDDDD" w:sz="6" w:space="0"/>
            </w:tcBorders>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结果纠正</w:t>
            </w:r>
          </w:p>
        </w:tc>
        <w:tc>
          <w:tcPr>
            <w:tcW w:w="600" w:type="dxa"/>
            <w:tcBorders>
              <w:top w:val="single" w:color="DDDDDD" w:sz="6" w:space="0"/>
              <w:left w:val="single" w:color="DDDDDD" w:sz="6" w:space="0"/>
              <w:bottom w:val="single" w:color="DDDDDD" w:sz="6" w:space="0"/>
              <w:right w:val="single" w:color="DDDDDD" w:sz="6" w:space="0"/>
            </w:tcBorders>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其他结果</w:t>
            </w:r>
          </w:p>
        </w:tc>
        <w:tc>
          <w:tcPr>
            <w:tcW w:w="600" w:type="dxa"/>
            <w:tcBorders>
              <w:top w:val="single" w:color="DDDDDD" w:sz="6" w:space="0"/>
              <w:left w:val="single" w:color="DDDDDD" w:sz="6" w:space="0"/>
              <w:bottom w:val="single" w:color="DDDDDD" w:sz="6" w:space="0"/>
              <w:right w:val="single" w:color="DDDDDD" w:sz="6" w:space="0"/>
            </w:tcBorders>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尚未审结</w:t>
            </w:r>
          </w:p>
        </w:tc>
        <w:tc>
          <w:tcPr>
            <w:tcW w:w="600" w:type="dxa"/>
            <w:tcBorders>
              <w:top w:val="single" w:color="DDDDDD" w:sz="6" w:space="0"/>
              <w:left w:val="single" w:color="DDDDDD" w:sz="6" w:space="0"/>
              <w:bottom w:val="single" w:color="DDDDDD" w:sz="6" w:space="0"/>
              <w:right w:val="single" w:color="DDDDDD" w:sz="6" w:space="0"/>
            </w:tcBorders>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总计</w:t>
            </w:r>
          </w:p>
        </w:tc>
        <w:tc>
          <w:tcPr>
            <w:tcW w:w="600" w:type="dxa"/>
            <w:tcBorders>
              <w:top w:val="single" w:color="DDDDDD" w:sz="6" w:space="0"/>
              <w:left w:val="single" w:color="DDDDDD" w:sz="6" w:space="0"/>
              <w:bottom w:val="single" w:color="DDDDDD" w:sz="6" w:space="0"/>
              <w:right w:val="single" w:color="DDDDDD" w:sz="6" w:space="0"/>
            </w:tcBorders>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结果维持</w:t>
            </w:r>
          </w:p>
        </w:tc>
        <w:tc>
          <w:tcPr>
            <w:tcW w:w="600" w:type="dxa"/>
            <w:tcBorders>
              <w:top w:val="single" w:color="DDDDDD" w:sz="6" w:space="0"/>
              <w:left w:val="single" w:color="DDDDDD" w:sz="6" w:space="0"/>
              <w:bottom w:val="single" w:color="DDDDDD" w:sz="6" w:space="0"/>
              <w:right w:val="single" w:color="DDDDDD" w:sz="6" w:space="0"/>
            </w:tcBorders>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结果纠正</w:t>
            </w:r>
          </w:p>
        </w:tc>
        <w:tc>
          <w:tcPr>
            <w:tcW w:w="600" w:type="dxa"/>
            <w:tcBorders>
              <w:top w:val="single" w:color="DDDDDD" w:sz="6" w:space="0"/>
              <w:left w:val="single" w:color="DDDDDD" w:sz="6" w:space="0"/>
              <w:bottom w:val="single" w:color="DDDDDD" w:sz="6" w:space="0"/>
              <w:right w:val="single" w:color="DDDDDD" w:sz="6" w:space="0"/>
            </w:tcBorders>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其他结果</w:t>
            </w:r>
          </w:p>
        </w:tc>
        <w:tc>
          <w:tcPr>
            <w:tcW w:w="600" w:type="dxa"/>
            <w:tcBorders>
              <w:top w:val="single" w:color="DDDDDD" w:sz="6" w:space="0"/>
              <w:left w:val="single" w:color="DDDDDD" w:sz="6" w:space="0"/>
              <w:bottom w:val="single" w:color="DDDDDD" w:sz="6" w:space="0"/>
              <w:right w:val="single" w:color="DDDDDD" w:sz="6" w:space="0"/>
            </w:tcBorders>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尚未审结</w:t>
            </w:r>
          </w:p>
        </w:tc>
        <w:tc>
          <w:tcPr>
            <w:tcW w:w="600" w:type="dxa"/>
            <w:tcBorders>
              <w:top w:val="single" w:color="DDDDDD" w:sz="6" w:space="0"/>
              <w:left w:val="single" w:color="DDDDDD" w:sz="6" w:space="0"/>
              <w:bottom w:val="single" w:color="DDDDDD" w:sz="6" w:space="0"/>
              <w:right w:val="single" w:color="DDDDDD" w:sz="6" w:space="0"/>
            </w:tcBorders>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总计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600" w:type="dxa"/>
            <w:tcBorders>
              <w:top w:val="single" w:color="DDDDDD" w:sz="6" w:space="0"/>
              <w:left w:val="single" w:color="DDDDDD" w:sz="6" w:space="0"/>
              <w:bottom w:val="single" w:color="DDDDDD" w:sz="6" w:space="0"/>
              <w:right w:val="single" w:color="DDDDDD" w:sz="6" w:space="0"/>
            </w:tcBorders>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00" w:type="dxa"/>
            <w:tcBorders>
              <w:top w:val="single" w:color="DDDDDD" w:sz="6" w:space="0"/>
              <w:left w:val="single" w:color="DDDDDD" w:sz="6" w:space="0"/>
              <w:bottom w:val="single" w:color="DDDDDD" w:sz="6" w:space="0"/>
              <w:right w:val="single" w:color="DDDDDD" w:sz="6" w:space="0"/>
            </w:tcBorders>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00" w:type="dxa"/>
            <w:tcBorders>
              <w:top w:val="single" w:color="DDDDDD" w:sz="6" w:space="0"/>
              <w:left w:val="single" w:color="DDDDDD" w:sz="6" w:space="0"/>
              <w:bottom w:val="single" w:color="DDDDDD" w:sz="6" w:space="0"/>
              <w:right w:val="single" w:color="DDDDDD" w:sz="6" w:space="0"/>
            </w:tcBorders>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00" w:type="dxa"/>
            <w:tcBorders>
              <w:top w:val="single" w:color="DDDDDD" w:sz="6" w:space="0"/>
              <w:left w:val="single" w:color="DDDDDD" w:sz="6" w:space="0"/>
              <w:bottom w:val="single" w:color="DDDDDD" w:sz="6" w:space="0"/>
              <w:right w:val="single" w:color="DDDDDD" w:sz="6" w:space="0"/>
            </w:tcBorders>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60" w:type="dxa"/>
            <w:tcBorders>
              <w:top w:val="single" w:color="DDDDDD" w:sz="6" w:space="0"/>
              <w:left w:val="single" w:color="DDDDDD" w:sz="6" w:space="0"/>
              <w:bottom w:val="single" w:color="DDDDDD" w:sz="6" w:space="0"/>
              <w:right w:val="single" w:color="DDDDDD" w:sz="6" w:space="0"/>
            </w:tcBorders>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555" w:type="dxa"/>
            <w:tcBorders>
              <w:top w:val="single" w:color="DDDDDD" w:sz="6" w:space="0"/>
              <w:left w:val="single" w:color="DDDDDD" w:sz="6" w:space="0"/>
              <w:bottom w:val="single" w:color="DDDDDD" w:sz="6" w:space="0"/>
              <w:right w:val="single" w:color="DDDDDD" w:sz="6" w:space="0"/>
            </w:tcBorders>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00" w:type="dxa"/>
            <w:tcBorders>
              <w:top w:val="single" w:color="DDDDDD" w:sz="6" w:space="0"/>
              <w:left w:val="single" w:color="DDDDDD" w:sz="6" w:space="0"/>
              <w:bottom w:val="single" w:color="DDDDDD" w:sz="6" w:space="0"/>
              <w:right w:val="single" w:color="DDDDDD" w:sz="6" w:space="0"/>
            </w:tcBorders>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00" w:type="dxa"/>
            <w:tcBorders>
              <w:top w:val="single" w:color="DDDDDD" w:sz="6" w:space="0"/>
              <w:left w:val="single" w:color="DDDDDD" w:sz="6" w:space="0"/>
              <w:bottom w:val="single" w:color="DDDDDD" w:sz="6" w:space="0"/>
              <w:right w:val="single" w:color="DDDDDD" w:sz="6" w:space="0"/>
            </w:tcBorders>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00" w:type="dxa"/>
            <w:tcBorders>
              <w:top w:val="single" w:color="DDDDDD" w:sz="6" w:space="0"/>
              <w:left w:val="single" w:color="DDDDDD" w:sz="6" w:space="0"/>
              <w:bottom w:val="single" w:color="DDDDDD" w:sz="6" w:space="0"/>
              <w:right w:val="single" w:color="DDDDDD" w:sz="6" w:space="0"/>
            </w:tcBorders>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00" w:type="dxa"/>
            <w:tcBorders>
              <w:top w:val="single" w:color="DDDDDD" w:sz="6" w:space="0"/>
              <w:left w:val="single" w:color="DDDDDD" w:sz="6" w:space="0"/>
              <w:bottom w:val="single" w:color="DDDDDD" w:sz="6" w:space="0"/>
              <w:right w:val="single" w:color="DDDDDD" w:sz="6" w:space="0"/>
            </w:tcBorders>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00" w:type="dxa"/>
            <w:tcBorders>
              <w:top w:val="single" w:color="DDDDDD" w:sz="6" w:space="0"/>
              <w:left w:val="single" w:color="DDDDDD" w:sz="6" w:space="0"/>
              <w:bottom w:val="single" w:color="DDDDDD" w:sz="6" w:space="0"/>
              <w:right w:val="single" w:color="DDDDDD" w:sz="6" w:space="0"/>
            </w:tcBorders>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00" w:type="dxa"/>
            <w:tcBorders>
              <w:top w:val="single" w:color="DDDDDD" w:sz="6" w:space="0"/>
              <w:left w:val="single" w:color="DDDDDD" w:sz="6" w:space="0"/>
              <w:bottom w:val="single" w:color="DDDDDD" w:sz="6" w:space="0"/>
              <w:right w:val="single" w:color="DDDDDD" w:sz="6" w:space="0"/>
            </w:tcBorders>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00" w:type="dxa"/>
            <w:tcBorders>
              <w:top w:val="single" w:color="DDDDDD" w:sz="6" w:space="0"/>
              <w:left w:val="single" w:color="DDDDDD" w:sz="6" w:space="0"/>
              <w:bottom w:val="single" w:color="DDDDDD" w:sz="6" w:space="0"/>
              <w:right w:val="single" w:color="DDDDDD" w:sz="6" w:space="0"/>
            </w:tcBorders>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00" w:type="dxa"/>
            <w:tcBorders>
              <w:top w:val="single" w:color="DDDDDD" w:sz="6" w:space="0"/>
              <w:left w:val="single" w:color="DDDDDD" w:sz="6" w:space="0"/>
              <w:bottom w:val="single" w:color="DDDDDD" w:sz="6" w:space="0"/>
              <w:right w:val="single" w:color="DDDDDD" w:sz="6" w:space="0"/>
            </w:tcBorders>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c>
          <w:tcPr>
            <w:tcW w:w="600" w:type="dxa"/>
            <w:tcBorders>
              <w:top w:val="single" w:color="DDDDDD" w:sz="6" w:space="0"/>
              <w:left w:val="single" w:color="DDDDDD" w:sz="6" w:space="0"/>
              <w:bottom w:val="single" w:color="DDDDDD" w:sz="6" w:space="0"/>
              <w:right w:val="single" w:color="DDDDDD" w:sz="6" w:space="0"/>
            </w:tcBorders>
            <w:shd w:val="clear" w:color="auto" w:fill="auto"/>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无</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right="0"/>
        <w:jc w:val="both"/>
        <w:rPr>
          <w:rFonts w:hint="eastAsia" w:ascii="黑体" w:hAnsi="黑体" w:eastAsia="黑体" w:cs="黑体"/>
          <w:b/>
          <w:bCs/>
          <w:spacing w:val="-5"/>
          <w:kern w:val="2"/>
          <w:sz w:val="31"/>
          <w:szCs w:val="31"/>
          <w:lang w:val="en-US" w:eastAsia="zh-CN" w:bidi="ar-SA"/>
        </w:rPr>
      </w:pPr>
      <w:r>
        <w:rPr>
          <w:rFonts w:hint="eastAsia" w:ascii="黑体" w:hAnsi="黑体" w:eastAsia="黑体" w:cs="黑体"/>
          <w:b/>
          <w:bCs/>
          <w:spacing w:val="-5"/>
          <w:kern w:val="2"/>
          <w:sz w:val="31"/>
          <w:szCs w:val="31"/>
          <w:lang w:val="en-US" w:eastAsia="zh-CN" w:bidi="ar-SA"/>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right="0" w:firstLine="640" w:firstLineChars="200"/>
        <w:jc w:val="both"/>
        <w:rPr>
          <w:rFonts w:hint="eastAsia" w:ascii="仿宋_GB2312" w:hAnsi="Times New Roman" w:eastAsia="仿宋_GB2312" w:cs="仿宋_GB2312"/>
          <w:color w:val="160B11"/>
          <w:kern w:val="2"/>
          <w:sz w:val="32"/>
          <w:szCs w:val="32"/>
          <w:lang w:val="en-US" w:eastAsia="zh-CN" w:bidi="ar-SA"/>
        </w:rPr>
      </w:pPr>
      <w:r>
        <w:rPr>
          <w:rFonts w:hint="eastAsia" w:ascii="仿宋_GB2312" w:hAnsi="Times New Roman" w:eastAsia="仿宋_GB2312" w:cs="仿宋_GB2312"/>
          <w:color w:val="160B11"/>
          <w:kern w:val="2"/>
          <w:sz w:val="32"/>
          <w:szCs w:val="32"/>
          <w:lang w:val="en-US" w:eastAsia="zh-CN" w:bidi="ar-SA"/>
        </w:rPr>
        <w:t>2019年，相山区数据资源管理局政务公开办公室多措并举增强政府信息公开工作实效，取得了一定成绩，但与公众日益增长的政府公开信息需求还有差距，主要表现在：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right="0" w:firstLine="640" w:firstLineChars="200"/>
        <w:jc w:val="both"/>
        <w:rPr>
          <w:rFonts w:hint="eastAsia" w:ascii="仿宋_GB2312" w:hAnsi="Times New Roman" w:eastAsia="仿宋_GB2312" w:cs="仿宋_GB2312"/>
          <w:color w:val="160B11"/>
          <w:kern w:val="2"/>
          <w:sz w:val="32"/>
          <w:szCs w:val="32"/>
          <w:lang w:val="en-US" w:eastAsia="zh-CN" w:bidi="ar-SA"/>
        </w:rPr>
      </w:pPr>
      <w:r>
        <w:rPr>
          <w:rFonts w:hint="eastAsia" w:ascii="仿宋_GB2312" w:hAnsi="Times New Roman" w:eastAsia="仿宋_GB2312" w:cs="仿宋_GB2312"/>
          <w:color w:val="160B11"/>
          <w:kern w:val="2"/>
          <w:sz w:val="32"/>
          <w:szCs w:val="32"/>
          <w:lang w:val="en-US" w:eastAsia="zh-CN" w:bidi="ar-SA"/>
        </w:rPr>
        <w:t>一是公开形式不够丰富、内容仍需深入细化，公开的内容不尽全面，时效性有待提高，政府信息公开形式较单一，对于图片、图表、视频等方式对政策文件进行解读的形式运用较少，有待进一步创新。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right="0" w:firstLine="640" w:firstLineChars="200"/>
        <w:jc w:val="both"/>
        <w:rPr>
          <w:rFonts w:hint="eastAsia" w:ascii="仿宋_GB2312" w:hAnsi="Times New Roman" w:eastAsia="仿宋_GB2312" w:cs="仿宋_GB2312"/>
          <w:color w:val="160B11"/>
          <w:kern w:val="2"/>
          <w:sz w:val="32"/>
          <w:szCs w:val="32"/>
          <w:lang w:val="en-US" w:eastAsia="zh-CN" w:bidi="ar-SA"/>
        </w:rPr>
      </w:pPr>
      <w:r>
        <w:rPr>
          <w:rFonts w:hint="eastAsia" w:ascii="仿宋_GB2312" w:hAnsi="Times New Roman" w:eastAsia="仿宋_GB2312" w:cs="仿宋_GB2312"/>
          <w:color w:val="160B11"/>
          <w:kern w:val="2"/>
          <w:sz w:val="32"/>
          <w:szCs w:val="32"/>
          <w:lang w:val="en-US" w:eastAsia="zh-CN" w:bidi="ar-SA"/>
        </w:rPr>
        <w:t>二是信息公开队伍建设不够完善，不能保障信息公开工作高效开展。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right="0" w:firstLine="640" w:firstLineChars="200"/>
        <w:jc w:val="both"/>
        <w:rPr>
          <w:rFonts w:hint="eastAsia" w:ascii="仿宋_GB2312" w:hAnsi="Times New Roman" w:eastAsia="仿宋_GB2312" w:cs="仿宋_GB2312"/>
          <w:color w:val="160B11"/>
          <w:kern w:val="2"/>
          <w:sz w:val="32"/>
          <w:szCs w:val="32"/>
          <w:lang w:val="en-US" w:eastAsia="zh-CN" w:bidi="ar-SA"/>
        </w:rPr>
      </w:pPr>
      <w:r>
        <w:rPr>
          <w:rFonts w:hint="eastAsia" w:ascii="仿宋_GB2312" w:hAnsi="Times New Roman" w:eastAsia="仿宋_GB2312" w:cs="仿宋_GB2312"/>
          <w:color w:val="160B11"/>
          <w:kern w:val="2"/>
          <w:sz w:val="32"/>
          <w:szCs w:val="32"/>
          <w:lang w:val="en-US" w:eastAsia="zh-CN" w:bidi="ar-SA"/>
        </w:rPr>
        <w:t>下步改进措施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right="0" w:firstLine="640" w:firstLineChars="200"/>
        <w:jc w:val="both"/>
        <w:rPr>
          <w:rFonts w:hint="eastAsia" w:ascii="仿宋_GB2312" w:hAnsi="Times New Roman" w:eastAsia="仿宋_GB2312" w:cs="仿宋_GB2312"/>
          <w:color w:val="160B11"/>
          <w:kern w:val="2"/>
          <w:sz w:val="32"/>
          <w:szCs w:val="32"/>
          <w:lang w:val="en-US" w:eastAsia="zh-CN" w:bidi="ar-SA"/>
        </w:rPr>
      </w:pPr>
      <w:r>
        <w:rPr>
          <w:rFonts w:hint="eastAsia" w:ascii="仿宋_GB2312" w:hAnsi="Times New Roman" w:eastAsia="仿宋_GB2312" w:cs="仿宋_GB2312"/>
          <w:color w:val="160B11"/>
          <w:kern w:val="2"/>
          <w:sz w:val="32"/>
          <w:szCs w:val="32"/>
          <w:lang w:val="en-US" w:eastAsia="zh-CN" w:bidi="ar-SA"/>
        </w:rPr>
        <w:t>（一）进一步规范政务公开内容及程序。进一步加强对政务信息公开工作的指导和监督，健全有关检查制度、责任追究制度、反馈制度，确保把政府信息公开工作落到实处,在现有制度的基础上，按照上级工作部署，结合实际，进一步完善政府信息与政务公开工作机制，健全和完善发布平台主体责任、信息发布审核、错误信息处置、信息保密审查等工作制度，规范公开内容，提高公开质量；围绕社会各界广泛关注、事关群众切身利益的重大事项，不断扩大主动公开信息量,及时更新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right="0" w:firstLine="640" w:firstLineChars="200"/>
        <w:jc w:val="both"/>
        <w:rPr>
          <w:rFonts w:hint="eastAsia" w:ascii="仿宋_GB2312" w:hAnsi="Times New Roman" w:eastAsia="仿宋_GB2312" w:cs="仿宋_GB2312"/>
          <w:color w:val="160B11"/>
          <w:kern w:val="2"/>
          <w:sz w:val="32"/>
          <w:szCs w:val="32"/>
          <w:lang w:val="en-US" w:eastAsia="zh-CN" w:bidi="ar-SA"/>
        </w:rPr>
      </w:pPr>
      <w:r>
        <w:rPr>
          <w:rFonts w:hint="eastAsia" w:ascii="仿宋_GB2312" w:hAnsi="Times New Roman" w:eastAsia="仿宋_GB2312" w:cs="仿宋_GB2312"/>
          <w:color w:val="160B11"/>
          <w:kern w:val="2"/>
          <w:sz w:val="32"/>
          <w:szCs w:val="32"/>
          <w:lang w:val="en-US" w:eastAsia="zh-CN" w:bidi="ar-SA"/>
        </w:rPr>
        <w:t>（二）提高信息公开的服务性和便民性。不断拓展政务公开渠道，在维护好网站的基础上，充分运用政务服务微信、标语、宣传栏、LED显示屏等媒介，拓宽政府信息与政务公开渠道，不断适应新媒体信息时代下为群众服务的手段，进一步提高政务公开工作水平，促进业务信息共享，方便人民群众办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right="0"/>
        <w:jc w:val="both"/>
        <w:rPr>
          <w:rFonts w:hint="eastAsia" w:ascii="黑体" w:hAnsi="黑体" w:eastAsia="黑体" w:cs="黑体"/>
          <w:b/>
          <w:bCs/>
          <w:spacing w:val="-5"/>
          <w:kern w:val="2"/>
          <w:sz w:val="31"/>
          <w:szCs w:val="31"/>
          <w:lang w:val="en-US" w:eastAsia="zh-CN" w:bidi="ar-SA"/>
        </w:rPr>
      </w:pPr>
      <w:r>
        <w:rPr>
          <w:rFonts w:hint="eastAsia" w:ascii="黑体" w:hAnsi="黑体" w:eastAsia="黑体" w:cs="黑体"/>
          <w:b/>
          <w:bCs/>
          <w:spacing w:val="-5"/>
          <w:kern w:val="2"/>
          <w:sz w:val="31"/>
          <w:szCs w:val="31"/>
          <w:lang w:val="en-US" w:eastAsia="zh-CN" w:bidi="ar-SA"/>
        </w:rPr>
        <w:t>六、其他需要报告的事项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right="0" w:firstLine="640" w:firstLineChars="200"/>
        <w:jc w:val="both"/>
        <w:rPr>
          <w:rFonts w:hint="eastAsia" w:ascii="仿宋_GB2312" w:hAnsi="Times New Roman" w:eastAsia="仿宋_GB2312" w:cs="仿宋_GB2312"/>
          <w:color w:val="160B11"/>
          <w:kern w:val="2"/>
          <w:sz w:val="32"/>
          <w:szCs w:val="32"/>
          <w:lang w:val="en-US" w:eastAsia="zh-CN" w:bidi="ar-SA"/>
        </w:rPr>
      </w:pPr>
      <w:r>
        <w:rPr>
          <w:rFonts w:hint="eastAsia" w:ascii="仿宋_GB2312" w:hAnsi="Times New Roman" w:eastAsia="仿宋_GB2312" w:cs="仿宋_GB2312"/>
          <w:color w:val="160B11"/>
          <w:kern w:val="2"/>
          <w:sz w:val="32"/>
          <w:szCs w:val="32"/>
          <w:lang w:val="en-US" w:eastAsia="zh-CN" w:bidi="ar-SA"/>
        </w:rPr>
        <w:t>2020年数据资源局政务公开年度计划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right="0" w:firstLine="640" w:firstLineChars="200"/>
        <w:jc w:val="both"/>
        <w:rPr>
          <w:rFonts w:hint="eastAsia" w:ascii="仿宋_GB2312" w:hAnsi="Times New Roman" w:eastAsia="仿宋_GB2312" w:cs="仿宋_GB2312"/>
          <w:color w:val="160B11"/>
          <w:kern w:val="2"/>
          <w:sz w:val="32"/>
          <w:szCs w:val="32"/>
          <w:lang w:val="en-US" w:eastAsia="zh-CN" w:bidi="ar-SA"/>
        </w:rPr>
      </w:pPr>
      <w:r>
        <w:rPr>
          <w:rFonts w:hint="eastAsia" w:ascii="仿宋_GB2312" w:hAnsi="Times New Roman" w:eastAsia="仿宋_GB2312" w:cs="仿宋_GB2312"/>
          <w:color w:val="160B11"/>
          <w:kern w:val="2"/>
          <w:sz w:val="32"/>
          <w:szCs w:val="32"/>
          <w:lang w:val="en-US" w:eastAsia="zh-CN" w:bidi="ar-SA"/>
        </w:rPr>
        <w:t>我局将继续强化政务公开工作力度，一是完善公开各项制度。按照要求，结合工作实际，全力推进政务公开工作，更好地向公众提供信息公开服务，及时更新发生变化、变更的信息，更新信息公开指南和目录，确保公开信息的准确性和时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right="0" w:firstLine="640" w:firstLineChars="200"/>
        <w:jc w:val="both"/>
        <w:rPr>
          <w:rFonts w:hint="eastAsia" w:ascii="仿宋_GB2312" w:hAnsi="Times New Roman" w:eastAsia="仿宋_GB2312" w:cs="仿宋_GB2312"/>
          <w:color w:val="160B11"/>
          <w:kern w:val="2"/>
          <w:sz w:val="32"/>
          <w:szCs w:val="32"/>
          <w:lang w:val="en-US" w:eastAsia="zh-CN" w:bidi="ar-SA"/>
        </w:rPr>
      </w:pPr>
      <w:r>
        <w:rPr>
          <w:rFonts w:hint="eastAsia" w:ascii="仿宋_GB2312" w:hAnsi="Times New Roman" w:eastAsia="仿宋_GB2312" w:cs="仿宋_GB2312"/>
          <w:color w:val="160B11"/>
          <w:kern w:val="2"/>
          <w:sz w:val="32"/>
          <w:szCs w:val="32"/>
          <w:lang w:val="en-US" w:eastAsia="zh-CN" w:bidi="ar-SA"/>
        </w:rPr>
        <w:t>二是拓宽公开渠道，加大政务公开力度。深化公开内容。根据形势和任务的变化，进一步充实政务公开的内容，扩大公开的范围，对群众普遍关心和涉及群众切身利益的实际问题及时公开。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right="0" w:firstLine="640" w:firstLineChars="200"/>
        <w:jc w:val="both"/>
        <w:rPr>
          <w:rFonts w:hint="eastAsia" w:ascii="仿宋_GB2312" w:hAnsi="Times New Roman" w:eastAsia="仿宋_GB2312" w:cs="仿宋_GB2312"/>
          <w:color w:val="160B11"/>
          <w:kern w:val="2"/>
          <w:sz w:val="32"/>
          <w:szCs w:val="32"/>
          <w:lang w:val="en-US" w:eastAsia="zh-CN" w:bidi="ar-SA"/>
        </w:rPr>
      </w:pPr>
      <w:r>
        <w:rPr>
          <w:rFonts w:hint="eastAsia" w:ascii="仿宋_GB2312" w:hAnsi="Times New Roman" w:eastAsia="仿宋_GB2312" w:cs="仿宋_GB2312"/>
          <w:color w:val="160B11"/>
          <w:kern w:val="2"/>
          <w:sz w:val="32"/>
          <w:szCs w:val="32"/>
          <w:lang w:val="en-US" w:eastAsia="zh-CN" w:bidi="ar-SA"/>
        </w:rPr>
        <w:t>三是加强政务公开、政策解读工作时效性。及时进行信息的公布工作及政策解读工作，及时更新专栏，主动做好宣讲，传递权威信息。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right="0" w:firstLine="640" w:firstLineChars="200"/>
        <w:jc w:val="both"/>
        <w:rPr>
          <w:rFonts w:hint="eastAsia" w:ascii="仿宋_GB2312" w:hAnsi="Times New Roman" w:eastAsia="仿宋_GB2312" w:cs="仿宋_GB2312"/>
          <w:color w:val="160B11"/>
          <w:kern w:val="2"/>
          <w:sz w:val="32"/>
          <w:szCs w:val="32"/>
          <w:lang w:val="en-US" w:eastAsia="zh-CN" w:bidi="ar-SA"/>
        </w:rPr>
      </w:pPr>
      <w:r>
        <w:rPr>
          <w:rFonts w:hint="eastAsia" w:ascii="仿宋_GB2312" w:hAnsi="Times New Roman" w:eastAsia="仿宋_GB2312" w:cs="仿宋_GB2312"/>
          <w:color w:val="160B11"/>
          <w:kern w:val="2"/>
          <w:sz w:val="32"/>
          <w:szCs w:val="32"/>
          <w:lang w:val="en-US" w:eastAsia="zh-CN" w:bidi="ar-SA"/>
        </w:rPr>
        <w:t>四是努力扩展公开渠道。在继续发挥好政府信息公开平台，深化政策解读工作，积极丰富政策解读形式，充实政策解读内容，全面提升政务公开工作水平。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jMjljYTdhNjZiODM3OWY0NDU2ODk0MGMwNDFkMWQifQ=="/>
  </w:docVars>
  <w:rsids>
    <w:rsidRoot w:val="4D6D6436"/>
    <w:rsid w:val="07D468A0"/>
    <w:rsid w:val="4D6D6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next w:val="1"/>
    <w:autoRedefine/>
    <w:qFormat/>
    <w:uiPriority w:val="0"/>
    <w:pPr>
      <w:spacing w:after="120" w:line="480" w:lineRule="auto"/>
      <w:ind w:left="420" w:leftChars="200"/>
    </w:p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2024-01-30T08:57:00Z</dcterms:created>
  <dc:creator>WPS_1460093236</dc:creator>
  <cp:lastModifiedBy>WPS_1460093236</cp:lastModifiedBy>
  <dcterms:modified xsi:type="dcterms:W3CDTF">2024-01-31T01:24:46Z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7E4D406BDA084A8EBD003785A86440B7_11</vt:lpwstr>
  </property>
</Properties>
</file>