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相山区机关事务管理中心202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bookmarkStart w:id="0" w:name="_GoBack"/>
      <w:bookmarkEnd w:id="0"/>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bidi="ar-SA"/>
        </w:rPr>
        <w:t>本报告是根据《中华人民共和国政府信息公开条例》（国务院令第</w:t>
      </w:r>
      <w:r>
        <w:rPr>
          <w:rFonts w:hint="default" w:ascii="仿宋_GB2312" w:hAnsi="仿宋" w:eastAsia="仿宋_GB2312" w:cs="仿宋"/>
          <w:color w:val="333333"/>
          <w:sz w:val="32"/>
          <w:szCs w:val="32"/>
          <w:shd w:val="clear" w:color="auto" w:fill="FFFFFF"/>
          <w:lang w:bidi="ar-SA"/>
        </w:rPr>
        <w:t>711</w:t>
      </w:r>
      <w:r>
        <w:rPr>
          <w:rFonts w:hint="eastAsia" w:ascii="仿宋_GB2312" w:hAnsi="仿宋" w:eastAsia="仿宋_GB2312" w:cs="仿宋"/>
          <w:color w:val="333333"/>
          <w:sz w:val="32"/>
          <w:szCs w:val="32"/>
          <w:shd w:val="clear" w:color="auto" w:fill="FFFFFF"/>
          <w:lang w:bidi="ar-SA"/>
        </w:rPr>
        <w:t>号）和《安徽省政务公开办公室关于做好政府信息公开工作年报编制及统计数据报送工作的通知》（皖政务办秘〔</w:t>
      </w:r>
      <w:r>
        <w:rPr>
          <w:rFonts w:hint="default" w:ascii="仿宋_GB2312" w:hAnsi="仿宋" w:eastAsia="仿宋_GB2312" w:cs="仿宋"/>
          <w:color w:val="333333"/>
          <w:sz w:val="32"/>
          <w:szCs w:val="32"/>
          <w:shd w:val="clear" w:color="auto" w:fill="FFFFFF"/>
          <w:lang w:bidi="ar-SA"/>
        </w:rPr>
        <w:t>2020</w:t>
      </w:r>
      <w:r>
        <w:rPr>
          <w:rFonts w:hint="eastAsia" w:ascii="仿宋_GB2312" w:hAnsi="仿宋" w:eastAsia="仿宋_GB2312" w:cs="仿宋"/>
          <w:color w:val="333333"/>
          <w:sz w:val="32"/>
          <w:szCs w:val="32"/>
          <w:shd w:val="clear" w:color="auto" w:fill="FFFFFF"/>
          <w:lang w:bidi="ar-SA"/>
        </w:rPr>
        <w:t>〕</w:t>
      </w:r>
      <w:r>
        <w:rPr>
          <w:rFonts w:hint="default" w:ascii="仿宋_GB2312" w:hAnsi="仿宋" w:eastAsia="仿宋_GB2312" w:cs="仿宋"/>
          <w:color w:val="333333"/>
          <w:sz w:val="32"/>
          <w:szCs w:val="32"/>
          <w:shd w:val="clear" w:color="auto" w:fill="FFFFFF"/>
          <w:lang w:bidi="ar-SA"/>
        </w:rPr>
        <w:t>44</w:t>
      </w:r>
      <w:r>
        <w:rPr>
          <w:rFonts w:hint="eastAsia" w:ascii="仿宋_GB2312" w:hAnsi="仿宋" w:eastAsia="仿宋_GB2312" w:cs="仿宋"/>
          <w:color w:val="333333"/>
          <w:sz w:val="32"/>
          <w:szCs w:val="32"/>
          <w:shd w:val="clear" w:color="auto" w:fill="FFFFFF"/>
          <w:lang w:bidi="ar-SA"/>
        </w:rPr>
        <w:t>号）要求，全文由总体情况、主动公开政府信息情况、收到和处理政府信息公开申请情况、政府信息公开行政复议和行政诉讼情况、存在主要问题和改进情况、其它需要报告</w:t>
      </w:r>
      <w:r>
        <w:rPr>
          <w:rFonts w:hint="eastAsia" w:ascii="仿宋_GB2312" w:hAnsi="仿宋" w:eastAsia="仿宋_GB2312" w:cs="仿宋"/>
          <w:color w:val="333333"/>
          <w:sz w:val="32"/>
          <w:szCs w:val="32"/>
          <w:shd w:val="clear" w:color="auto" w:fill="FFFFFF"/>
          <w:lang w:val="en-US" w:eastAsia="zh-CN" w:bidi="ar-SA"/>
        </w:rPr>
        <w:t>的事项</w:t>
      </w:r>
      <w:r>
        <w:rPr>
          <w:rFonts w:hint="eastAsia" w:ascii="仿宋_GB2312" w:hAnsi="仿宋" w:eastAsia="仿宋_GB2312" w:cs="仿宋"/>
          <w:color w:val="333333"/>
          <w:sz w:val="32"/>
          <w:szCs w:val="32"/>
          <w:shd w:val="clear" w:color="auto" w:fill="FFFFFF"/>
          <w:lang w:bidi="ar-SA"/>
        </w:rPr>
        <w:t>等六部分组成。如有疑问，请与相山区机关事务管理中心联系。地址：淮北市相山区孟山北路</w:t>
      </w:r>
      <w:r>
        <w:rPr>
          <w:rFonts w:hint="default" w:ascii="仿宋_GB2312" w:hAnsi="仿宋" w:eastAsia="仿宋_GB2312" w:cs="仿宋"/>
          <w:color w:val="333333"/>
          <w:sz w:val="32"/>
          <w:szCs w:val="32"/>
          <w:shd w:val="clear" w:color="auto" w:fill="FFFFFF"/>
          <w:lang w:bidi="ar-SA"/>
        </w:rPr>
        <w:t>85</w:t>
      </w:r>
      <w:r>
        <w:rPr>
          <w:rFonts w:hint="eastAsia" w:ascii="仿宋_GB2312" w:hAnsi="仿宋" w:eastAsia="仿宋_GB2312" w:cs="仿宋"/>
          <w:color w:val="333333"/>
          <w:sz w:val="32"/>
          <w:szCs w:val="32"/>
          <w:shd w:val="clear" w:color="auto" w:fill="FFFFFF"/>
          <w:lang w:bidi="ar-SA"/>
        </w:rPr>
        <w:t>号，邮编：</w:t>
      </w:r>
      <w:r>
        <w:rPr>
          <w:rFonts w:hint="default" w:ascii="仿宋_GB2312" w:hAnsi="仿宋" w:eastAsia="仿宋_GB2312" w:cs="仿宋"/>
          <w:color w:val="333333"/>
          <w:sz w:val="32"/>
          <w:szCs w:val="32"/>
          <w:shd w:val="clear" w:color="auto" w:fill="FFFFFF"/>
          <w:lang w:bidi="ar-SA"/>
        </w:rPr>
        <w:t>235100</w:t>
      </w:r>
      <w:r>
        <w:rPr>
          <w:rFonts w:hint="eastAsia" w:ascii="仿宋_GB2312" w:hAnsi="仿宋" w:eastAsia="仿宋_GB2312" w:cs="仿宋"/>
          <w:color w:val="333333"/>
          <w:sz w:val="32"/>
          <w:szCs w:val="32"/>
          <w:shd w:val="clear" w:color="auto" w:fill="FFFFFF"/>
          <w:lang w:bidi="ar-SA"/>
        </w:rPr>
        <w:t>，电话</w:t>
      </w:r>
      <w:r>
        <w:rPr>
          <w:rFonts w:hint="default" w:ascii="仿宋_GB2312" w:hAnsi="仿宋" w:eastAsia="仿宋_GB2312" w:cs="仿宋"/>
          <w:color w:val="333333"/>
          <w:sz w:val="32"/>
          <w:szCs w:val="32"/>
          <w:shd w:val="clear" w:color="auto" w:fill="FFFFFF"/>
          <w:lang w:bidi="ar-SA"/>
        </w:rPr>
        <w:t>:0561-3193896</w:t>
      </w:r>
      <w:r>
        <w:rPr>
          <w:rFonts w:hint="eastAsia" w:ascii="仿宋_GB2312" w:hAnsi="仿宋" w:eastAsia="仿宋_GB2312" w:cs="仿宋"/>
          <w:color w:val="333333"/>
          <w:sz w:val="32"/>
          <w:szCs w:val="32"/>
          <w:shd w:val="clear" w:color="auto" w:fill="FFFFFF"/>
          <w:lang w:bidi="ar-SA"/>
        </w:rPr>
        <w:t>。</w:t>
      </w:r>
    </w:p>
    <w:p>
      <w:pPr>
        <w:pStyle w:val="2"/>
        <w:widowControl/>
        <w:shd w:val="clear" w:color="auto" w:fill="FFFFFF"/>
        <w:spacing w:before="0" w:beforeAutospacing="0" w:after="0" w:afterAutospacing="0"/>
        <w:ind w:left="0" w:right="0" w:firstLine="640" w:firstLineChars="200"/>
        <w:jc w:val="left"/>
        <w:rPr>
          <w:rFonts w:hint="eastAsia" w:ascii="黑体" w:hAnsi="黑体" w:eastAsia="黑体" w:cs="仿宋"/>
          <w:color w:val="333333"/>
          <w:sz w:val="32"/>
          <w:szCs w:val="32"/>
          <w:shd w:val="clear" w:color="auto" w:fill="FFFFFF"/>
          <w:lang w:bidi="ar-SA"/>
        </w:rPr>
      </w:pPr>
      <w:r>
        <w:rPr>
          <w:rFonts w:hint="eastAsia" w:ascii="黑体" w:hAnsi="黑体" w:eastAsia="黑体" w:cs="仿宋"/>
          <w:color w:val="333333"/>
          <w:sz w:val="32"/>
          <w:szCs w:val="32"/>
          <w:shd w:val="clear" w:color="auto" w:fill="FFFFFF"/>
          <w:lang w:bidi="ar-SA"/>
        </w:rPr>
        <w:t> 一、总体情况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bidi="ar-SA"/>
        </w:rPr>
        <w:t>2022年，相山区机关事务管理中心紧紧围绕政府信息公开工作总体要求，把政务公开工作纳入年度工作重点，强化组织领导，统筹各部门协调，扎实做好政府信息公开各项工作，不断增强信息公开及时性和全面性，进一步提升群众安全感和满意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643" w:firstLineChars="200"/>
        <w:jc w:val="left"/>
        <w:textAlignment w:val="auto"/>
        <w:rPr>
          <w:rFonts w:hint="eastAsia" w:ascii="楷体_GB2312" w:hAnsi="楷体_GB2312" w:eastAsia="楷体_GB2312" w:cs="楷体_GB2312"/>
          <w:b/>
          <w:color w:val="333333"/>
          <w:sz w:val="32"/>
          <w:szCs w:val="32"/>
          <w:shd w:val="clear" w:color="auto" w:fill="FFFFFF"/>
          <w:lang w:val="en-US" w:eastAsia="zh-CN" w:bidi="ar-SA"/>
        </w:rPr>
      </w:pPr>
      <w:r>
        <w:rPr>
          <w:rFonts w:hint="eastAsia" w:ascii="楷体_GB2312" w:hAnsi="楷体_GB2312" w:eastAsia="楷体_GB2312" w:cs="楷体_GB2312"/>
          <w:b/>
          <w:color w:val="333333"/>
          <w:sz w:val="32"/>
          <w:szCs w:val="32"/>
          <w:shd w:val="clear" w:color="auto" w:fill="FFFFFF"/>
          <w:lang w:val="en-US" w:eastAsia="zh-CN" w:bidi="ar-SA"/>
        </w:rPr>
        <w:t>（一）主动公开情况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bidi="ar-SA"/>
        </w:rPr>
        <w:t>2022年，根据《中华人民共和国政府信息公开条例》和2022年政务公开重点工作任务分工，认真落实区委、区政府关于推进重点领域政府信息公开的系列决策部署。截至12月31日，新增主动公开政府信息79条。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643" w:firstLineChars="200"/>
        <w:jc w:val="left"/>
        <w:textAlignment w:val="auto"/>
        <w:rPr>
          <w:rFonts w:hint="eastAsia" w:ascii="楷体_GB2312" w:hAnsi="楷体_GB2312" w:eastAsia="楷体_GB2312" w:cs="楷体_GB2312"/>
          <w:b/>
          <w:color w:val="333333"/>
          <w:sz w:val="32"/>
          <w:szCs w:val="32"/>
          <w:shd w:val="clear" w:color="auto" w:fill="FFFFFF"/>
          <w:lang w:val="en-US" w:eastAsia="zh-CN" w:bidi="ar-SA"/>
        </w:rPr>
      </w:pPr>
      <w:r>
        <w:rPr>
          <w:rFonts w:hint="eastAsia" w:ascii="楷体_GB2312" w:hAnsi="楷体_GB2312" w:eastAsia="楷体_GB2312" w:cs="楷体_GB2312"/>
          <w:b/>
          <w:color w:val="333333"/>
          <w:sz w:val="32"/>
          <w:szCs w:val="32"/>
          <w:shd w:val="clear" w:color="auto" w:fill="FFFFFF"/>
          <w:lang w:val="en-US" w:eastAsia="zh-CN" w:bidi="ar-SA"/>
        </w:rPr>
        <w:t>（二）依申请公开情况</w:t>
      </w:r>
    </w:p>
    <w:p>
      <w:pPr>
        <w:pStyle w:val="2"/>
        <w:widowControl/>
        <w:shd w:val="clear" w:color="auto" w:fill="FFFFFF"/>
        <w:spacing w:before="0" w:beforeAutospacing="0" w:after="0" w:afterAutospacing="0"/>
        <w:ind w:left="0" w:right="0"/>
        <w:jc w:val="left"/>
        <w:rPr>
          <w:rFonts w:hint="eastAsia"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bidi="ar-SA"/>
        </w:rPr>
        <w:t>    2022年，未收到群众信息公开申请。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643" w:firstLineChars="200"/>
        <w:jc w:val="left"/>
        <w:textAlignment w:val="auto"/>
        <w:rPr>
          <w:rFonts w:hint="eastAsia" w:ascii="楷体_GB2312" w:hAnsi="楷体_GB2312" w:eastAsia="楷体_GB2312" w:cs="楷体_GB2312"/>
          <w:b/>
          <w:color w:val="333333"/>
          <w:sz w:val="32"/>
          <w:szCs w:val="32"/>
          <w:shd w:val="clear" w:color="auto" w:fill="FFFFFF"/>
          <w:lang w:val="en-US" w:eastAsia="zh-CN" w:bidi="ar-SA"/>
        </w:rPr>
      </w:pPr>
      <w:r>
        <w:rPr>
          <w:rFonts w:hint="eastAsia" w:ascii="楷体_GB2312" w:hAnsi="楷体_GB2312" w:eastAsia="楷体_GB2312" w:cs="楷体_GB2312"/>
          <w:b/>
          <w:color w:val="333333"/>
          <w:sz w:val="32"/>
          <w:szCs w:val="32"/>
          <w:shd w:val="clear" w:color="auto" w:fill="FFFFFF"/>
          <w:lang w:val="en-US" w:eastAsia="zh-CN" w:bidi="ar-SA"/>
        </w:rPr>
        <w:t>（三）政府信息管理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bidi="ar-SA"/>
        </w:rPr>
        <w:t>依据近年来国家对全面加强政务公开工作提出的各项要求和新《条例》有关规定，完善主动公开事项。</w:t>
      </w:r>
    </w:p>
    <w:p>
      <w:pPr>
        <w:pStyle w:val="2"/>
        <w:widowControl/>
        <w:shd w:val="clear" w:color="auto" w:fill="FFFFFF"/>
        <w:spacing w:before="0" w:beforeAutospacing="0" w:after="0" w:afterAutospacing="0"/>
        <w:ind w:left="0" w:right="0" w:firstLine="640" w:firstLineChars="200"/>
        <w:jc w:val="left"/>
        <w:rPr>
          <w:rFonts w:hint="eastAsia" w:ascii="黑体" w:hAnsi="黑体" w:eastAsia="黑体" w:cs="仿宋"/>
          <w:color w:val="333333"/>
          <w:sz w:val="32"/>
          <w:szCs w:val="32"/>
          <w:shd w:val="clear" w:color="auto" w:fill="FFFFFF"/>
          <w:lang w:bidi="ar-SA"/>
        </w:rPr>
      </w:pPr>
      <w:r>
        <w:rPr>
          <w:rFonts w:hint="eastAsia" w:ascii="黑体" w:hAnsi="黑体" w:eastAsia="黑体" w:cs="仿宋"/>
          <w:color w:val="333333"/>
          <w:sz w:val="32"/>
          <w:szCs w:val="32"/>
          <w:shd w:val="clear" w:color="auto" w:fill="FFFFFF"/>
          <w:lang w:bidi="ar-SA"/>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pPr>
      <w:r>
        <w:rPr>
          <w:rFonts w:hint="eastAsia" w:ascii="宋体" w:hAnsi="宋体" w:eastAsia="宋体" w:cs="宋体"/>
          <w:i w:val="0"/>
          <w:iCs w:val="0"/>
          <w:caps w:val="0"/>
          <w:color w:val="333333"/>
          <w:spacing w:val="0"/>
          <w:kern w:val="0"/>
          <w:sz w:val="24"/>
          <w:szCs w:val="24"/>
          <w:shd w:val="clear" w:fill="FFFFFF"/>
        </w:rPr>
        <w:t xml:space="preserve"> </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color w:val="333333"/>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color w:val="333333"/>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color w:val="333333"/>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default" w:ascii="Calibri" w:hAnsi="Calibri" w:eastAsia="宋体" w:cs="Calibri"/>
          <w:i w:val="0"/>
          <w:iCs w:val="0"/>
          <w:caps w:val="0"/>
          <w:color w:val="333333"/>
          <w:spacing w:val="0"/>
          <w:kern w:val="0"/>
          <w:sz w:val="21"/>
          <w:szCs w:val="21"/>
          <w:shd w:val="clear" w:fill="FFFFFF"/>
          <w:lang w:val="en-US" w:eastAsia="zh-CN" w:bidi="ar"/>
        </w:rPr>
        <w:t xml:space="preserve"> </w:t>
      </w:r>
    </w:p>
    <w:p>
      <w:pPr>
        <w:pStyle w:val="2"/>
        <w:widowControl/>
        <w:shd w:val="clear" w:color="auto" w:fill="FFFFFF"/>
        <w:spacing w:before="0" w:beforeAutospacing="0" w:after="0" w:afterAutospacing="0"/>
        <w:ind w:left="0" w:right="0" w:firstLine="640" w:firstLineChars="200"/>
        <w:jc w:val="left"/>
        <w:rPr>
          <w:rFonts w:hint="eastAsia" w:ascii="黑体" w:hAnsi="黑体" w:eastAsia="黑体" w:cs="仿宋"/>
          <w:color w:val="333333"/>
          <w:sz w:val="32"/>
          <w:szCs w:val="32"/>
          <w:shd w:val="clear" w:color="auto" w:fill="FFFFFF"/>
          <w:lang w:bidi="ar-SA"/>
        </w:rPr>
      </w:pPr>
      <w:r>
        <w:rPr>
          <w:rFonts w:hint="eastAsia" w:ascii="黑体" w:hAnsi="黑体" w:eastAsia="黑体" w:cs="仿宋"/>
          <w:color w:val="333333"/>
          <w:sz w:val="32"/>
          <w:szCs w:val="32"/>
          <w:shd w:val="clear" w:color="auto" w:fill="FFFFFF"/>
          <w:lang w:bidi="ar-SA"/>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pPr>
      <w:r>
        <w:rPr>
          <w:rFonts w:hint="eastAsia" w:ascii="宋体" w:hAnsi="宋体" w:eastAsia="宋体" w:cs="宋体"/>
          <w:i w:val="0"/>
          <w:iCs w:val="0"/>
          <w:caps w:val="0"/>
          <w:color w:val="333333"/>
          <w:spacing w:val="0"/>
          <w:kern w:val="0"/>
          <w:sz w:val="24"/>
          <w:szCs w:val="24"/>
          <w:shd w:val="clear" w:fill="FFFFFF"/>
        </w:rPr>
        <w:t xml:space="preserve"> </w:t>
      </w:r>
    </w:p>
    <w:tbl>
      <w:tblPr>
        <w:tblStyle w:val="3"/>
        <w:tblW w:w="97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4"/>
        <w:gridCol w:w="921"/>
        <w:gridCol w:w="3271"/>
        <w:gridCol w:w="685"/>
        <w:gridCol w:w="685"/>
        <w:gridCol w:w="685"/>
        <w:gridCol w:w="685"/>
        <w:gridCol w:w="685"/>
        <w:gridCol w:w="685"/>
        <w:gridCol w:w="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楷体" w:hAnsi="楷体" w:eastAsia="楷体" w:cs="楷体"/>
                <w:color w:val="333333"/>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kern w:val="0"/>
                <w:sz w:val="20"/>
                <w:szCs w:val="20"/>
                <w:lang w:val="en-US" w:eastAsia="zh-CN" w:bidi="ar"/>
              </w:rPr>
              <w:t>法人或其他组织</w:t>
            </w:r>
          </w:p>
        </w:tc>
        <w:tc>
          <w:tcPr>
            <w:tcW w:w="685"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kern w:val="0"/>
                <w:sz w:val="20"/>
                <w:szCs w:val="20"/>
                <w:lang w:val="en-US" w:eastAsia="zh-CN" w:bidi="ar"/>
              </w:rPr>
              <w:t>商业</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kern w:val="0"/>
                <w:sz w:val="20"/>
                <w:szCs w:val="20"/>
                <w:lang w:val="en-US" w:eastAsia="zh-CN" w:bidi="ar"/>
              </w:rPr>
              <w:t>企业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kern w:val="0"/>
                <w:sz w:val="20"/>
                <w:szCs w:val="20"/>
                <w:lang w:val="en-US" w:eastAsia="zh-CN" w:bidi="ar"/>
              </w:rPr>
              <w:t>科研</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kern w:val="0"/>
                <w:sz w:val="20"/>
                <w:szCs w:val="20"/>
                <w:lang w:val="en-US" w:eastAsia="zh-CN" w:bidi="ar"/>
              </w:rPr>
              <w:t>其他</w:t>
            </w:r>
          </w:p>
        </w:tc>
        <w:tc>
          <w:tcPr>
            <w:tcW w:w="685"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（二）部分公开</w:t>
            </w:r>
            <w:r>
              <w:rPr>
                <w:rFonts w:hint="eastAsia" w:ascii="楷体" w:hAnsi="楷体" w:eastAsia="楷体" w:cs="楷体"/>
                <w:color w:val="333333"/>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（三）不予公开</w:t>
            </w: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（四）无法提供</w:t>
            </w: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（五）不予处理</w:t>
            </w: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both"/>
            </w:pPr>
            <w:r>
              <w:rPr>
                <w:rFonts w:hint="eastAsia" w:ascii="宋体" w:hAnsi="宋体" w:eastAsia="宋体" w:cs="宋体"/>
                <w:color w:val="333333"/>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（六）其他处理</w:t>
            </w:r>
          </w:p>
        </w:tc>
        <w:tc>
          <w:tcPr>
            <w:tcW w:w="327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both"/>
            </w:pPr>
            <w:r>
              <w:rPr>
                <w:rFonts w:hint="eastAsia" w:ascii="宋体" w:hAnsi="宋体" w:eastAsia="宋体" w:cs="宋体"/>
                <w:color w:val="333333"/>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both"/>
            </w:pPr>
            <w:r>
              <w:rPr>
                <w:rFonts w:hint="eastAsia" w:ascii="宋体" w:hAnsi="宋体" w:eastAsia="宋体" w:cs="宋体"/>
                <w:color w:val="333333"/>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color w:val="333333"/>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firstLine="210"/>
              <w:jc w:val="left"/>
            </w:pPr>
            <w:r>
              <w:rPr>
                <w:rFonts w:hint="eastAsia" w:ascii="宋体" w:hAnsi="宋体" w:eastAsia="宋体" w:cs="宋体"/>
                <w:color w:val="333333"/>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pPr>
      <w:r>
        <w:rPr>
          <w:rFonts w:hint="eastAsia" w:ascii="宋体" w:hAnsi="宋体" w:eastAsia="宋体" w:cs="宋体"/>
          <w:i w:val="0"/>
          <w:iCs w:val="0"/>
          <w:caps w:val="0"/>
          <w:color w:val="333333"/>
          <w:spacing w:val="0"/>
          <w:kern w:val="0"/>
          <w:sz w:val="24"/>
          <w:szCs w:val="24"/>
          <w:shd w:val="clear" w:fill="FFFFFF"/>
          <w:lang w:val="en-US" w:eastAsia="zh-CN" w:bidi="ar"/>
        </w:rPr>
        <w:t xml:space="preserve"> </w:t>
      </w:r>
    </w:p>
    <w:p>
      <w:pPr>
        <w:pStyle w:val="2"/>
        <w:widowControl/>
        <w:shd w:val="clear" w:color="auto" w:fill="FFFFFF"/>
        <w:spacing w:before="0" w:beforeAutospacing="0" w:after="0" w:afterAutospacing="0"/>
        <w:ind w:left="0" w:right="0" w:firstLine="640" w:firstLineChars="200"/>
        <w:jc w:val="left"/>
        <w:rPr>
          <w:rFonts w:hint="eastAsia" w:ascii="黑体" w:hAnsi="黑体" w:eastAsia="黑体" w:cs="仿宋"/>
          <w:color w:val="333333"/>
          <w:sz w:val="32"/>
          <w:szCs w:val="32"/>
          <w:shd w:val="clear" w:color="auto" w:fill="FFFFFF"/>
          <w:lang w:bidi="ar-SA"/>
        </w:rPr>
      </w:pPr>
      <w:r>
        <w:rPr>
          <w:rFonts w:hint="eastAsia" w:ascii="黑体" w:hAnsi="黑体" w:eastAsia="黑体" w:cs="仿宋"/>
          <w:color w:val="333333"/>
          <w:sz w:val="32"/>
          <w:szCs w:val="32"/>
          <w:shd w:val="clear" w:color="auto" w:fill="FFFFFF"/>
          <w:lang w:bidi="ar-SA"/>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pPr>
      <w:r>
        <w:rPr>
          <w:rFonts w:hint="eastAsia" w:ascii="宋体" w:hAnsi="宋体" w:eastAsia="宋体" w:cs="宋体"/>
          <w:i w:val="0"/>
          <w:iCs w:val="0"/>
          <w:caps w:val="0"/>
          <w:color w:val="333333"/>
          <w:spacing w:val="0"/>
          <w:kern w:val="0"/>
          <w:sz w:val="24"/>
          <w:szCs w:val="24"/>
          <w:shd w:val="clear" w:fill="FFFFFF"/>
          <w:lang w:val="en-US" w:eastAsia="zh-CN" w:bidi="ar"/>
        </w:rPr>
        <w:t xml:space="preserve"> </w:t>
      </w: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行政复议</w:t>
            </w:r>
          </w:p>
        </w:tc>
        <w:tc>
          <w:tcPr>
            <w:tcW w:w="649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未经复议直接起诉</w:t>
            </w:r>
          </w:p>
        </w:tc>
        <w:tc>
          <w:tcPr>
            <w:tcW w:w="325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维持</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维持</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333333"/>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黑体" w:hAnsi="宋体" w:eastAsia="黑体" w:cs="黑体"/>
                <w:color w:val="333333"/>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sz w:val="21"/>
          <w:szCs w:val="21"/>
        </w:rPr>
      </w:pPr>
      <w:r>
        <w:rPr>
          <w:rFonts w:hint="default" w:ascii="Calibri" w:hAnsi="Calibri" w:eastAsia="宋体" w:cs="Calibri"/>
          <w:i w:val="0"/>
          <w:iCs w:val="0"/>
          <w:caps w:val="0"/>
          <w:color w:val="333333"/>
          <w:spacing w:val="0"/>
          <w:kern w:val="0"/>
          <w:sz w:val="21"/>
          <w:szCs w:val="21"/>
          <w:shd w:val="clear" w:fill="FFFFFF"/>
          <w:lang w:val="en-US" w:eastAsia="zh-CN" w:bidi="ar"/>
        </w:rPr>
        <w:t xml:space="preserve">  </w:t>
      </w:r>
    </w:p>
    <w:p>
      <w:pPr>
        <w:pStyle w:val="2"/>
        <w:widowControl/>
        <w:shd w:val="clear" w:color="auto" w:fill="FFFFFF"/>
        <w:spacing w:before="0" w:beforeAutospacing="0" w:after="0" w:afterAutospacing="0"/>
        <w:ind w:left="0" w:right="0" w:firstLine="640" w:firstLineChars="200"/>
        <w:jc w:val="left"/>
        <w:rPr>
          <w:rFonts w:hint="default" w:ascii="黑体" w:hAnsi="黑体" w:eastAsia="黑体" w:cs="仿宋"/>
          <w:color w:val="333333"/>
          <w:sz w:val="32"/>
          <w:szCs w:val="32"/>
          <w:shd w:val="clear" w:color="auto" w:fill="FFFFFF"/>
          <w:lang w:val="en-US" w:eastAsia="zh-CN" w:bidi="ar-SA"/>
        </w:rPr>
      </w:pPr>
      <w:r>
        <w:rPr>
          <w:rFonts w:hint="eastAsia" w:ascii="黑体" w:hAnsi="黑体" w:eastAsia="黑体" w:cs="仿宋"/>
          <w:color w:val="333333"/>
          <w:sz w:val="32"/>
          <w:szCs w:val="32"/>
          <w:shd w:val="clear" w:color="auto" w:fill="FFFFFF"/>
          <w:lang w:bidi="ar-SA"/>
        </w:rPr>
        <w:t>五、存在的主要问题</w:t>
      </w:r>
      <w:r>
        <w:rPr>
          <w:rFonts w:hint="eastAsia" w:ascii="黑体" w:hAnsi="黑体" w:eastAsia="黑体" w:cs="仿宋"/>
          <w:color w:val="333333"/>
          <w:sz w:val="32"/>
          <w:szCs w:val="32"/>
          <w:shd w:val="clear" w:color="auto" w:fill="FFFFFF"/>
          <w:lang w:val="en-US" w:eastAsia="zh-CN" w:bidi="ar-SA"/>
        </w:rPr>
        <w:t>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643" w:firstLineChars="200"/>
        <w:jc w:val="left"/>
        <w:textAlignment w:val="auto"/>
        <w:rPr>
          <w:rFonts w:hint="eastAsia" w:ascii="楷体_GB2312" w:hAnsi="楷体_GB2312" w:eastAsia="楷体_GB2312" w:cs="楷体_GB2312"/>
          <w:b/>
          <w:color w:val="333333"/>
          <w:sz w:val="32"/>
          <w:szCs w:val="32"/>
          <w:shd w:val="clear" w:color="auto" w:fill="FFFFFF"/>
          <w:lang w:val="en-US" w:eastAsia="zh-CN" w:bidi="ar-SA"/>
        </w:rPr>
      </w:pPr>
      <w:r>
        <w:rPr>
          <w:rFonts w:hint="eastAsia" w:ascii="楷体_GB2312" w:hAnsi="楷体_GB2312" w:eastAsia="楷体_GB2312" w:cs="楷体_GB2312"/>
          <w:b/>
          <w:color w:val="333333"/>
          <w:sz w:val="32"/>
          <w:szCs w:val="32"/>
          <w:shd w:val="clear" w:color="auto" w:fill="FFFFFF"/>
          <w:lang w:val="en-US" w:eastAsia="zh-CN" w:bidi="ar-SA"/>
        </w:rPr>
        <w:t>（一）存在的问题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bidi="ar-SA"/>
        </w:rPr>
        <w:t>重表面内容，轻实质内容。公开的内容不够深，表面事项较多，深层次的问题公开少</w:t>
      </w:r>
      <w:r>
        <w:rPr>
          <w:rFonts w:hint="eastAsia" w:ascii="仿宋_GB2312" w:hAnsi="仿宋" w:eastAsia="仿宋_GB2312" w:cs="仿宋"/>
          <w:color w:val="333333"/>
          <w:sz w:val="32"/>
          <w:szCs w:val="32"/>
          <w:shd w:val="clear" w:color="auto" w:fill="FFFFFF"/>
          <w:lang w:eastAsia="zh-CN" w:bidi="ar-SA"/>
        </w:rPr>
        <w:t>；</w:t>
      </w:r>
      <w:r>
        <w:rPr>
          <w:rFonts w:hint="eastAsia" w:ascii="仿宋_GB2312" w:hAnsi="仿宋" w:eastAsia="仿宋_GB2312" w:cs="仿宋"/>
          <w:color w:val="333333"/>
          <w:sz w:val="32"/>
          <w:szCs w:val="32"/>
          <w:shd w:val="clear" w:color="auto" w:fill="FFFFFF"/>
          <w:lang w:bidi="ar-SA"/>
        </w:rPr>
        <w:t>平时公开不够及时，公开资料管理不够规范，应付检查现象偶有发生。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firstLine="643" w:firstLineChars="200"/>
        <w:jc w:val="left"/>
        <w:textAlignment w:val="auto"/>
        <w:rPr>
          <w:rFonts w:hint="eastAsia" w:ascii="楷体_GB2312" w:hAnsi="楷体_GB2312" w:eastAsia="楷体_GB2312" w:cs="楷体_GB2312"/>
          <w:b/>
          <w:color w:val="333333"/>
          <w:sz w:val="32"/>
          <w:szCs w:val="32"/>
          <w:shd w:val="clear" w:color="auto" w:fill="FFFFFF"/>
          <w:lang w:val="en-US" w:eastAsia="zh-CN" w:bidi="ar-SA"/>
        </w:rPr>
      </w:pPr>
      <w:r>
        <w:rPr>
          <w:rFonts w:hint="eastAsia" w:ascii="楷体_GB2312" w:hAnsi="楷体_GB2312" w:eastAsia="楷体_GB2312" w:cs="楷体_GB2312"/>
          <w:b/>
          <w:color w:val="333333"/>
          <w:sz w:val="32"/>
          <w:szCs w:val="32"/>
          <w:shd w:val="clear" w:color="auto" w:fill="FFFFFF"/>
          <w:lang w:val="en-US" w:eastAsia="zh-CN" w:bidi="ar-SA"/>
        </w:rPr>
        <w:t>（二）改进情况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bidi="ar-SA"/>
        </w:rPr>
        <w:t>提升公开质量，扎实做好常态化信息公开，提升政策解读质量，尤其是负责人解读，关联相关文。积极组织具体经办人员参加政务公开工作培训，认真贯彻上级政务公开工作部署要求，切实提升政务公开意识。</w:t>
      </w:r>
    </w:p>
    <w:p>
      <w:pPr>
        <w:pStyle w:val="2"/>
        <w:widowControl/>
        <w:shd w:val="clear" w:color="auto" w:fill="FFFFFF"/>
        <w:spacing w:before="0" w:beforeAutospacing="0" w:after="0" w:afterAutospacing="0"/>
        <w:ind w:left="0" w:right="0" w:firstLine="640" w:firstLineChars="200"/>
        <w:jc w:val="left"/>
        <w:rPr>
          <w:rFonts w:hint="eastAsia" w:ascii="黑体" w:hAnsi="黑体" w:eastAsia="黑体" w:cs="仿宋"/>
          <w:color w:val="333333"/>
          <w:sz w:val="32"/>
          <w:szCs w:val="32"/>
          <w:shd w:val="clear" w:color="auto" w:fill="FFFFFF"/>
          <w:lang w:bidi="ar-SA"/>
        </w:rPr>
      </w:pPr>
      <w:r>
        <w:rPr>
          <w:rFonts w:hint="eastAsia" w:ascii="黑体" w:hAnsi="黑体" w:eastAsia="黑体" w:cs="仿宋"/>
          <w:color w:val="333333"/>
          <w:sz w:val="32"/>
          <w:szCs w:val="32"/>
          <w:shd w:val="clear" w:color="auto" w:fill="FFFFFF"/>
          <w:lang w:bidi="ar-SA"/>
        </w:rPr>
        <w:t xml:space="preserve">六、其他需要报告的事项 </w:t>
      </w:r>
    </w:p>
    <w:p>
      <w:pPr>
        <w:pStyle w:val="2"/>
        <w:keepNext w:val="0"/>
        <w:keepLines w:val="0"/>
        <w:widowControl/>
        <w:suppressLineNumbers w:val="0"/>
        <w:rPr>
          <w:rFonts w:hint="eastAsia" w:ascii="仿宋_GB2312" w:hAnsi="仿宋" w:eastAsia="仿宋_GB2312" w:cs="仿宋"/>
          <w:color w:val="333333"/>
          <w:sz w:val="32"/>
          <w:szCs w:val="32"/>
          <w:shd w:val="clear" w:color="auto" w:fill="FFFFFF"/>
          <w:lang w:bidi="ar-SA"/>
        </w:rPr>
      </w:pPr>
      <w:r>
        <w:rPr>
          <w:rFonts w:hint="eastAsia" w:ascii="宋体" w:hAnsi="宋体" w:eastAsia="宋体" w:cs="宋体"/>
          <w:color w:val="333333"/>
        </w:rPr>
        <w:t>    </w:t>
      </w:r>
      <w:r>
        <w:rPr>
          <w:rFonts w:hint="eastAsia" w:ascii="仿宋_GB2312" w:hAnsi="仿宋" w:eastAsia="仿宋_GB2312" w:cs="仿宋"/>
          <w:color w:val="333333"/>
          <w:sz w:val="32"/>
          <w:szCs w:val="32"/>
          <w:shd w:val="clear" w:color="auto" w:fill="FFFFFF"/>
          <w:lang w:bidi="ar-SA"/>
        </w:rPr>
        <w:t> 按照《国务院办公厅关于印发》〈政府信息公开信息处理费管理办法〉的通知（国办函〔2020〕109号）规定的按件、按量收费标准，本年度没有产生信息公开处理费。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NmNjNGFhODNjNGUwZjVlNjhiMTFhNTQ5NWFjNjIifQ=="/>
  </w:docVars>
  <w:rsids>
    <w:rsidRoot w:val="00000000"/>
    <w:rsid w:val="02BB4F91"/>
    <w:rsid w:val="14A90823"/>
    <w:rsid w:val="264C208F"/>
    <w:rsid w:val="2CF61EDB"/>
    <w:rsid w:val="58A4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2024-01-30T08:47:00Z</dcterms:created>
  <dc:creator>lenovo</dc:creator>
  <cp:lastModifiedBy>王满银</cp:lastModifiedBy>
  <dcterms:modified xsi:type="dcterms:W3CDTF">2024-01-31T03:28:23Z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E85BF9C216A544E794F57DE59916B0B3_12</vt:lpwstr>
  </property>
</Properties>
</file>