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eastAsia" w:ascii="宋体" w:hAnsi="宋体" w:cs="宋体"/>
          <w:bCs/>
          <w:color w:val="000000"/>
          <w:sz w:val="72"/>
          <w:szCs w:val="72"/>
        </w:rPr>
      </w:pPr>
    </w:p>
    <w:p>
      <w:pPr>
        <w:adjustRightInd w:val="0"/>
        <w:snapToGrid w:val="0"/>
        <w:jc w:val="center"/>
        <w:outlineLvl w:val="0"/>
        <w:rPr>
          <w:rFonts w:hint="eastAsia" w:ascii="方正小标宋_GBK" w:eastAsia="方正小标宋_GBK"/>
          <w:bCs/>
          <w:color w:val="000000"/>
          <w:sz w:val="72"/>
          <w:szCs w:val="72"/>
        </w:rPr>
      </w:pPr>
      <w:r>
        <w:rPr>
          <w:rFonts w:hint="eastAsia" w:ascii="宋体" w:hAnsi="宋体" w:cs="宋体"/>
          <w:bCs/>
          <w:color w:val="000000"/>
          <w:sz w:val="72"/>
          <w:szCs w:val="72"/>
        </w:rPr>
        <w:t>建设项目环境影响报告表</w:t>
      </w:r>
    </w:p>
    <w:p>
      <w:pPr>
        <w:adjustRightInd w:val="0"/>
        <w:snapToGrid w:val="0"/>
        <w:spacing w:before="192" w:beforeLines="80"/>
        <w:jc w:val="center"/>
        <w:rPr>
          <w:rFonts w:hint="eastAsia" w:ascii="楷体_GB2312" w:eastAsia="楷体_GB2312"/>
          <w:bCs/>
          <w:color w:val="000000"/>
          <w:sz w:val="48"/>
          <w:szCs w:val="48"/>
        </w:rPr>
      </w:pPr>
      <w:r>
        <w:rPr>
          <w:rFonts w:hint="eastAsia" w:ascii="宋体" w:hAnsi="宋体" w:cs="宋体"/>
          <w:bCs/>
          <w:color w:val="000000"/>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color w:val="000000"/>
          <w:sz w:val="52"/>
          <w:szCs w:val="52"/>
        </w:rPr>
      </w:pPr>
    </w:p>
    <w:p>
      <w:pPr>
        <w:ind w:firstLine="1040"/>
        <w:rPr>
          <w:rFonts w:eastAsia="仿宋"/>
          <w:color w:val="000000"/>
          <w:sz w:val="44"/>
          <w:szCs w:val="44"/>
        </w:rPr>
      </w:pPr>
    </w:p>
    <w:p>
      <w:pPr>
        <w:ind w:firstLine="1040"/>
        <w:rPr>
          <w:rFonts w:eastAsia="仿宋"/>
          <w:color w:val="000000"/>
          <w:sz w:val="44"/>
          <w:szCs w:val="44"/>
        </w:rPr>
      </w:pPr>
    </w:p>
    <w:p>
      <w:pPr>
        <w:ind w:firstLine="1040"/>
        <w:rPr>
          <w:rFonts w:eastAsia="仿宋"/>
          <w:color w:val="000000"/>
          <w:sz w:val="44"/>
          <w:szCs w:val="44"/>
        </w:rPr>
      </w:pPr>
    </w:p>
    <w:p>
      <w:pPr>
        <w:ind w:firstLine="1040"/>
        <w:rPr>
          <w:rFonts w:eastAsia="仿宋"/>
          <w:color w:val="000000"/>
          <w:sz w:val="44"/>
          <w:szCs w:val="44"/>
        </w:rPr>
      </w:pPr>
    </w:p>
    <w:p>
      <w:pPr>
        <w:adjustRightInd w:val="0"/>
        <w:snapToGrid w:val="0"/>
        <w:spacing w:line="288" w:lineRule="auto"/>
        <w:rPr>
          <w:rFonts w:hint="eastAsia" w:ascii="宋体" w:hAnsi="宋体" w:eastAsia="宋体" w:cs="宋体"/>
          <w:color w:val="000000"/>
          <w:sz w:val="36"/>
          <w:szCs w:val="36"/>
          <w:u w:val="single"/>
        </w:rPr>
      </w:pPr>
      <w:r>
        <w:rPr>
          <w:rFonts w:hint="eastAsia" w:ascii="宋体" w:hAnsi="宋体" w:cs="宋体"/>
          <w:color w:val="000000"/>
          <w:sz w:val="36"/>
          <w:szCs w:val="36"/>
        </w:rPr>
        <w:t>项目名称：</w:t>
      </w:r>
      <w:r>
        <w:rPr>
          <w:rFonts w:hint="eastAsia" w:ascii="宋体" w:hAnsi="宋体" w:cs="宋体"/>
          <w:color w:val="000000"/>
          <w:sz w:val="36"/>
          <w:szCs w:val="36"/>
          <w:u w:val="single"/>
        </w:rPr>
        <w:t xml:space="preserve">  </w:t>
      </w:r>
      <w:r>
        <w:rPr>
          <w:rFonts w:hint="eastAsia" w:ascii="宋体" w:hAnsi="宋体" w:eastAsia="宋体" w:cs="宋体"/>
          <w:color w:val="000000"/>
          <w:sz w:val="36"/>
          <w:szCs w:val="36"/>
          <w:u w:val="single"/>
        </w:rPr>
        <w:t xml:space="preserve"> </w:t>
      </w:r>
      <w:r>
        <w:rPr>
          <w:rFonts w:hint="eastAsia" w:ascii="宋体" w:hAnsi="宋体" w:cs="宋体"/>
          <w:color w:val="000000"/>
          <w:sz w:val="36"/>
          <w:szCs w:val="36"/>
          <w:u w:val="single"/>
          <w:lang w:val="en-US" w:eastAsia="zh-CN"/>
        </w:rPr>
        <w:t>今麦郎软化纯净水生产线技术改造升级项目</w:t>
      </w:r>
      <w:r>
        <w:rPr>
          <w:rFonts w:hint="eastAsia" w:ascii="宋体" w:hAnsi="宋体" w:eastAsia="宋体" w:cs="宋体"/>
          <w:color w:val="000000"/>
          <w:sz w:val="36"/>
          <w:szCs w:val="36"/>
          <w:u w:val="single"/>
        </w:rPr>
        <w:t xml:space="preserve">   </w:t>
      </w:r>
    </w:p>
    <w:p>
      <w:pPr>
        <w:adjustRightInd w:val="0"/>
        <w:snapToGrid w:val="0"/>
        <w:spacing w:line="288" w:lineRule="auto"/>
        <w:rPr>
          <w:rFonts w:hint="default" w:ascii="宋体" w:hAnsi="宋体" w:eastAsia="宋体" w:cs="宋体"/>
          <w:color w:val="000000"/>
          <w:sz w:val="36"/>
          <w:szCs w:val="36"/>
          <w:u w:val="single"/>
          <w:lang w:val="en-US" w:eastAsia="zh-CN"/>
        </w:rPr>
      </w:pPr>
      <w:r>
        <w:rPr>
          <w:rFonts w:hint="eastAsia" w:ascii="宋体" w:hAnsi="宋体" w:cs="宋体"/>
          <w:color w:val="000000"/>
          <w:sz w:val="36"/>
          <w:szCs w:val="36"/>
        </w:rPr>
        <w:t>建设单位（盖章）：</w:t>
      </w:r>
      <w:r>
        <w:rPr>
          <w:rFonts w:hint="eastAsia" w:ascii="宋体" w:hAnsi="宋体" w:cs="宋体"/>
          <w:color w:val="000000"/>
          <w:sz w:val="36"/>
          <w:szCs w:val="36"/>
          <w:u w:val="single"/>
          <w:lang w:val="en-US" w:eastAsia="zh-CN"/>
        </w:rPr>
        <w:t>今麦郎饮品（淮北）有限公司</w:t>
      </w:r>
      <w:r>
        <w:rPr>
          <w:rFonts w:hint="eastAsia" w:ascii="宋体" w:hAnsi="宋体" w:eastAsia="宋体" w:cs="宋体"/>
          <w:color w:val="000000"/>
          <w:sz w:val="36"/>
          <w:szCs w:val="36"/>
          <w:u w:val="single"/>
          <w:lang w:val="en-US" w:eastAsia="zh-CN"/>
        </w:rPr>
        <w:t xml:space="preserve">         </w:t>
      </w:r>
    </w:p>
    <w:p>
      <w:pPr>
        <w:tabs>
          <w:tab w:val="left" w:pos="5280"/>
        </w:tabs>
        <w:adjustRightInd w:val="0"/>
        <w:snapToGrid w:val="0"/>
        <w:spacing w:line="288" w:lineRule="auto"/>
        <w:rPr>
          <w:rFonts w:hint="default" w:ascii="宋体" w:hAnsi="宋体" w:eastAsia="宋体" w:cs="宋体"/>
          <w:color w:val="000000"/>
          <w:sz w:val="36"/>
          <w:szCs w:val="36"/>
          <w:u w:val="single"/>
          <w:lang w:val="en-US" w:eastAsia="zh-CN"/>
        </w:rPr>
      </w:pPr>
      <w:r>
        <w:rPr>
          <w:rFonts w:hint="eastAsia" w:ascii="宋体" w:hAnsi="宋体" w:cs="宋体"/>
          <w:color w:val="000000"/>
          <w:sz w:val="36"/>
          <w:szCs w:val="36"/>
        </w:rPr>
        <w:t>编制日期：</w:t>
      </w:r>
      <w:r>
        <w:rPr>
          <w:rFonts w:hint="eastAsia" w:ascii="宋体" w:hAnsi="宋体" w:cs="宋体"/>
          <w:color w:val="000000"/>
          <w:sz w:val="36"/>
          <w:szCs w:val="36"/>
          <w:u w:val="single"/>
        </w:rPr>
        <w:t xml:space="preserve">       </w:t>
      </w:r>
      <w:r>
        <w:rPr>
          <w:rFonts w:hint="eastAsia" w:ascii="宋体" w:hAnsi="宋体" w:cs="宋体"/>
          <w:color w:val="000000"/>
          <w:sz w:val="32"/>
          <w:szCs w:val="32"/>
          <w:u w:val="single"/>
        </w:rPr>
        <w:t xml:space="preserve">  </w:t>
      </w:r>
      <w:r>
        <w:rPr>
          <w:rFonts w:hint="eastAsia" w:ascii="宋体" w:hAnsi="宋体" w:cs="宋体"/>
          <w:color w:val="000000"/>
          <w:sz w:val="36"/>
          <w:szCs w:val="36"/>
          <w:u w:val="single"/>
        </w:rPr>
        <w:t xml:space="preserve">  202</w:t>
      </w:r>
      <w:r>
        <w:rPr>
          <w:rFonts w:hint="eastAsia" w:ascii="宋体" w:hAnsi="宋体" w:cs="宋体"/>
          <w:color w:val="000000"/>
          <w:sz w:val="36"/>
          <w:szCs w:val="36"/>
          <w:u w:val="single"/>
          <w:lang w:val="en-US" w:eastAsia="zh-CN"/>
        </w:rPr>
        <w:t>4</w:t>
      </w:r>
      <w:r>
        <w:rPr>
          <w:rFonts w:hint="eastAsia" w:ascii="宋体" w:hAnsi="宋体" w:cs="宋体"/>
          <w:color w:val="000000"/>
          <w:sz w:val="36"/>
          <w:szCs w:val="36"/>
          <w:u w:val="single"/>
        </w:rPr>
        <w:t>年</w:t>
      </w:r>
      <w:r>
        <w:rPr>
          <w:rFonts w:hint="eastAsia" w:ascii="宋体" w:hAnsi="宋体" w:cs="宋体"/>
          <w:color w:val="000000"/>
          <w:sz w:val="36"/>
          <w:szCs w:val="36"/>
          <w:u w:val="single"/>
          <w:lang w:val="en-US" w:eastAsia="zh-CN"/>
        </w:rPr>
        <w:t>01</w:t>
      </w:r>
      <w:r>
        <w:rPr>
          <w:rFonts w:hint="eastAsia" w:ascii="宋体" w:hAnsi="宋体" w:cs="宋体"/>
          <w:color w:val="000000"/>
          <w:sz w:val="36"/>
          <w:szCs w:val="36"/>
          <w:u w:val="single"/>
        </w:rPr>
        <w:t xml:space="preserve">月       </w:t>
      </w:r>
      <w:r>
        <w:rPr>
          <w:rFonts w:hint="eastAsia" w:ascii="宋体" w:hAnsi="宋体" w:cs="宋体"/>
          <w:color w:val="000000"/>
          <w:sz w:val="32"/>
          <w:szCs w:val="32"/>
          <w:u w:val="single"/>
        </w:rPr>
        <w:t xml:space="preserve">   </w:t>
      </w:r>
      <w:r>
        <w:rPr>
          <w:rFonts w:hint="eastAsia" w:ascii="宋体" w:hAnsi="宋体" w:cs="宋体"/>
          <w:color w:val="000000"/>
          <w:sz w:val="32"/>
          <w:szCs w:val="32"/>
          <w:u w:val="single"/>
          <w:lang w:val="en-US" w:eastAsia="zh-CN"/>
        </w:rPr>
        <w:t xml:space="preserve">           </w:t>
      </w:r>
    </w:p>
    <w:p>
      <w:pPr>
        <w:adjustRightInd w:val="0"/>
        <w:snapToGrid w:val="0"/>
        <w:spacing w:line="288" w:lineRule="auto"/>
        <w:ind w:firstLine="1040"/>
        <w:rPr>
          <w:rFonts w:ascii="仿宋_GB2312" w:eastAsia="仿宋_GB2312"/>
          <w:color w:val="000000"/>
          <w:sz w:val="36"/>
          <w:szCs w:val="36"/>
          <w:u w:val="single"/>
        </w:rPr>
      </w:pPr>
    </w:p>
    <w:p>
      <w:pPr>
        <w:adjustRightInd w:val="0"/>
        <w:snapToGrid w:val="0"/>
        <w:spacing w:line="288" w:lineRule="auto"/>
        <w:ind w:firstLine="1040"/>
        <w:rPr>
          <w:rFonts w:ascii="仿宋_GB2312" w:eastAsia="仿宋_GB2312"/>
          <w:color w:val="000000"/>
          <w:sz w:val="36"/>
          <w:szCs w:val="36"/>
        </w:rPr>
      </w:pPr>
    </w:p>
    <w:p>
      <w:pPr>
        <w:adjustRightInd w:val="0"/>
        <w:snapToGrid w:val="0"/>
        <w:spacing w:line="288" w:lineRule="auto"/>
        <w:ind w:firstLine="1040"/>
        <w:rPr>
          <w:rFonts w:ascii="仿宋_GB2312" w:eastAsia="仿宋_GB2312"/>
          <w:color w:val="000000"/>
          <w:sz w:val="36"/>
          <w:szCs w:val="36"/>
        </w:rPr>
      </w:pPr>
    </w:p>
    <w:p>
      <w:pPr>
        <w:adjustRightInd w:val="0"/>
        <w:snapToGrid w:val="0"/>
        <w:spacing w:line="288" w:lineRule="auto"/>
        <w:ind w:firstLine="1040"/>
        <w:rPr>
          <w:rFonts w:hint="eastAsia" w:ascii="仿宋_GB2312" w:eastAsia="仿宋_GB2312"/>
          <w:color w:val="000000"/>
          <w:sz w:val="36"/>
          <w:szCs w:val="36"/>
        </w:rPr>
      </w:pPr>
    </w:p>
    <w:p>
      <w:pPr>
        <w:adjustRightInd w:val="0"/>
        <w:snapToGrid w:val="0"/>
        <w:spacing w:line="288" w:lineRule="auto"/>
        <w:ind w:firstLine="1040"/>
        <w:rPr>
          <w:rFonts w:hint="eastAsia" w:ascii="仿宋_GB2312" w:eastAsia="仿宋_GB2312"/>
          <w:color w:val="000000"/>
          <w:sz w:val="36"/>
          <w:szCs w:val="36"/>
        </w:rPr>
      </w:pPr>
    </w:p>
    <w:p>
      <w:pPr>
        <w:adjustRightInd w:val="0"/>
        <w:snapToGrid w:val="0"/>
        <w:spacing w:line="288" w:lineRule="auto"/>
        <w:jc w:val="center"/>
        <w:rPr>
          <w:rFonts w:hint="eastAsia" w:ascii="宋体" w:hAnsi="宋体" w:cs="宋体"/>
          <w:color w:val="000000"/>
          <w:sz w:val="36"/>
          <w:szCs w:val="36"/>
        </w:rPr>
      </w:pPr>
      <w:r>
        <w:rPr>
          <w:rFonts w:hint="eastAsia" w:ascii="宋体" w:hAnsi="宋体" w:cs="宋体"/>
          <w:color w:val="000000"/>
          <w:sz w:val="36"/>
          <w:szCs w:val="36"/>
        </w:rPr>
        <w:t>中华人民共和国生态环境部制</w:t>
      </w:r>
    </w:p>
    <w:p>
      <w:pPr>
        <w:adjustRightInd w:val="0"/>
        <w:snapToGrid w:val="0"/>
        <w:spacing w:line="288" w:lineRule="auto"/>
        <w:ind w:firstLine="1040"/>
        <w:rPr>
          <w:rFonts w:ascii="仿宋_GB2312" w:eastAsia="仿宋_GB2312"/>
          <w:color w:val="000000"/>
          <w:sz w:val="36"/>
          <w:szCs w:val="36"/>
        </w:rPr>
        <w:sectPr>
          <w:footerReference r:id="rId3" w:type="default"/>
          <w:footerReference r:id="rId4" w:type="even"/>
          <w:pgSz w:w="11906" w:h="16838"/>
          <w:pgMar w:top="1134" w:right="1134" w:bottom="1134" w:left="1134" w:header="851" w:footer="1077" w:gutter="0"/>
          <w:pgBorders>
            <w:top w:val="none" w:sz="0" w:space="0"/>
            <w:left w:val="none" w:sz="0" w:space="0"/>
            <w:bottom w:val="none" w:sz="0" w:space="0"/>
            <w:right w:val="none" w:sz="0" w:space="0"/>
          </w:pgBorders>
          <w:pgNumType w:start="1"/>
          <w:cols w:space="720" w:num="1"/>
          <w:docGrid w:linePitch="312" w:charSpace="0"/>
        </w:sectPr>
      </w:pPr>
    </w:p>
    <w:p>
      <w:pPr>
        <w:sectPr>
          <w:pgSz w:w="11906" w:h="16838"/>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snapToGrid w:val="0"/>
          <w:sz w:val="30"/>
          <w:szCs w:val="30"/>
        </w:rPr>
      </w:pPr>
      <w:r>
        <w:rPr>
          <w:rFonts w:hint="eastAsia"/>
          <w:b/>
          <w:bCs/>
          <w:sz w:val="32"/>
          <w:szCs w:val="32"/>
        </w:rPr>
        <w:t>一、建设项目基本情况</w:t>
      </w:r>
    </w:p>
    <w:tbl>
      <w:tblPr>
        <w:tblStyle w:val="21"/>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73"/>
        <w:gridCol w:w="3165"/>
        <w:gridCol w:w="2151"/>
        <w:gridCol w:w="29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建设项目</w:t>
            </w:r>
          </w:p>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名称</w:t>
            </w:r>
          </w:p>
        </w:tc>
        <w:tc>
          <w:tcPr>
            <w:tcW w:w="4288" w:type="pct"/>
            <w:gridSpan w:val="3"/>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szCs w:val="21"/>
                <w:u w:val="none"/>
              </w:rPr>
            </w:pPr>
            <w:r>
              <w:rPr>
                <w:rFonts w:hint="eastAsia" w:ascii="宋体" w:hAnsi="宋体" w:cs="宋体"/>
                <w:color w:val="000000"/>
                <w:sz w:val="24"/>
                <w:szCs w:val="24"/>
                <w:u w:val="none"/>
                <w:lang w:val="en-US" w:eastAsia="zh-CN"/>
              </w:rPr>
              <w:t>今麦郎软化纯净水生产线技术改造升级项目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项目代码</w:t>
            </w:r>
          </w:p>
        </w:tc>
        <w:tc>
          <w:tcPr>
            <w:tcW w:w="4288" w:type="pct"/>
            <w:gridSpan w:val="3"/>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建设单位</w:t>
            </w:r>
          </w:p>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联系人</w:t>
            </w:r>
          </w:p>
        </w:tc>
        <w:tc>
          <w:tcPr>
            <w:tcW w:w="1639"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宫xx</w:t>
            </w:r>
          </w:p>
        </w:tc>
        <w:tc>
          <w:tcPr>
            <w:tcW w:w="1114"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联系方式</w:t>
            </w:r>
          </w:p>
        </w:tc>
        <w:tc>
          <w:tcPr>
            <w:tcW w:w="1535"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default" w:ascii="宋体" w:hAnsi="宋体" w:eastAsia="宋体" w:cs="宋体"/>
                <w:szCs w:val="21"/>
                <w:lang w:val="en-US" w:eastAsia="zh-CN"/>
              </w:rPr>
            </w:pPr>
            <w:r>
              <w:rPr>
                <w:rFonts w:hint="eastAsia" w:ascii="宋体" w:hAnsi="宋体" w:cs="宋体"/>
                <w:color w:val="auto"/>
                <w:szCs w:val="21"/>
                <w:lang w:val="en-US" w:eastAsia="zh-CN"/>
              </w:rPr>
              <w:t>1xxxx521</w:t>
            </w:r>
            <w:bookmarkStart w:id="5" w:name="_GoBack"/>
            <w:bookmarkEnd w:id="5"/>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建设地点</w:t>
            </w:r>
          </w:p>
        </w:tc>
        <w:tc>
          <w:tcPr>
            <w:tcW w:w="4288" w:type="pct"/>
            <w:gridSpan w:val="3"/>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szCs w:val="21"/>
              </w:rPr>
            </w:pPr>
            <w:r>
              <w:rPr>
                <w:rFonts w:ascii="宋体" w:hAnsi="宋体" w:cs="宋体"/>
                <w:szCs w:val="21"/>
                <w:u w:val="single"/>
              </w:rPr>
              <w:t xml:space="preserve">  </w:t>
            </w:r>
            <w:r>
              <w:rPr>
                <w:rFonts w:hint="eastAsia" w:ascii="宋体" w:hAnsi="宋体" w:cs="宋体"/>
                <w:szCs w:val="21"/>
                <w:u w:val="single"/>
                <w:lang w:val="en-US" w:eastAsia="zh-CN"/>
              </w:rPr>
              <w:t xml:space="preserve">安徽 </w:t>
            </w:r>
            <w:r>
              <w:rPr>
                <w:rFonts w:hint="eastAsia" w:ascii="宋体" w:hAnsi="宋体" w:cs="宋体"/>
                <w:szCs w:val="21"/>
              </w:rPr>
              <w:t>省</w:t>
            </w:r>
            <w:r>
              <w:rPr>
                <w:rFonts w:ascii="宋体" w:hAnsi="宋体" w:cs="宋体"/>
                <w:szCs w:val="21"/>
                <w:u w:val="single"/>
              </w:rPr>
              <w:t xml:space="preserve"> </w:t>
            </w:r>
            <w:r>
              <w:rPr>
                <w:rFonts w:hint="eastAsia" w:ascii="宋体" w:hAnsi="宋体" w:cs="宋体"/>
                <w:szCs w:val="21"/>
                <w:u w:val="single"/>
                <w:lang w:val="en-US" w:eastAsia="zh-CN"/>
              </w:rPr>
              <w:t>淮北</w:t>
            </w:r>
            <w:r>
              <w:rPr>
                <w:rFonts w:ascii="宋体" w:hAnsi="宋体" w:cs="宋体"/>
                <w:szCs w:val="21"/>
                <w:u w:val="single"/>
              </w:rPr>
              <w:t xml:space="preserve"> </w:t>
            </w:r>
            <w:r>
              <w:rPr>
                <w:rFonts w:hint="eastAsia" w:ascii="宋体" w:hAnsi="宋体" w:cs="宋体"/>
                <w:szCs w:val="21"/>
              </w:rPr>
              <w:t>市</w:t>
            </w:r>
            <w:r>
              <w:rPr>
                <w:rFonts w:ascii="宋体" w:hAnsi="宋体" w:cs="宋体"/>
                <w:szCs w:val="21"/>
                <w:u w:val="single"/>
              </w:rPr>
              <w:t xml:space="preserve"> </w:t>
            </w:r>
            <w:r>
              <w:rPr>
                <w:rFonts w:hint="eastAsia" w:ascii="宋体" w:hAnsi="宋体" w:cs="宋体"/>
                <w:szCs w:val="21"/>
                <w:u w:val="single"/>
                <w:lang w:val="en-US" w:eastAsia="zh-CN"/>
              </w:rPr>
              <w:t>相山</w:t>
            </w:r>
            <w:r>
              <w:rPr>
                <w:rFonts w:ascii="宋体" w:hAnsi="宋体" w:cs="宋体"/>
                <w:szCs w:val="21"/>
                <w:u w:val="single"/>
              </w:rPr>
              <w:t xml:space="preserve"> </w:t>
            </w:r>
            <w:r>
              <w:rPr>
                <w:rFonts w:hint="eastAsia" w:ascii="宋体" w:hAnsi="宋体" w:cs="宋体"/>
                <w:szCs w:val="21"/>
                <w:u w:val="none"/>
                <w:lang w:val="en-US" w:eastAsia="zh-CN"/>
              </w:rPr>
              <w:t xml:space="preserve">区 </w:t>
            </w:r>
            <w:r>
              <w:rPr>
                <w:rFonts w:hint="eastAsia" w:ascii="宋体" w:hAnsi="宋体" w:cs="宋体"/>
                <w:szCs w:val="21"/>
                <w:u w:val="single"/>
                <w:lang w:val="en-US" w:eastAsia="zh-CN"/>
              </w:rPr>
              <w:t>经济开发区凤冠路20号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地理坐标</w:t>
            </w:r>
          </w:p>
        </w:tc>
        <w:tc>
          <w:tcPr>
            <w:tcW w:w="4288" w:type="pct"/>
            <w:gridSpan w:val="3"/>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szCs w:val="21"/>
              </w:rPr>
            </w:pPr>
            <w:r>
              <w:rPr>
                <w:rFonts w:hint="eastAsia" w:ascii="宋体" w:hAnsi="宋体" w:cs="宋体"/>
                <w:szCs w:val="21"/>
              </w:rPr>
              <w:t>（</w:t>
            </w:r>
            <w:r>
              <w:rPr>
                <w:rFonts w:ascii="宋体" w:hAnsi="宋体" w:cs="宋体"/>
                <w:szCs w:val="21"/>
                <w:u w:val="single"/>
              </w:rPr>
              <w:t xml:space="preserve"> </w:t>
            </w:r>
            <w:r>
              <w:rPr>
                <w:rFonts w:hint="eastAsia" w:ascii="宋体" w:hAnsi="宋体" w:cs="宋体"/>
                <w:szCs w:val="21"/>
                <w:u w:val="single"/>
                <w:lang w:val="en-US" w:eastAsia="zh-CN"/>
              </w:rPr>
              <w:t>116</w:t>
            </w:r>
            <w:r>
              <w:rPr>
                <w:rFonts w:ascii="宋体" w:hAnsi="宋体" w:cs="宋体"/>
                <w:szCs w:val="21"/>
                <w:u w:val="single"/>
              </w:rPr>
              <w:t xml:space="preserve"> </w:t>
            </w:r>
            <w:r>
              <w:rPr>
                <w:rFonts w:hint="eastAsia" w:ascii="宋体" w:hAnsi="宋体" w:cs="宋体"/>
                <w:szCs w:val="21"/>
              </w:rPr>
              <w:t>度</w:t>
            </w:r>
            <w:r>
              <w:rPr>
                <w:rFonts w:ascii="宋体" w:hAnsi="宋体" w:cs="宋体"/>
                <w:szCs w:val="21"/>
                <w:u w:val="single"/>
              </w:rPr>
              <w:t xml:space="preserve">  </w:t>
            </w:r>
            <w:r>
              <w:rPr>
                <w:rFonts w:hint="eastAsia" w:ascii="宋体" w:hAnsi="宋体" w:cs="宋体"/>
                <w:szCs w:val="21"/>
                <w:u w:val="single"/>
                <w:lang w:val="en-US" w:eastAsia="zh-CN"/>
              </w:rPr>
              <w:t>44</w:t>
            </w:r>
            <w:r>
              <w:rPr>
                <w:rFonts w:ascii="宋体" w:hAnsi="宋体" w:cs="宋体"/>
                <w:szCs w:val="21"/>
                <w:u w:val="single"/>
              </w:rPr>
              <w:t xml:space="preserve">  </w:t>
            </w:r>
            <w:r>
              <w:rPr>
                <w:rFonts w:hint="eastAsia" w:ascii="宋体" w:hAnsi="宋体" w:cs="宋体"/>
                <w:szCs w:val="21"/>
              </w:rPr>
              <w:t>分</w:t>
            </w:r>
            <w:r>
              <w:rPr>
                <w:rFonts w:ascii="宋体" w:hAnsi="宋体" w:cs="宋体"/>
                <w:szCs w:val="21"/>
                <w:u w:val="single"/>
              </w:rPr>
              <w:t xml:space="preserve">  </w:t>
            </w:r>
            <w:r>
              <w:rPr>
                <w:rFonts w:hint="eastAsia" w:ascii="宋体" w:hAnsi="宋体" w:cs="宋体"/>
                <w:szCs w:val="21"/>
                <w:u w:val="single"/>
                <w:lang w:val="en-US" w:eastAsia="zh-CN"/>
              </w:rPr>
              <w:t>34.339</w:t>
            </w:r>
            <w:r>
              <w:rPr>
                <w:rFonts w:ascii="宋体" w:hAnsi="宋体" w:cs="宋体"/>
                <w:szCs w:val="21"/>
                <w:u w:val="single"/>
              </w:rPr>
              <w:t xml:space="preserve">  </w:t>
            </w:r>
            <w:r>
              <w:rPr>
                <w:rFonts w:hint="eastAsia" w:ascii="宋体" w:hAnsi="宋体" w:cs="宋体"/>
                <w:szCs w:val="21"/>
              </w:rPr>
              <w:t>秒，</w:t>
            </w:r>
            <w:r>
              <w:rPr>
                <w:rFonts w:ascii="宋体" w:hAnsi="宋体" w:cs="宋体"/>
                <w:szCs w:val="21"/>
                <w:u w:val="single"/>
              </w:rPr>
              <w:t xml:space="preserve"> </w:t>
            </w:r>
            <w:r>
              <w:rPr>
                <w:rFonts w:hint="eastAsia" w:ascii="宋体" w:hAnsi="宋体" w:cs="宋体"/>
                <w:szCs w:val="21"/>
                <w:u w:val="single"/>
                <w:lang w:val="en-US" w:eastAsia="zh-CN"/>
              </w:rPr>
              <w:t>33</w:t>
            </w:r>
            <w:r>
              <w:rPr>
                <w:rFonts w:ascii="宋体" w:hAnsi="宋体" w:cs="宋体"/>
                <w:szCs w:val="21"/>
                <w:u w:val="single"/>
              </w:rPr>
              <w:t xml:space="preserve">  </w:t>
            </w:r>
            <w:r>
              <w:rPr>
                <w:rFonts w:hint="eastAsia" w:ascii="宋体" w:hAnsi="宋体" w:cs="宋体"/>
                <w:szCs w:val="21"/>
              </w:rPr>
              <w:t>度</w:t>
            </w:r>
            <w:r>
              <w:rPr>
                <w:rFonts w:ascii="宋体" w:hAnsi="宋体" w:cs="宋体"/>
                <w:szCs w:val="21"/>
                <w:u w:val="single"/>
              </w:rPr>
              <w:t xml:space="preserve">  </w:t>
            </w:r>
            <w:r>
              <w:rPr>
                <w:rFonts w:hint="eastAsia" w:ascii="宋体" w:hAnsi="宋体" w:cs="宋体"/>
                <w:szCs w:val="21"/>
                <w:u w:val="single"/>
                <w:lang w:val="en-US" w:eastAsia="zh-CN"/>
              </w:rPr>
              <w:t>59</w:t>
            </w:r>
            <w:r>
              <w:rPr>
                <w:rFonts w:ascii="宋体" w:hAnsi="宋体" w:cs="宋体"/>
                <w:szCs w:val="21"/>
                <w:u w:val="single"/>
              </w:rPr>
              <w:t xml:space="preserve">  </w:t>
            </w:r>
            <w:r>
              <w:rPr>
                <w:rFonts w:hint="eastAsia" w:ascii="宋体" w:hAnsi="宋体" w:cs="宋体"/>
                <w:szCs w:val="21"/>
              </w:rPr>
              <w:t>分</w:t>
            </w:r>
            <w:r>
              <w:rPr>
                <w:rFonts w:ascii="宋体" w:hAnsi="宋体" w:cs="宋体"/>
                <w:szCs w:val="21"/>
                <w:u w:val="single"/>
              </w:rPr>
              <w:t xml:space="preserve">  </w:t>
            </w:r>
            <w:r>
              <w:rPr>
                <w:rFonts w:hint="eastAsia" w:ascii="宋体" w:hAnsi="宋体" w:cs="宋体"/>
                <w:szCs w:val="21"/>
                <w:u w:val="single"/>
                <w:lang w:val="en-US" w:eastAsia="zh-CN"/>
              </w:rPr>
              <w:t>58.386</w:t>
            </w:r>
            <w:r>
              <w:rPr>
                <w:rFonts w:ascii="宋体" w:hAnsi="宋体" w:cs="宋体"/>
                <w:szCs w:val="21"/>
                <w:u w:val="single"/>
              </w:rPr>
              <w:t xml:space="preserve">  </w:t>
            </w:r>
            <w:r>
              <w:rPr>
                <w:rFonts w:hint="eastAsia" w:ascii="宋体" w:hAnsi="宋体" w:cs="宋体"/>
                <w:szCs w:val="21"/>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国民经济</w:t>
            </w:r>
          </w:p>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行业类别</w:t>
            </w:r>
          </w:p>
        </w:tc>
        <w:tc>
          <w:tcPr>
            <w:tcW w:w="1639"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rPr>
            </w:pPr>
            <w:r>
              <w:t>C1</w:t>
            </w:r>
            <w:r>
              <w:rPr>
                <w:rFonts w:hint="eastAsia"/>
                <w:lang w:val="en-US" w:eastAsia="zh-CN"/>
              </w:rPr>
              <w:t>522（瓶）罐装饮用水</w:t>
            </w:r>
            <w:r>
              <w:rPr>
                <w:rFonts w:hint="eastAsia"/>
              </w:rPr>
              <w:t>制造</w:t>
            </w:r>
          </w:p>
          <w:p>
            <w:pPr>
              <w:keepNext w:val="0"/>
              <w:keepLines w:val="0"/>
              <w:pageBreakBefore w:val="0"/>
              <w:widowControl w:val="0"/>
              <w:kinsoku/>
              <w:wordWrap/>
              <w:overflowPunct/>
              <w:topLinePunct w:val="0"/>
              <w:bidi w:val="0"/>
              <w:adjustRightInd w:val="0"/>
              <w:snapToGrid w:val="0"/>
              <w:ind w:right="0"/>
              <w:jc w:val="center"/>
              <w:textAlignment w:val="auto"/>
              <w:rPr>
                <w:rFonts w:hint="eastAsia"/>
              </w:rPr>
            </w:pPr>
            <w:r>
              <w:t>C</w:t>
            </w:r>
            <w:r>
              <w:rPr>
                <w:rFonts w:hint="eastAsia"/>
                <w:lang w:val="en-US" w:eastAsia="zh-CN"/>
              </w:rPr>
              <w:t>2926塑料包装箱及容器制造</w:t>
            </w:r>
          </w:p>
        </w:tc>
        <w:tc>
          <w:tcPr>
            <w:tcW w:w="1114"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bookmarkStart w:id="0" w:name="_Hlk49843745"/>
            <w:r>
              <w:rPr>
                <w:rFonts w:hint="eastAsia" w:ascii="宋体" w:hAnsi="宋体" w:cs="宋体"/>
                <w:b/>
                <w:szCs w:val="21"/>
              </w:rPr>
              <w:t>建设项目</w:t>
            </w:r>
          </w:p>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szCs w:val="21"/>
              </w:rPr>
            </w:pPr>
            <w:r>
              <w:rPr>
                <w:rFonts w:hint="eastAsia" w:ascii="宋体" w:hAnsi="宋体" w:cs="宋体"/>
                <w:b/>
                <w:szCs w:val="21"/>
              </w:rPr>
              <w:t>行业类别</w:t>
            </w:r>
            <w:bookmarkEnd w:id="0"/>
          </w:p>
        </w:tc>
        <w:tc>
          <w:tcPr>
            <w:tcW w:w="1535" w:type="pct"/>
            <w:noWrap w:val="0"/>
            <w:vAlign w:val="center"/>
          </w:tcPr>
          <w:p>
            <w:pPr>
              <w:keepNext w:val="0"/>
              <w:keepLines w:val="0"/>
              <w:pageBreakBefore w:val="0"/>
              <w:widowControl w:val="0"/>
              <w:numPr>
                <w:ilvl w:val="0"/>
                <w:numId w:val="0"/>
              </w:numPr>
              <w:kinsoku/>
              <w:wordWrap/>
              <w:overflowPunct/>
              <w:topLinePunct w:val="0"/>
              <w:bidi w:val="0"/>
              <w:adjustRightInd w:val="0"/>
              <w:snapToGrid w:val="0"/>
              <w:ind w:right="0" w:rightChars="0"/>
              <w:jc w:val="both"/>
              <w:textAlignment w:val="auto"/>
              <w:rPr>
                <w:rFonts w:hint="eastAsia"/>
                <w:color w:val="000000"/>
                <w:lang w:val="en-US" w:eastAsia="zh-CN"/>
              </w:rPr>
            </w:pPr>
            <w:r>
              <w:rPr>
                <w:rFonts w:hint="eastAsia" w:ascii="Times New Roman" w:hAnsi="Times New Roman" w:eastAsia="宋体" w:cs="Times New Roman"/>
                <w:color w:val="000000"/>
                <w:kern w:val="2"/>
                <w:sz w:val="24"/>
                <w:szCs w:val="24"/>
                <w:lang w:val="en-US" w:eastAsia="zh-CN" w:bidi="ar-SA"/>
              </w:rPr>
              <w:t>十二、</w:t>
            </w:r>
            <w:r>
              <w:rPr>
                <w:rFonts w:hint="eastAsia"/>
                <w:color w:val="000000"/>
                <w:lang w:val="en-US" w:eastAsia="zh-CN"/>
              </w:rPr>
              <w:t>酒、饮料</w:t>
            </w:r>
            <w:r>
              <w:rPr>
                <w:color w:val="000000"/>
              </w:rPr>
              <w:t>制造业1</w:t>
            </w:r>
            <w:r>
              <w:rPr>
                <w:rFonts w:hint="eastAsia"/>
                <w:color w:val="000000"/>
                <w:lang w:val="en-US" w:eastAsia="zh-CN"/>
              </w:rPr>
              <w:t>5</w:t>
            </w:r>
            <w:r>
              <w:rPr>
                <w:color w:val="000000"/>
              </w:rPr>
              <w:t>——2</w:t>
            </w:r>
            <w:r>
              <w:rPr>
                <w:rFonts w:hint="eastAsia"/>
                <w:color w:val="000000"/>
                <w:lang w:val="en-US" w:eastAsia="zh-CN"/>
              </w:rPr>
              <w:t>6</w:t>
            </w:r>
            <w:r>
              <w:rPr>
                <w:color w:val="000000"/>
              </w:rPr>
              <w:t>.</w:t>
            </w:r>
            <w:r>
              <w:rPr>
                <w:rFonts w:hint="eastAsia"/>
                <w:color w:val="000000"/>
                <w:lang w:val="en-US" w:eastAsia="zh-CN"/>
              </w:rPr>
              <w:t>饮料</w:t>
            </w:r>
            <w:r>
              <w:rPr>
                <w:color w:val="000000"/>
              </w:rPr>
              <w:t>制造1</w:t>
            </w:r>
            <w:r>
              <w:rPr>
                <w:rFonts w:hint="eastAsia"/>
                <w:color w:val="000000"/>
                <w:lang w:val="en-US" w:eastAsia="zh-CN"/>
              </w:rPr>
              <w:t>52</w:t>
            </w:r>
            <w:r>
              <w:rPr>
                <w:color w:val="000000"/>
              </w:rPr>
              <w:t>*——</w:t>
            </w:r>
            <w:r>
              <w:rPr>
                <w:rFonts w:hint="eastAsia"/>
                <w:color w:val="000000"/>
                <w:lang w:val="en-US" w:eastAsia="zh-CN"/>
              </w:rPr>
              <w:t>/</w:t>
            </w:r>
          </w:p>
          <w:p>
            <w:pPr>
              <w:keepNext w:val="0"/>
              <w:keepLines w:val="0"/>
              <w:pageBreakBefore w:val="0"/>
              <w:widowControl w:val="0"/>
              <w:numPr>
                <w:ilvl w:val="0"/>
                <w:numId w:val="0"/>
              </w:numPr>
              <w:kinsoku/>
              <w:wordWrap/>
              <w:overflowPunct/>
              <w:topLinePunct w:val="0"/>
              <w:bidi w:val="0"/>
              <w:adjustRightInd w:val="0"/>
              <w:snapToGrid w:val="0"/>
              <w:ind w:right="0" w:rightChars="0"/>
              <w:jc w:val="both"/>
              <w:textAlignment w:val="auto"/>
              <w:rPr>
                <w:rFonts w:hint="default" w:eastAsia="宋体"/>
                <w:color w:val="000000"/>
                <w:lang w:val="en-US" w:eastAsia="zh-CN"/>
              </w:rPr>
            </w:pPr>
            <w:r>
              <w:rPr>
                <w:rFonts w:hint="eastAsia"/>
                <w:color w:val="000000"/>
                <w:lang w:val="en-US" w:eastAsia="zh-CN"/>
              </w:rPr>
              <w:t>二十六、橡胶和塑料制品业29</w:t>
            </w:r>
            <w:r>
              <w:rPr>
                <w:color w:val="000000"/>
              </w:rPr>
              <w:t>——</w:t>
            </w:r>
            <w:r>
              <w:rPr>
                <w:rFonts w:hint="eastAsia"/>
                <w:color w:val="000000"/>
                <w:lang w:val="en-US" w:eastAsia="zh-CN"/>
              </w:rPr>
              <w:t>53.塑料制品业292</w:t>
            </w:r>
            <w:r>
              <w:rPr>
                <w:color w:val="000000"/>
              </w:rPr>
              <w:t>——</w:t>
            </w:r>
            <w:r>
              <w:rPr>
                <w:rFonts w:hint="eastAsia"/>
                <w:color w:val="000000"/>
              </w:rPr>
              <w:t>其他(年用非溶剂型低VOCs含量涂料10吨以下的除外)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建设性质</w:t>
            </w:r>
          </w:p>
        </w:tc>
        <w:tc>
          <w:tcPr>
            <w:tcW w:w="1639" w:type="pct"/>
            <w:noWrap w:val="0"/>
            <w:vAlign w:val="center"/>
          </w:tcPr>
          <w:p>
            <w:pPr>
              <w:keepNext w:val="0"/>
              <w:keepLines w:val="0"/>
              <w:pageBreakBefore w:val="0"/>
              <w:widowControl w:val="0"/>
              <w:kinsoku/>
              <w:wordWrap/>
              <w:overflowPunct/>
              <w:topLinePunct w:val="0"/>
              <w:bidi w:val="0"/>
              <w:adjustRightInd w:val="0"/>
              <w:snapToGrid w:val="0"/>
              <w:ind w:right="0"/>
              <w:jc w:val="left"/>
              <w:textAlignment w:val="auto"/>
              <w:rPr>
                <w:rFonts w:ascii="宋体" w:hAnsi="宋体" w:cs="宋体"/>
                <w:szCs w:val="21"/>
              </w:rPr>
            </w:pPr>
            <w:r>
              <w:rPr>
                <w:rFonts w:hint="eastAsia" w:ascii="宋体" w:hAnsi="宋体" w:cs="宋体"/>
                <w:szCs w:val="21"/>
                <w:lang w:eastAsia="zh-CN"/>
              </w:rPr>
              <w:t>□</w:t>
            </w:r>
            <w:r>
              <w:rPr>
                <w:rFonts w:hint="eastAsia" w:ascii="宋体" w:hAnsi="宋体" w:cs="宋体"/>
                <w:szCs w:val="21"/>
              </w:rPr>
              <w:t>新建（迁建）</w:t>
            </w:r>
          </w:p>
          <w:p>
            <w:pPr>
              <w:keepNext w:val="0"/>
              <w:keepLines w:val="0"/>
              <w:pageBreakBefore w:val="0"/>
              <w:widowControl w:val="0"/>
              <w:kinsoku/>
              <w:wordWrap/>
              <w:overflowPunct/>
              <w:topLinePunct w:val="0"/>
              <w:bidi w:val="0"/>
              <w:adjustRightInd w:val="0"/>
              <w:snapToGrid w:val="0"/>
              <w:ind w:right="0"/>
              <w:jc w:val="left"/>
              <w:textAlignment w:val="auto"/>
              <w:rPr>
                <w:rFonts w:hint="eastAsia" w:ascii="宋体" w:hAnsi="宋体" w:cs="宋体"/>
                <w:szCs w:val="21"/>
              </w:rPr>
            </w:pPr>
            <w:r>
              <w:rPr>
                <w:rFonts w:hint="eastAsia" w:ascii="宋体" w:hAnsi="宋体" w:cs="宋体"/>
                <w:szCs w:val="21"/>
              </w:rPr>
              <w:t>□改建</w:t>
            </w:r>
          </w:p>
          <w:p>
            <w:pPr>
              <w:keepNext w:val="0"/>
              <w:keepLines w:val="0"/>
              <w:pageBreakBefore w:val="0"/>
              <w:widowControl w:val="0"/>
              <w:kinsoku/>
              <w:wordWrap/>
              <w:overflowPunct/>
              <w:topLinePunct w:val="0"/>
              <w:bidi w:val="0"/>
              <w:adjustRightInd w:val="0"/>
              <w:snapToGrid w:val="0"/>
              <w:ind w:right="0"/>
              <w:jc w:val="left"/>
              <w:textAlignment w:val="auto"/>
              <w:rPr>
                <w:rFonts w:hint="eastAsia" w:ascii="宋体" w:hAnsi="宋体" w:cs="宋体"/>
                <w:szCs w:val="21"/>
              </w:rPr>
            </w:pPr>
            <w:r>
              <w:rPr>
                <w:rFonts w:hint="eastAsia" w:ascii="宋体" w:hAnsi="宋体" w:cs="宋体"/>
                <w:szCs w:val="21"/>
              </w:rPr>
              <w:t>□扩建</w:t>
            </w:r>
          </w:p>
          <w:p>
            <w:pPr>
              <w:keepNext w:val="0"/>
              <w:keepLines w:val="0"/>
              <w:pageBreakBefore w:val="0"/>
              <w:widowControl w:val="0"/>
              <w:kinsoku/>
              <w:wordWrap/>
              <w:overflowPunct/>
              <w:topLinePunct w:val="0"/>
              <w:bidi w:val="0"/>
              <w:adjustRightInd w:val="0"/>
              <w:snapToGrid w:val="0"/>
              <w:ind w:right="0"/>
              <w:jc w:val="left"/>
              <w:textAlignment w:val="auto"/>
              <w:rPr>
                <w:rFonts w:ascii="宋体" w:hAnsi="宋体" w:cs="宋体"/>
                <w:szCs w:val="21"/>
              </w:rPr>
            </w:pPr>
            <w:r>
              <w:rPr>
                <w:rFonts w:hint="eastAsia" w:ascii="宋体" w:hAnsi="宋体" w:cs="宋体"/>
                <w:szCs w:val="21"/>
                <w:lang w:eastAsia="zh-CN"/>
              </w:rPr>
              <w:t>☑</w:t>
            </w:r>
            <w:r>
              <w:rPr>
                <w:rFonts w:hint="eastAsia" w:ascii="宋体" w:hAnsi="宋体" w:cs="宋体"/>
                <w:szCs w:val="21"/>
              </w:rPr>
              <w:t>技术改造</w:t>
            </w:r>
          </w:p>
        </w:tc>
        <w:tc>
          <w:tcPr>
            <w:tcW w:w="1114"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建设项目</w:t>
            </w:r>
          </w:p>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szCs w:val="21"/>
              </w:rPr>
            </w:pPr>
            <w:r>
              <w:rPr>
                <w:rFonts w:hint="eastAsia" w:ascii="宋体" w:hAnsi="宋体" w:cs="宋体"/>
                <w:b/>
                <w:szCs w:val="21"/>
              </w:rPr>
              <w:t>申报情形</w:t>
            </w:r>
          </w:p>
        </w:tc>
        <w:tc>
          <w:tcPr>
            <w:tcW w:w="1535" w:type="pct"/>
            <w:noWrap w:val="0"/>
            <w:vAlign w:val="center"/>
          </w:tcPr>
          <w:p>
            <w:pPr>
              <w:keepNext w:val="0"/>
              <w:keepLines w:val="0"/>
              <w:pageBreakBefore w:val="0"/>
              <w:widowControl w:val="0"/>
              <w:kinsoku/>
              <w:wordWrap/>
              <w:overflowPunct/>
              <w:topLinePunct w:val="0"/>
              <w:bidi w:val="0"/>
              <w:adjustRightInd w:val="0"/>
              <w:snapToGrid w:val="0"/>
              <w:ind w:right="0"/>
              <w:jc w:val="left"/>
              <w:textAlignment w:val="auto"/>
              <w:rPr>
                <w:rFonts w:ascii="宋体" w:hAnsi="宋体" w:cs="宋体"/>
                <w:szCs w:val="21"/>
              </w:rPr>
            </w:pPr>
            <w:r>
              <w:rPr>
                <w:rFonts w:hint="eastAsia" w:ascii="宋体" w:hAnsi="宋体" w:cs="宋体"/>
                <w:szCs w:val="21"/>
                <w:lang w:eastAsia="zh-CN"/>
              </w:rPr>
              <w:t>☑</w:t>
            </w:r>
            <w:r>
              <w:rPr>
                <w:rFonts w:hint="eastAsia" w:ascii="宋体" w:hAnsi="宋体" w:cs="宋体"/>
                <w:szCs w:val="21"/>
              </w:rPr>
              <w:t>首次申报项目</w:t>
            </w:r>
            <w:r>
              <w:rPr>
                <w:rFonts w:ascii="宋体" w:hAnsi="宋体" w:cs="宋体"/>
                <w:szCs w:val="21"/>
              </w:rPr>
              <w:t xml:space="preserve">             </w:t>
            </w:r>
          </w:p>
          <w:p>
            <w:pPr>
              <w:keepNext w:val="0"/>
              <w:keepLines w:val="0"/>
              <w:pageBreakBefore w:val="0"/>
              <w:widowControl w:val="0"/>
              <w:kinsoku/>
              <w:wordWrap/>
              <w:overflowPunct/>
              <w:topLinePunct w:val="0"/>
              <w:bidi w:val="0"/>
              <w:adjustRightInd w:val="0"/>
              <w:snapToGrid w:val="0"/>
              <w:ind w:right="0"/>
              <w:jc w:val="left"/>
              <w:textAlignment w:val="auto"/>
              <w:rPr>
                <w:rFonts w:ascii="宋体" w:hAnsi="宋体" w:cs="宋体"/>
                <w:szCs w:val="21"/>
              </w:rPr>
            </w:pPr>
            <w:r>
              <w:rPr>
                <w:rFonts w:hint="eastAsia" w:ascii="宋体" w:hAnsi="宋体" w:cs="宋体"/>
                <w:szCs w:val="21"/>
              </w:rPr>
              <w:t>□不予批准后再次申报项目</w:t>
            </w:r>
          </w:p>
          <w:p>
            <w:pPr>
              <w:keepNext w:val="0"/>
              <w:keepLines w:val="0"/>
              <w:pageBreakBefore w:val="0"/>
              <w:widowControl w:val="0"/>
              <w:kinsoku/>
              <w:wordWrap/>
              <w:overflowPunct/>
              <w:topLinePunct w:val="0"/>
              <w:bidi w:val="0"/>
              <w:adjustRightInd w:val="0"/>
              <w:snapToGrid w:val="0"/>
              <w:ind w:right="0"/>
              <w:jc w:val="left"/>
              <w:textAlignment w:val="auto"/>
              <w:rPr>
                <w:rFonts w:ascii="宋体" w:hAnsi="宋体" w:cs="宋体"/>
                <w:szCs w:val="21"/>
              </w:rPr>
            </w:pPr>
            <w:r>
              <w:rPr>
                <w:rFonts w:hint="eastAsia" w:ascii="宋体" w:hAnsi="宋体" w:cs="宋体"/>
                <w:szCs w:val="21"/>
                <w:lang w:eastAsia="zh-CN"/>
              </w:rPr>
              <w:t>□</w:t>
            </w:r>
            <w:r>
              <w:rPr>
                <w:rFonts w:hint="eastAsia" w:ascii="宋体" w:hAnsi="宋体" w:cs="宋体"/>
                <w:szCs w:val="21"/>
              </w:rPr>
              <w:t>超五年重新审核项目</w:t>
            </w:r>
            <w:r>
              <w:rPr>
                <w:rFonts w:ascii="宋体" w:hAnsi="宋体" w:cs="宋体"/>
                <w:szCs w:val="21"/>
              </w:rPr>
              <w:t xml:space="preserve">     </w:t>
            </w:r>
          </w:p>
          <w:p>
            <w:pPr>
              <w:keepNext w:val="0"/>
              <w:keepLines w:val="0"/>
              <w:pageBreakBefore w:val="0"/>
              <w:widowControl w:val="0"/>
              <w:kinsoku/>
              <w:wordWrap/>
              <w:overflowPunct/>
              <w:topLinePunct w:val="0"/>
              <w:bidi w:val="0"/>
              <w:adjustRightInd w:val="0"/>
              <w:snapToGrid w:val="0"/>
              <w:ind w:right="0"/>
              <w:jc w:val="left"/>
              <w:textAlignment w:val="auto"/>
              <w:rPr>
                <w:rFonts w:ascii="宋体" w:hAnsi="宋体" w:cs="宋体"/>
                <w:szCs w:val="21"/>
              </w:rPr>
            </w:pPr>
            <w:r>
              <w:rPr>
                <w:rFonts w:hint="eastAsia" w:ascii="宋体" w:hAnsi="宋体" w:cs="宋体"/>
                <w:szCs w:val="21"/>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项目审批</w:t>
            </w:r>
          </w:p>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（核准</w:t>
            </w:r>
            <w:r>
              <w:rPr>
                <w:rFonts w:ascii="宋体" w:hAnsi="宋体" w:cs="宋体"/>
                <w:b/>
                <w:szCs w:val="21"/>
              </w:rPr>
              <w:t>/</w:t>
            </w:r>
          </w:p>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备案）部门</w:t>
            </w:r>
          </w:p>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（选填）</w:t>
            </w:r>
          </w:p>
        </w:tc>
        <w:tc>
          <w:tcPr>
            <w:tcW w:w="1639"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color w:val="000000"/>
              </w:rPr>
            </w:pPr>
            <w:r>
              <w:rPr>
                <w:rFonts w:hint="eastAsia"/>
                <w:color w:val="000000"/>
              </w:rPr>
              <w:t>安徽</w:t>
            </w:r>
            <w:r>
              <w:rPr>
                <w:rFonts w:hint="eastAsia"/>
                <w:color w:val="000000"/>
                <w:lang w:val="en-US" w:eastAsia="zh-CN"/>
              </w:rPr>
              <w:t>淮</w:t>
            </w:r>
            <w:r>
              <w:rPr>
                <w:rFonts w:hint="eastAsia"/>
                <w:color w:val="000000"/>
              </w:rPr>
              <w:t>北相山经济</w:t>
            </w:r>
          </w:p>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szCs w:val="21"/>
              </w:rPr>
            </w:pPr>
            <w:r>
              <w:rPr>
                <w:rFonts w:hint="eastAsia"/>
                <w:color w:val="000000"/>
              </w:rPr>
              <w:t>开发区管理委员会</w:t>
            </w:r>
          </w:p>
        </w:tc>
        <w:tc>
          <w:tcPr>
            <w:tcW w:w="1114"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项目审批（核准</w:t>
            </w:r>
            <w:r>
              <w:rPr>
                <w:rFonts w:ascii="宋体" w:hAnsi="宋体" w:cs="宋体"/>
                <w:b/>
                <w:szCs w:val="21"/>
              </w:rPr>
              <w:t>/</w:t>
            </w:r>
          </w:p>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szCs w:val="21"/>
              </w:rPr>
            </w:pPr>
            <w:r>
              <w:rPr>
                <w:rFonts w:hint="eastAsia" w:ascii="宋体" w:hAnsi="宋体" w:cs="宋体"/>
                <w:b/>
                <w:szCs w:val="21"/>
              </w:rPr>
              <w:t>备案）文号（选填）</w:t>
            </w:r>
          </w:p>
        </w:tc>
        <w:tc>
          <w:tcPr>
            <w:tcW w:w="1535"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szCs w:val="21"/>
              </w:rPr>
            </w:pPr>
            <w:r>
              <w:rPr>
                <w:rFonts w:hint="default" w:ascii="Times New Roman" w:hAnsi="Times New Roman" w:cs="Times New Roman"/>
                <w:szCs w:val="21"/>
              </w:rPr>
              <w:t>经开区技改[2023]10号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总投资</w:t>
            </w:r>
          </w:p>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（万元）</w:t>
            </w:r>
          </w:p>
        </w:tc>
        <w:tc>
          <w:tcPr>
            <w:tcW w:w="1639"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7500</w:t>
            </w:r>
          </w:p>
        </w:tc>
        <w:tc>
          <w:tcPr>
            <w:tcW w:w="111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环保投资（万元）</w:t>
            </w:r>
          </w:p>
        </w:tc>
        <w:tc>
          <w:tcPr>
            <w:tcW w:w="1535"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环保投资</w:t>
            </w:r>
          </w:p>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占比（</w:t>
            </w:r>
            <w:r>
              <w:rPr>
                <w:rFonts w:ascii="宋体" w:hAnsi="宋体" w:cs="宋体"/>
                <w:b/>
                <w:szCs w:val="21"/>
              </w:rPr>
              <w:t>%</w:t>
            </w:r>
            <w:r>
              <w:rPr>
                <w:rFonts w:hint="eastAsia" w:ascii="宋体" w:hAnsi="宋体" w:cs="宋体"/>
                <w:b/>
                <w:szCs w:val="21"/>
              </w:rPr>
              <w:t>）</w:t>
            </w:r>
          </w:p>
        </w:tc>
        <w:tc>
          <w:tcPr>
            <w:tcW w:w="1639"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2.7</w:t>
            </w:r>
          </w:p>
        </w:tc>
        <w:tc>
          <w:tcPr>
            <w:tcW w:w="111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施工工期</w:t>
            </w:r>
          </w:p>
        </w:tc>
        <w:tc>
          <w:tcPr>
            <w:tcW w:w="1535"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6个月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11"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是否开工</w:t>
            </w:r>
          </w:p>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建设</w:t>
            </w:r>
          </w:p>
        </w:tc>
        <w:tc>
          <w:tcPr>
            <w:tcW w:w="1639" w:type="pct"/>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ascii="宋体" w:hAnsi="宋体" w:cs="宋体"/>
                <w:szCs w:val="21"/>
              </w:rPr>
            </w:pPr>
            <w:r>
              <w:rPr>
                <w:rFonts w:hint="eastAsia" w:ascii="宋体" w:hAnsi="宋体" w:cs="宋体"/>
                <w:szCs w:val="21"/>
              </w:rPr>
              <w:sym w:font="Wingdings 2" w:char="0052"/>
            </w:r>
            <w:r>
              <w:rPr>
                <w:rFonts w:hint="eastAsia" w:ascii="宋体" w:hAnsi="宋体" w:cs="宋体"/>
                <w:szCs w:val="21"/>
              </w:rPr>
              <w:t>否</w:t>
            </w:r>
          </w:p>
          <w:p>
            <w:pPr>
              <w:keepNext w:val="0"/>
              <w:keepLines w:val="0"/>
              <w:pageBreakBefore w:val="0"/>
              <w:widowControl w:val="0"/>
              <w:kinsoku/>
              <w:wordWrap/>
              <w:overflowPunct/>
              <w:topLinePunct w:val="0"/>
              <w:bidi w:val="0"/>
              <w:adjustRightInd w:val="0"/>
              <w:snapToGrid w:val="0"/>
              <w:ind w:right="0"/>
              <w:textAlignment w:val="auto"/>
              <w:rPr>
                <w:rFonts w:ascii="宋体" w:hAnsi="宋体" w:cs="宋体"/>
                <w:szCs w:val="21"/>
              </w:rPr>
            </w:pPr>
            <w:r>
              <w:rPr>
                <w:rFonts w:hint="eastAsia" w:ascii="宋体" w:hAnsi="宋体" w:cs="宋体"/>
                <w:szCs w:val="21"/>
              </w:rPr>
              <w:sym w:font="Wingdings 2" w:char="00A3"/>
            </w:r>
            <w:r>
              <w:rPr>
                <w:rFonts w:hint="eastAsia" w:ascii="宋体" w:hAnsi="宋体" w:cs="宋体"/>
                <w:szCs w:val="21"/>
              </w:rPr>
              <w:t>是：</w:t>
            </w:r>
            <w:r>
              <w:rPr>
                <w:rFonts w:hint="eastAsia" w:ascii="宋体" w:hAnsi="宋体" w:cs="宋体"/>
                <w:szCs w:val="21"/>
                <w:u w:val="single"/>
              </w:rPr>
              <w:t xml:space="preserve">             </w:t>
            </w:r>
          </w:p>
        </w:tc>
        <w:tc>
          <w:tcPr>
            <w:tcW w:w="1114"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pacing w:val="-6"/>
                <w:szCs w:val="21"/>
              </w:rPr>
            </w:pPr>
            <w:r>
              <w:rPr>
                <w:rFonts w:hint="eastAsia" w:ascii="宋体" w:hAnsi="宋体" w:cs="宋体"/>
                <w:b/>
                <w:spacing w:val="-6"/>
                <w:szCs w:val="21"/>
              </w:rPr>
              <w:t>用地（用海）</w:t>
            </w:r>
          </w:p>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szCs w:val="21"/>
              </w:rPr>
            </w:pPr>
            <w:r>
              <w:rPr>
                <w:rFonts w:hint="eastAsia" w:ascii="宋体" w:hAnsi="宋体" w:cs="宋体"/>
                <w:b/>
                <w:spacing w:val="-6"/>
                <w:szCs w:val="21"/>
              </w:rPr>
              <w:t>面积（</w:t>
            </w:r>
            <w:r>
              <w:rPr>
                <w:rFonts w:ascii="宋体" w:hAnsi="宋体" w:cs="宋体"/>
                <w:b/>
                <w:spacing w:val="-6"/>
                <w:szCs w:val="21"/>
              </w:rPr>
              <w:t>m</w:t>
            </w:r>
            <w:r>
              <w:rPr>
                <w:rFonts w:ascii="宋体" w:hAnsi="宋体" w:cs="宋体"/>
                <w:b/>
                <w:spacing w:val="-6"/>
                <w:szCs w:val="21"/>
                <w:vertAlign w:val="superscript"/>
              </w:rPr>
              <w:t>2</w:t>
            </w:r>
            <w:r>
              <w:rPr>
                <w:rFonts w:hint="eastAsia" w:ascii="宋体" w:hAnsi="宋体" w:cs="宋体"/>
                <w:b/>
                <w:spacing w:val="-6"/>
                <w:szCs w:val="21"/>
              </w:rPr>
              <w:t>）</w:t>
            </w:r>
          </w:p>
        </w:tc>
        <w:tc>
          <w:tcPr>
            <w:tcW w:w="1535"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default" w:ascii="宋体" w:hAnsi="宋体" w:eastAsia="宋体" w:cs="宋体"/>
                <w:szCs w:val="21"/>
                <w:lang w:val="en-US" w:eastAsia="zh-CN"/>
              </w:rPr>
            </w:pPr>
            <w:r>
              <w:rPr>
                <w:rFonts w:hint="eastAsia" w:ascii="宋体" w:hAnsi="宋体" w:cs="宋体"/>
                <w:szCs w:val="21"/>
                <w:lang w:val="en-US" w:eastAsia="zh-CN"/>
              </w:rPr>
              <w:t>63508.11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7" w:hRule="atLeast"/>
          <w:jc w:val="center"/>
        </w:trPr>
        <w:tc>
          <w:tcPr>
            <w:tcW w:w="711"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right="0"/>
              <w:jc w:val="center"/>
              <w:textAlignment w:val="auto"/>
              <w:rPr>
                <w:rFonts w:hint="eastAsia" w:ascii="宋体" w:hAnsi="宋体" w:cs="宋体"/>
                <w:b/>
                <w:kern w:val="0"/>
                <w:szCs w:val="21"/>
              </w:rPr>
            </w:pPr>
            <w:r>
              <w:rPr>
                <w:rFonts w:hint="eastAsia" w:ascii="宋体" w:hAnsi="宋体" w:cs="宋体"/>
                <w:b/>
                <w:kern w:val="0"/>
                <w:szCs w:val="21"/>
              </w:rPr>
              <w:t>专项评价</w:t>
            </w:r>
          </w:p>
          <w:p>
            <w:pPr>
              <w:keepNext w:val="0"/>
              <w:keepLines w:val="0"/>
              <w:pageBreakBefore w:val="0"/>
              <w:widowControl w:val="0"/>
              <w:kinsoku/>
              <w:wordWrap/>
              <w:overflowPunct/>
              <w:topLinePunct w:val="0"/>
              <w:autoSpaceDE w:val="0"/>
              <w:autoSpaceDN w:val="0"/>
              <w:bidi w:val="0"/>
              <w:adjustRightInd w:val="0"/>
              <w:snapToGrid w:val="0"/>
              <w:ind w:right="0"/>
              <w:jc w:val="center"/>
              <w:textAlignment w:val="auto"/>
              <w:rPr>
                <w:rFonts w:ascii="宋体" w:hAnsi="宋体" w:cs="宋体"/>
                <w:b/>
                <w:kern w:val="0"/>
                <w:szCs w:val="21"/>
              </w:rPr>
            </w:pPr>
            <w:r>
              <w:rPr>
                <w:rFonts w:hint="eastAsia" w:ascii="宋体" w:hAnsi="宋体" w:cs="宋体"/>
                <w:b/>
                <w:kern w:val="0"/>
                <w:szCs w:val="21"/>
              </w:rPr>
              <w:t>设置情况</w:t>
            </w:r>
          </w:p>
        </w:tc>
        <w:tc>
          <w:tcPr>
            <w:tcW w:w="4288" w:type="pct"/>
            <w:gridSpan w:val="3"/>
            <w:noWrap w:val="0"/>
            <w:vAlign w:val="center"/>
          </w:tcPr>
          <w:p>
            <w:pPr>
              <w:pStyle w:val="30"/>
              <w:keepNext w:val="0"/>
              <w:keepLines w:val="0"/>
              <w:pageBreakBefore w:val="0"/>
              <w:widowControl w:val="0"/>
              <w:kinsoku/>
              <w:wordWrap/>
              <w:overflowPunct/>
              <w:topLinePunct w:val="0"/>
              <w:bidi w:val="0"/>
              <w:adjustRightInd w:val="0"/>
              <w:snapToGrid w:val="0"/>
              <w:spacing w:line="360" w:lineRule="auto"/>
              <w:ind w:right="0" w:firstLine="476" w:firstLineChars="200"/>
              <w:textAlignment w:val="auto"/>
              <w:rPr>
                <w:lang w:eastAsia="zh-CN"/>
              </w:rPr>
            </w:pPr>
            <w:r>
              <w:rPr>
                <w:spacing w:val="-1"/>
                <w:lang w:eastAsia="zh-CN"/>
              </w:rPr>
              <w:t>大气、地表水、环境风险、生态和海洋专项</w:t>
            </w:r>
            <w:r>
              <w:rPr>
                <w:spacing w:val="-2"/>
                <w:lang w:eastAsia="zh-CN"/>
              </w:rPr>
              <w:t>评价具体设置原</w:t>
            </w:r>
            <w:r>
              <w:rPr>
                <w:spacing w:val="-3"/>
                <w:lang w:eastAsia="zh-CN"/>
              </w:rPr>
              <w:t>则见下表。</w:t>
            </w:r>
          </w:p>
          <w:p>
            <w:pPr>
              <w:keepNext w:val="0"/>
              <w:keepLines w:val="0"/>
              <w:pageBreakBefore w:val="0"/>
              <w:widowControl w:val="0"/>
              <w:kinsoku/>
              <w:wordWrap/>
              <w:overflowPunct/>
              <w:topLinePunct w:val="0"/>
              <w:autoSpaceDE w:val="0"/>
              <w:autoSpaceDN w:val="0"/>
              <w:bidi w:val="0"/>
              <w:adjustRightInd w:val="0"/>
              <w:snapToGrid w:val="0"/>
              <w:ind w:right="0"/>
              <w:jc w:val="center"/>
              <w:textAlignment w:val="auto"/>
              <w:rPr>
                <w:spacing w:val="-2"/>
              </w:rPr>
            </w:pPr>
            <w:r>
              <w:rPr>
                <w:b/>
                <w:bCs/>
                <w:spacing w:val="-2"/>
              </w:rPr>
              <w:t>表</w:t>
            </w:r>
            <w:r>
              <w:rPr>
                <w:b/>
                <w:bCs/>
                <w:spacing w:val="-30"/>
              </w:rPr>
              <w:t xml:space="preserve"> </w:t>
            </w:r>
            <w:r>
              <w:rPr>
                <w:b/>
                <w:bCs/>
                <w:spacing w:val="-2"/>
              </w:rPr>
              <w:t>1-1 专项评价设置原则表</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8"/>
              <w:gridCol w:w="4230"/>
              <w:gridCol w:w="1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pct"/>
                  <w:tcBorders>
                    <w:tl2br w:val="nil"/>
                    <w:tr2bl w:val="nil"/>
                  </w:tcBorders>
                  <w:noWrap w:val="0"/>
                  <w:vAlign w:val="center"/>
                </w:tcPr>
                <w:p>
                  <w:pPr>
                    <w:pStyle w:val="30"/>
                    <w:keepNext w:val="0"/>
                    <w:keepLines w:val="0"/>
                    <w:pageBreakBefore w:val="0"/>
                    <w:widowControl w:val="0"/>
                    <w:kinsoku/>
                    <w:wordWrap/>
                    <w:overflowPunct/>
                    <w:topLinePunct w:val="0"/>
                    <w:bidi w:val="0"/>
                    <w:adjustRightInd w:val="0"/>
                    <w:snapToGrid w:val="0"/>
                    <w:ind w:right="0"/>
                    <w:jc w:val="center"/>
                    <w:textAlignment w:val="auto"/>
                    <w:rPr>
                      <w:rFonts w:hint="eastAsia"/>
                      <w:b/>
                      <w:bCs/>
                      <w:spacing w:val="-2"/>
                      <w:sz w:val="21"/>
                      <w:szCs w:val="21"/>
                      <w:lang w:eastAsia="zh-CN"/>
                    </w:rPr>
                  </w:pPr>
                  <w:r>
                    <w:rPr>
                      <w:rFonts w:hint="eastAsia"/>
                      <w:b/>
                      <w:bCs/>
                      <w:spacing w:val="8"/>
                      <w:sz w:val="21"/>
                      <w:szCs w:val="21"/>
                    </w:rPr>
                    <w:t>专项评价的类别</w:t>
                  </w:r>
                </w:p>
              </w:tc>
              <w:tc>
                <w:tcPr>
                  <w:tcW w:w="2622" w:type="pct"/>
                  <w:tcBorders>
                    <w:tl2br w:val="nil"/>
                    <w:tr2bl w:val="nil"/>
                  </w:tcBorders>
                  <w:noWrap w:val="0"/>
                  <w:vAlign w:val="center"/>
                </w:tcPr>
                <w:p>
                  <w:pPr>
                    <w:pStyle w:val="30"/>
                    <w:keepNext w:val="0"/>
                    <w:keepLines w:val="0"/>
                    <w:pageBreakBefore w:val="0"/>
                    <w:widowControl w:val="0"/>
                    <w:kinsoku/>
                    <w:wordWrap/>
                    <w:overflowPunct/>
                    <w:topLinePunct w:val="0"/>
                    <w:bidi w:val="0"/>
                    <w:adjustRightInd w:val="0"/>
                    <w:snapToGrid w:val="0"/>
                    <w:ind w:right="0"/>
                    <w:jc w:val="center"/>
                    <w:textAlignment w:val="auto"/>
                    <w:rPr>
                      <w:rFonts w:hint="eastAsia"/>
                      <w:b/>
                      <w:bCs/>
                      <w:spacing w:val="-2"/>
                      <w:sz w:val="21"/>
                      <w:szCs w:val="21"/>
                      <w:lang w:eastAsia="zh-CN"/>
                    </w:rPr>
                  </w:pPr>
                  <w:r>
                    <w:rPr>
                      <w:rFonts w:hint="eastAsia"/>
                      <w:b/>
                      <w:bCs/>
                      <w:spacing w:val="6"/>
                      <w:sz w:val="21"/>
                      <w:szCs w:val="21"/>
                    </w:rPr>
                    <w:t>设置原则</w:t>
                  </w:r>
                </w:p>
              </w:tc>
              <w:tc>
                <w:tcPr>
                  <w:tcW w:w="1157" w:type="pct"/>
                  <w:tcBorders>
                    <w:tl2br w:val="nil"/>
                    <w:tr2bl w:val="nil"/>
                  </w:tcBorders>
                  <w:noWrap w:val="0"/>
                  <w:vAlign w:val="center"/>
                </w:tcPr>
                <w:p>
                  <w:pPr>
                    <w:pStyle w:val="30"/>
                    <w:keepNext w:val="0"/>
                    <w:keepLines w:val="0"/>
                    <w:pageBreakBefore w:val="0"/>
                    <w:widowControl w:val="0"/>
                    <w:kinsoku/>
                    <w:wordWrap/>
                    <w:overflowPunct/>
                    <w:topLinePunct w:val="0"/>
                    <w:bidi w:val="0"/>
                    <w:adjustRightInd w:val="0"/>
                    <w:snapToGrid w:val="0"/>
                    <w:ind w:right="0"/>
                    <w:jc w:val="center"/>
                    <w:textAlignment w:val="auto"/>
                    <w:rPr>
                      <w:rFonts w:hint="eastAsia"/>
                      <w:b/>
                      <w:bCs/>
                      <w:spacing w:val="8"/>
                      <w:sz w:val="21"/>
                      <w:szCs w:val="21"/>
                    </w:rPr>
                  </w:pPr>
                  <w:r>
                    <w:rPr>
                      <w:rFonts w:hint="eastAsia"/>
                      <w:b/>
                      <w:bCs/>
                      <w:spacing w:val="8"/>
                      <w:sz w:val="21"/>
                      <w:szCs w:val="21"/>
                    </w:rPr>
                    <w:t>本项目是否</w:t>
                  </w:r>
                </w:p>
                <w:p>
                  <w:pPr>
                    <w:pStyle w:val="30"/>
                    <w:keepNext w:val="0"/>
                    <w:keepLines w:val="0"/>
                    <w:pageBreakBefore w:val="0"/>
                    <w:widowControl w:val="0"/>
                    <w:kinsoku/>
                    <w:wordWrap/>
                    <w:overflowPunct/>
                    <w:topLinePunct w:val="0"/>
                    <w:bidi w:val="0"/>
                    <w:adjustRightInd w:val="0"/>
                    <w:snapToGrid w:val="0"/>
                    <w:ind w:right="0"/>
                    <w:jc w:val="center"/>
                    <w:textAlignment w:val="auto"/>
                    <w:rPr>
                      <w:rFonts w:hint="eastAsia"/>
                      <w:b/>
                      <w:bCs/>
                      <w:spacing w:val="-2"/>
                      <w:sz w:val="21"/>
                      <w:szCs w:val="21"/>
                      <w:lang w:eastAsia="zh-CN"/>
                    </w:rPr>
                  </w:pPr>
                  <w:r>
                    <w:rPr>
                      <w:rFonts w:hint="eastAsia"/>
                      <w:b/>
                      <w:bCs/>
                      <w:spacing w:val="8"/>
                      <w:sz w:val="21"/>
                      <w:szCs w:val="21"/>
                    </w:rPr>
                    <w:t>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p>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大气</w:t>
                  </w:r>
                </w:p>
              </w:tc>
              <w:tc>
                <w:tcPr>
                  <w:tcW w:w="2622" w:type="pct"/>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排放废气含有毒有害污染物1、二噁英、苯并[a]芘、氰化物、氯气且厂界外500米范围内有环境空气保护目标2的建设项目。</w:t>
                  </w:r>
                </w:p>
              </w:tc>
              <w:tc>
                <w:tcPr>
                  <w:tcW w:w="115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pacing w:val="-2"/>
                      <w:sz w:val="21"/>
                      <w:szCs w:val="21"/>
                      <w:lang w:eastAsia="zh-CN"/>
                    </w:rPr>
                  </w:pPr>
                  <w:r>
                    <w:rPr>
                      <w:rFonts w:hint="eastAsia"/>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地表水</w:t>
                  </w:r>
                </w:p>
              </w:tc>
              <w:tc>
                <w:tcPr>
                  <w:tcW w:w="2622" w:type="pct"/>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新增工业废水直排建设项目（槽罐车外送污水处理厂的除外）；新增废水直排的污水集中处理厂。</w:t>
                  </w:r>
                </w:p>
              </w:tc>
              <w:tc>
                <w:tcPr>
                  <w:tcW w:w="115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rPr>
                  </w:pPr>
                  <w:r>
                    <w:rPr>
                      <w:rFonts w:hint="eastAsia"/>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环境风险</w:t>
                  </w:r>
                </w:p>
              </w:tc>
              <w:tc>
                <w:tcPr>
                  <w:tcW w:w="2622" w:type="pct"/>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有毒有害和易燃易爆危险物质存储量超过临界量3的建设项目。</w:t>
                  </w:r>
                </w:p>
              </w:tc>
              <w:tc>
                <w:tcPr>
                  <w:tcW w:w="115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pacing w:val="-2"/>
                      <w:sz w:val="21"/>
                      <w:szCs w:val="21"/>
                      <w:lang w:eastAsia="zh-CN"/>
                    </w:rPr>
                  </w:pPr>
                  <w:r>
                    <w:rPr>
                      <w:rFonts w:hint="eastAsia"/>
                      <w:spacing w:val="-2"/>
                      <w:sz w:val="21"/>
                      <w:szCs w:val="21"/>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22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生态</w:t>
                  </w:r>
                </w:p>
              </w:tc>
              <w:tc>
                <w:tcPr>
                  <w:tcW w:w="2622" w:type="pct"/>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取水口下游500米范围内有重要水生生物的自然产卵场、索饵场、越冬场和洄游通道的新增河道取水的污染类建设项目。</w:t>
                  </w:r>
                </w:p>
              </w:tc>
              <w:tc>
                <w:tcPr>
                  <w:tcW w:w="115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pacing w:val="-2"/>
                      <w:sz w:val="21"/>
                      <w:szCs w:val="21"/>
                      <w:lang w:eastAsia="zh-CN"/>
                    </w:rPr>
                  </w:pPr>
                  <w:r>
                    <w:rPr>
                      <w:rFonts w:hint="eastAsia"/>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2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海洋</w:t>
                  </w:r>
                </w:p>
              </w:tc>
              <w:tc>
                <w:tcPr>
                  <w:tcW w:w="2622" w:type="pct"/>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直接向海排放污染物的海洋工程建设项目。</w:t>
                  </w:r>
                </w:p>
              </w:tc>
              <w:tc>
                <w:tcPr>
                  <w:tcW w:w="115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pacing w:val="-2"/>
                      <w:sz w:val="21"/>
                      <w:szCs w:val="21"/>
                      <w:lang w:eastAsia="zh-CN"/>
                    </w:rPr>
                  </w:pPr>
                  <w:r>
                    <w:rPr>
                      <w:rFonts w:hint="eastAsia"/>
                      <w:sz w:val="21"/>
                      <w:szCs w:val="21"/>
                      <w:lang w:eastAsia="zh-CN"/>
                    </w:rPr>
                    <w:t>否</w:t>
                  </w:r>
                </w:p>
              </w:tc>
            </w:tr>
          </w:tbl>
          <w:p>
            <w:pPr>
              <w:keepNext w:val="0"/>
              <w:keepLines w:val="0"/>
              <w:pageBreakBefore w:val="0"/>
              <w:widowControl w:val="0"/>
              <w:kinsoku/>
              <w:wordWrap/>
              <w:overflowPunct/>
              <w:topLinePunct w:val="0"/>
              <w:bidi w:val="0"/>
              <w:adjustRightInd w:val="0"/>
              <w:snapToGrid w:val="0"/>
              <w:ind w:right="0"/>
              <w:textAlignment w:val="auto"/>
              <w:rPr>
                <w:b/>
                <w:bCs/>
                <w:sz w:val="21"/>
                <w:szCs w:val="21"/>
              </w:rPr>
            </w:pPr>
            <w:r>
              <w:rPr>
                <w:b/>
                <w:bCs/>
                <w:sz w:val="21"/>
                <w:szCs w:val="21"/>
              </w:rPr>
              <w:t>注：1</w:t>
            </w:r>
            <w:r>
              <w:rPr>
                <w:rFonts w:hint="eastAsia"/>
                <w:b/>
                <w:bCs/>
                <w:sz w:val="21"/>
                <w:szCs w:val="21"/>
              </w:rPr>
              <w:t>、</w:t>
            </w:r>
            <w:r>
              <w:rPr>
                <w:b/>
                <w:bCs/>
                <w:sz w:val="21"/>
                <w:szCs w:val="21"/>
              </w:rPr>
              <w:t>废气中有毒有害污染物指纳入《有毒有害大气污染物名录》的污染物（不包括无排放标准的污染物）。</w:t>
            </w:r>
          </w:p>
          <w:p>
            <w:pPr>
              <w:keepNext w:val="0"/>
              <w:keepLines w:val="0"/>
              <w:pageBreakBefore w:val="0"/>
              <w:widowControl w:val="0"/>
              <w:kinsoku/>
              <w:wordWrap/>
              <w:overflowPunct/>
              <w:topLinePunct w:val="0"/>
              <w:bidi w:val="0"/>
              <w:adjustRightInd w:val="0"/>
              <w:snapToGrid w:val="0"/>
              <w:ind w:right="0"/>
              <w:textAlignment w:val="auto"/>
              <w:rPr>
                <w:b/>
                <w:bCs/>
                <w:sz w:val="21"/>
                <w:szCs w:val="21"/>
              </w:rPr>
            </w:pPr>
            <w:r>
              <w:rPr>
                <w:b/>
                <w:bCs/>
                <w:sz w:val="21"/>
                <w:szCs w:val="21"/>
              </w:rPr>
              <w:t>2</w:t>
            </w:r>
            <w:r>
              <w:rPr>
                <w:rFonts w:hint="eastAsia"/>
                <w:b/>
                <w:bCs/>
                <w:sz w:val="21"/>
                <w:szCs w:val="21"/>
              </w:rPr>
              <w:t>、</w:t>
            </w:r>
            <w:r>
              <w:rPr>
                <w:b/>
                <w:bCs/>
                <w:sz w:val="21"/>
                <w:szCs w:val="21"/>
              </w:rPr>
              <w:t>环境空气保护目标指自然保护区、风景名胜区、居住区、文化区和农村地区中人群较集中的区域。</w:t>
            </w:r>
          </w:p>
          <w:p>
            <w:pPr>
              <w:keepNext w:val="0"/>
              <w:keepLines w:val="0"/>
              <w:pageBreakBefore w:val="0"/>
              <w:widowControl w:val="0"/>
              <w:kinsoku/>
              <w:wordWrap/>
              <w:overflowPunct/>
              <w:topLinePunct w:val="0"/>
              <w:bidi w:val="0"/>
              <w:adjustRightInd w:val="0"/>
              <w:snapToGrid w:val="0"/>
              <w:ind w:right="0"/>
              <w:textAlignment w:val="auto"/>
              <w:rPr>
                <w:b/>
                <w:bCs/>
                <w:sz w:val="21"/>
                <w:szCs w:val="21"/>
              </w:rPr>
            </w:pPr>
            <w:r>
              <w:rPr>
                <w:b/>
                <w:bCs/>
                <w:sz w:val="21"/>
                <w:szCs w:val="21"/>
              </w:rPr>
              <w:t>3</w:t>
            </w:r>
            <w:r>
              <w:rPr>
                <w:rFonts w:hint="eastAsia"/>
                <w:b/>
                <w:bCs/>
                <w:sz w:val="21"/>
                <w:szCs w:val="21"/>
              </w:rPr>
              <w:t>、</w:t>
            </w:r>
            <w:r>
              <w:rPr>
                <w:b/>
                <w:bCs/>
                <w:sz w:val="21"/>
                <w:szCs w:val="21"/>
              </w:rPr>
              <w:t>临界量及其计算方法可参考《建设项目环境风险评价技术导则》（HJ 169）附录B、 附录C。</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both"/>
              <w:textAlignment w:val="auto"/>
              <w:rPr>
                <w:rFonts w:ascii="宋体" w:hAnsi="宋体" w:cs="宋体"/>
                <w:kern w:val="0"/>
                <w:szCs w:val="21"/>
              </w:rPr>
            </w:pPr>
            <w:r>
              <w:rPr>
                <w:szCs w:val="32"/>
              </w:rPr>
              <w:t>项目排放的废气不含有列入《有毒有害大气污染物名录》中的污染物及二噁英、苯并[a]芘、氰化物、氯气</w:t>
            </w:r>
            <w:r>
              <w:rPr>
                <w:rFonts w:hint="eastAsia"/>
                <w:szCs w:val="32"/>
              </w:rPr>
              <w:t>；</w:t>
            </w:r>
            <w:r>
              <w:rPr>
                <w:color w:val="auto"/>
                <w:szCs w:val="32"/>
              </w:rPr>
              <w:t>项目</w:t>
            </w:r>
            <w:r>
              <w:rPr>
                <w:rFonts w:hint="eastAsia"/>
                <w:color w:val="auto"/>
                <w:szCs w:val="32"/>
                <w:lang w:val="en-US" w:eastAsia="zh-CN"/>
              </w:rPr>
              <w:t>生产废水为较清洁水，同生活污水、食堂废水由厂区总排口进入市政污水管网，排入</w:t>
            </w:r>
            <w:r>
              <w:rPr>
                <w:rFonts w:hint="eastAsia"/>
                <w:color w:val="auto"/>
                <w:szCs w:val="32"/>
              </w:rPr>
              <w:t>园区</w:t>
            </w:r>
            <w:r>
              <w:rPr>
                <w:color w:val="auto"/>
                <w:szCs w:val="32"/>
              </w:rPr>
              <w:t>污水处理厂处理；项目取水口下游500米范围内没有重要水生生物的自然产卵场、索饵场、越</w:t>
            </w:r>
            <w:r>
              <w:rPr>
                <w:szCs w:val="32"/>
              </w:rPr>
              <w:t>冬场和洄游通道；项目不属于海洋工程建设项目</w:t>
            </w:r>
            <w:r>
              <w:rPr>
                <w:rFonts w:hint="eastAsia"/>
                <w:szCs w:val="32"/>
              </w:rPr>
              <w:t>；</w:t>
            </w:r>
            <w:r>
              <w:rPr>
                <w:color w:val="auto"/>
                <w:szCs w:val="32"/>
              </w:rPr>
              <w:t>本项目</w:t>
            </w:r>
            <w:r>
              <w:rPr>
                <w:rFonts w:hint="eastAsia"/>
                <w:color w:val="auto"/>
                <w:szCs w:val="32"/>
                <w:lang w:val="en-US" w:eastAsia="zh-CN"/>
              </w:rPr>
              <w:t>涉及有毒有害及易燃易爆物质为废矿物油，废矿物油储存量未超过临界量，</w:t>
            </w:r>
            <w:r>
              <w:rPr>
                <w:rFonts w:hint="eastAsia"/>
                <w:color w:val="auto"/>
                <w:szCs w:val="32"/>
              </w:rPr>
              <w:t>不</w:t>
            </w:r>
            <w:r>
              <w:rPr>
                <w:color w:val="auto"/>
                <w:szCs w:val="32"/>
              </w:rPr>
              <w:t>需</w:t>
            </w:r>
            <w:r>
              <w:rPr>
                <w:rFonts w:hint="eastAsia"/>
                <w:color w:val="auto"/>
                <w:szCs w:val="32"/>
                <w:lang w:val="en-US" w:eastAsia="zh-CN"/>
              </w:rPr>
              <w:t>要</w:t>
            </w:r>
            <w:r>
              <w:rPr>
                <w:color w:val="auto"/>
                <w:szCs w:val="32"/>
              </w:rPr>
              <w:t>设置环境风险评价专项</w:t>
            </w:r>
            <w:r>
              <w:rPr>
                <w:rFonts w:hint="eastAsia"/>
                <w:color w:val="auto"/>
                <w:szCs w:val="32"/>
                <w:lang w:eastAsia="zh-CN"/>
              </w:rPr>
              <w:t>，</w:t>
            </w:r>
            <w:r>
              <w:rPr>
                <w:rFonts w:hint="eastAsia"/>
                <w:color w:val="auto"/>
                <w:szCs w:val="32"/>
              </w:rPr>
              <w:t>故本项目不设置专章评价。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11"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right="0"/>
              <w:jc w:val="center"/>
              <w:textAlignment w:val="auto"/>
              <w:rPr>
                <w:rFonts w:hint="eastAsia" w:ascii="宋体" w:hAnsi="宋体" w:cs="宋体"/>
                <w:b/>
                <w:kern w:val="0"/>
                <w:szCs w:val="21"/>
              </w:rPr>
            </w:pPr>
            <w:r>
              <w:rPr>
                <w:rFonts w:hint="eastAsia" w:ascii="宋体" w:hAnsi="宋体" w:cs="宋体"/>
                <w:b/>
                <w:szCs w:val="21"/>
              </w:rPr>
              <w:t>规划情况</w:t>
            </w:r>
          </w:p>
        </w:tc>
        <w:tc>
          <w:tcPr>
            <w:tcW w:w="4288"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right="0"/>
              <w:textAlignment w:val="auto"/>
              <w:rPr>
                <w:rFonts w:hint="eastAsia"/>
                <w:color w:val="000000"/>
              </w:rPr>
            </w:pPr>
            <w:r>
              <w:rPr>
                <w:rFonts w:hint="eastAsia"/>
                <w:color w:val="000000"/>
              </w:rPr>
              <w:t>规划名称：《安徽淮北相山经济开发区产业发展规划》（2019-2030年）</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textAlignment w:val="auto"/>
              <w:rPr>
                <w:color w:val="000000"/>
              </w:rPr>
            </w:pPr>
            <w:r>
              <w:rPr>
                <w:rFonts w:hint="eastAsia"/>
                <w:color w:val="000000"/>
              </w:rPr>
              <w:t>规划审批机关：安徽省人民政府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textAlignment w:val="auto"/>
              <w:rPr>
                <w:rFonts w:hint="eastAsia"/>
                <w:color w:val="000000"/>
              </w:rPr>
            </w:pPr>
            <w:r>
              <w:rPr>
                <w:rFonts w:hint="eastAsia"/>
                <w:color w:val="000000"/>
              </w:rPr>
              <w:t>规划审批文件：《关于淮北市省级以上开发区优化整合方案的批复》</w:t>
            </w:r>
          </w:p>
          <w:p>
            <w:pPr>
              <w:keepNext w:val="0"/>
              <w:keepLines w:val="0"/>
              <w:pageBreakBefore w:val="0"/>
              <w:widowControl w:val="0"/>
              <w:kinsoku/>
              <w:wordWrap/>
              <w:overflowPunct/>
              <w:topLinePunct w:val="0"/>
              <w:autoSpaceDE w:val="0"/>
              <w:autoSpaceDN w:val="0"/>
              <w:bidi w:val="0"/>
              <w:adjustRightInd w:val="0"/>
              <w:snapToGrid w:val="0"/>
              <w:ind w:right="0"/>
              <w:textAlignment w:val="auto"/>
              <w:rPr>
                <w:rFonts w:ascii="宋体" w:hAnsi="宋体" w:cs="宋体"/>
                <w:kern w:val="0"/>
                <w:szCs w:val="21"/>
              </w:rPr>
            </w:pPr>
            <w:r>
              <w:rPr>
                <w:rFonts w:hint="eastAsia"/>
                <w:color w:val="000000"/>
              </w:rPr>
              <w:t>（皖政秘[2018]136号）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11" w:type="pct"/>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szCs w:val="21"/>
              </w:rPr>
            </w:pPr>
            <w:r>
              <w:rPr>
                <w:rFonts w:hint="eastAsia" w:ascii="宋体" w:hAnsi="宋体" w:cs="宋体"/>
                <w:b/>
                <w:szCs w:val="21"/>
              </w:rPr>
              <w:t>规划环境</w:t>
            </w:r>
          </w:p>
          <w:p>
            <w:pPr>
              <w:keepNext w:val="0"/>
              <w:keepLines w:val="0"/>
              <w:pageBreakBefore w:val="0"/>
              <w:widowControl w:val="0"/>
              <w:kinsoku/>
              <w:wordWrap/>
              <w:overflowPunct/>
              <w:topLinePunct w:val="0"/>
              <w:bidi w:val="0"/>
              <w:adjustRightInd w:val="0"/>
              <w:snapToGrid w:val="0"/>
              <w:ind w:right="0"/>
              <w:jc w:val="center"/>
              <w:textAlignment w:val="auto"/>
              <w:rPr>
                <w:rFonts w:ascii="宋体" w:hAnsi="宋体" w:cs="宋体"/>
                <w:b/>
                <w:szCs w:val="21"/>
              </w:rPr>
            </w:pPr>
            <w:r>
              <w:rPr>
                <w:rFonts w:hint="eastAsia" w:ascii="宋体" w:hAnsi="宋体" w:cs="宋体"/>
                <w:b/>
                <w:szCs w:val="21"/>
              </w:rPr>
              <w:t>影响</w:t>
            </w:r>
          </w:p>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kern w:val="0"/>
                <w:szCs w:val="21"/>
              </w:rPr>
            </w:pPr>
            <w:r>
              <w:rPr>
                <w:rFonts w:hint="eastAsia" w:ascii="宋体" w:hAnsi="宋体" w:cs="宋体"/>
                <w:b/>
                <w:szCs w:val="21"/>
              </w:rPr>
              <w:t>评价情况</w:t>
            </w:r>
          </w:p>
        </w:tc>
        <w:tc>
          <w:tcPr>
            <w:tcW w:w="4288" w:type="pct"/>
            <w:gridSpan w:val="3"/>
            <w:noWrap w:val="0"/>
            <w:vAlign w:val="center"/>
          </w:tcPr>
          <w:p>
            <w:pPr>
              <w:keepNext w:val="0"/>
              <w:keepLines w:val="0"/>
              <w:pageBreakBefore w:val="0"/>
              <w:widowControl w:val="0"/>
              <w:kinsoku/>
              <w:wordWrap/>
              <w:overflowPunct/>
              <w:topLinePunct w:val="0"/>
              <w:bidi w:val="0"/>
              <w:adjustRightInd w:val="0"/>
              <w:snapToGrid w:val="0"/>
              <w:spacing w:line="360" w:lineRule="auto"/>
              <w:ind w:right="0"/>
              <w:textAlignment w:val="auto"/>
              <w:rPr>
                <w:rFonts w:hint="eastAsia"/>
                <w:color w:val="000000"/>
                <w:kern w:val="0"/>
              </w:rPr>
            </w:pPr>
            <w:r>
              <w:rPr>
                <w:rFonts w:hint="eastAsia"/>
                <w:color w:val="000000"/>
                <w:kern w:val="0"/>
              </w:rPr>
              <w:t>规划环境影响评价文件名称：安徽</w:t>
            </w:r>
            <w:r>
              <w:rPr>
                <w:rFonts w:hint="eastAsia"/>
                <w:color w:val="000000"/>
                <w:kern w:val="0"/>
                <w:lang w:val="en-US" w:eastAsia="zh-CN"/>
              </w:rPr>
              <w:t>淮</w:t>
            </w:r>
            <w:r>
              <w:rPr>
                <w:rFonts w:hint="eastAsia"/>
                <w:color w:val="000000"/>
                <w:kern w:val="0"/>
              </w:rPr>
              <w:t>北相山经济开发区产业发展规划 （2019-2030）环境影响报告书</w:t>
            </w:r>
          </w:p>
          <w:p>
            <w:pPr>
              <w:keepNext w:val="0"/>
              <w:keepLines w:val="0"/>
              <w:pageBreakBefore w:val="0"/>
              <w:widowControl w:val="0"/>
              <w:kinsoku/>
              <w:wordWrap/>
              <w:overflowPunct/>
              <w:topLinePunct w:val="0"/>
              <w:bidi w:val="0"/>
              <w:adjustRightInd w:val="0"/>
              <w:snapToGrid w:val="0"/>
              <w:spacing w:line="360" w:lineRule="auto"/>
              <w:ind w:right="0"/>
              <w:textAlignment w:val="auto"/>
              <w:rPr>
                <w:rFonts w:hint="eastAsia"/>
                <w:color w:val="000000"/>
                <w:kern w:val="0"/>
              </w:rPr>
            </w:pPr>
            <w:r>
              <w:rPr>
                <w:rFonts w:hint="eastAsia"/>
                <w:color w:val="000000"/>
                <w:kern w:val="0"/>
              </w:rPr>
              <w:t>召集审查机关：安徽省生态环境厅</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textAlignment w:val="auto"/>
              <w:rPr>
                <w:rFonts w:ascii="宋体" w:hAnsi="宋体" w:cs="宋体"/>
                <w:kern w:val="0"/>
                <w:szCs w:val="21"/>
              </w:rPr>
            </w:pPr>
            <w:r>
              <w:rPr>
                <w:rFonts w:hint="eastAsia"/>
                <w:color w:val="000000"/>
                <w:kern w:val="0"/>
              </w:rPr>
              <w:t>审查文件名称及文号：安徽省生态环境厅关于印发《安徽</w:t>
            </w:r>
            <w:r>
              <w:rPr>
                <w:rFonts w:hint="eastAsia"/>
                <w:color w:val="000000"/>
                <w:kern w:val="0"/>
                <w:lang w:val="en-US" w:eastAsia="zh-CN"/>
              </w:rPr>
              <w:t>淮</w:t>
            </w:r>
            <w:r>
              <w:rPr>
                <w:rFonts w:hint="eastAsia"/>
                <w:color w:val="000000"/>
                <w:kern w:val="0"/>
              </w:rPr>
              <w:t>北相山经济开发区产业发展规划（2019-2030）环境影响报告书审查意见》的函，皖环函（2019）972号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11"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right="0"/>
              <w:jc w:val="center"/>
              <w:textAlignment w:val="auto"/>
              <w:rPr>
                <w:rFonts w:hint="eastAsia" w:ascii="宋体" w:hAnsi="宋体" w:cs="宋体"/>
                <w:b/>
                <w:kern w:val="0"/>
                <w:szCs w:val="21"/>
              </w:rPr>
            </w:pPr>
            <w:r>
              <w:rPr>
                <w:rFonts w:hint="eastAsia" w:ascii="宋体" w:hAnsi="宋体" w:cs="宋体"/>
                <w:b/>
                <w:kern w:val="0"/>
                <w:szCs w:val="21"/>
              </w:rPr>
              <w:t>规划及规划环境</w:t>
            </w:r>
          </w:p>
          <w:p>
            <w:pPr>
              <w:keepNext w:val="0"/>
              <w:keepLines w:val="0"/>
              <w:pageBreakBefore w:val="0"/>
              <w:widowControl w:val="0"/>
              <w:kinsoku/>
              <w:wordWrap/>
              <w:overflowPunct/>
              <w:topLinePunct w:val="0"/>
              <w:autoSpaceDE w:val="0"/>
              <w:autoSpaceDN w:val="0"/>
              <w:bidi w:val="0"/>
              <w:adjustRightInd w:val="0"/>
              <w:snapToGrid w:val="0"/>
              <w:ind w:right="0"/>
              <w:jc w:val="center"/>
              <w:textAlignment w:val="auto"/>
              <w:rPr>
                <w:rFonts w:ascii="宋体" w:hAnsi="宋体" w:cs="宋体"/>
                <w:b/>
                <w:kern w:val="0"/>
                <w:szCs w:val="21"/>
              </w:rPr>
            </w:pPr>
            <w:r>
              <w:rPr>
                <w:rFonts w:hint="eastAsia" w:ascii="宋体" w:hAnsi="宋体" w:cs="宋体"/>
                <w:b/>
                <w:kern w:val="0"/>
                <w:szCs w:val="21"/>
              </w:rPr>
              <w:t>影响评价符合性分析</w:t>
            </w:r>
          </w:p>
        </w:tc>
        <w:tc>
          <w:tcPr>
            <w:tcW w:w="428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b/>
                <w:bCs/>
              </w:rPr>
            </w:pPr>
            <w:r>
              <w:rPr>
                <w:rFonts w:hint="eastAsia"/>
                <w:b/>
                <w:bCs/>
              </w:rPr>
              <w:t>1、与《安徽淮北相山经济开发区产业发展规划》（2019-2030年）相符性分析</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rPr>
            </w:pPr>
            <w:r>
              <w:rPr>
                <w:rFonts w:hint="eastAsia"/>
              </w:rPr>
              <w:t>根据《安徽淮北相山经济开发区产业发展规划》（2019-2030年），安徽淮北相山经济开发区的规划范围为东至老202省道南至人民路，西至东流路、刘河路，北至风竹路、北环路，总体发展规划面积为15.3平方公里。</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rPr>
            </w:pPr>
            <w:r>
              <w:rPr>
                <w:rFonts w:hint="eastAsia"/>
              </w:rPr>
              <w:t>功能定位：以食品制造、信息产业为主，现代服务业聚集、宜业宜商宜居的产业主导型开发区。</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rPr>
            </w:pPr>
            <w:r>
              <w:rPr>
                <w:rFonts w:hint="eastAsia"/>
              </w:rPr>
              <w:t>规划目标：逐步培育壮大形成食品制造、信息产业等行业产业集群以及与之相配套的电子商务、高端彩印包装、物流仓储配送等产业，使相山经济开发区成为现代产业的聚集区、产城融合的示范区、集约绿色的创新区、生态宜居的新城区。</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240" w:firstLineChars="100"/>
              <w:textAlignment w:val="auto"/>
            </w:pPr>
            <w:r>
              <w:rPr>
                <w:rFonts w:hint="eastAsia"/>
              </w:rPr>
              <w:t>主导产业：以绿色食品、信息产业等为主导产业。本项目为</w:t>
            </w:r>
            <w:r>
              <w:rPr>
                <w:rFonts w:hint="eastAsia"/>
                <w:lang w:val="en-US" w:eastAsia="zh-CN"/>
              </w:rPr>
              <w:t>（瓶）罐装饮用水制造</w:t>
            </w:r>
            <w:r>
              <w:rPr>
                <w:rFonts w:hint="eastAsia"/>
              </w:rPr>
              <w:t>行业，位于淮北相山经济开发区凤</w:t>
            </w:r>
            <w:r>
              <w:rPr>
                <w:rFonts w:hint="eastAsia"/>
                <w:lang w:val="en-US" w:eastAsia="zh-CN"/>
              </w:rPr>
              <w:t>冠</w:t>
            </w:r>
            <w:r>
              <w:rPr>
                <w:rFonts w:hint="eastAsia"/>
              </w:rPr>
              <w:t>路2</w:t>
            </w:r>
            <w:r>
              <w:rPr>
                <w:rFonts w:hint="eastAsia"/>
                <w:lang w:val="en-US" w:eastAsia="zh-CN"/>
              </w:rPr>
              <w:t>0</w:t>
            </w:r>
            <w:r>
              <w:rPr>
                <w:rFonts w:hint="eastAsia"/>
              </w:rPr>
              <w:t>号，符合安徽淮北相山经济开发区规划目标要求。项目产业布局规划</w:t>
            </w:r>
            <w:r>
              <w:rPr>
                <w:rFonts w:hint="eastAsia"/>
                <w:color w:val="auto"/>
              </w:rPr>
              <w:t>详见附图6。</w:t>
            </w:r>
          </w:p>
          <w:p>
            <w:pPr>
              <w:keepNext w:val="0"/>
              <w:keepLines w:val="0"/>
              <w:pageBreakBefore w:val="0"/>
              <w:widowControl w:val="0"/>
              <w:kinsoku/>
              <w:wordWrap/>
              <w:overflowPunct/>
              <w:topLinePunct w:val="0"/>
              <w:bidi w:val="0"/>
              <w:adjustRightInd w:val="0"/>
              <w:snapToGrid w:val="0"/>
              <w:spacing w:line="360" w:lineRule="auto"/>
              <w:ind w:right="0"/>
              <w:textAlignment w:val="auto"/>
              <w:rPr>
                <w:rFonts w:hint="eastAsia"/>
                <w:b/>
                <w:bCs/>
              </w:rPr>
            </w:pPr>
            <w:r>
              <w:rPr>
                <w:rFonts w:hint="eastAsia"/>
                <w:b/>
                <w:bCs/>
              </w:rPr>
              <w:t>2 、规划环评符合性分析</w:t>
            </w:r>
          </w:p>
          <w:p>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pPr>
            <w:r>
              <w:t>根据《安徽省生态环境厅关于印发《安徽淮北相山经济开发区产业发展规划（2019-2030年）环境影响报告书审查意见》的函，皖环函[2019]972号，本项目与之相符性分析见下表。</w:t>
            </w:r>
          </w:p>
          <w:p>
            <w:pPr>
              <w:keepNext w:val="0"/>
              <w:keepLines w:val="0"/>
              <w:pageBreakBefore w:val="0"/>
              <w:widowControl w:val="0"/>
              <w:kinsoku/>
              <w:wordWrap/>
              <w:overflowPunct/>
              <w:topLinePunct w:val="0"/>
              <w:bidi w:val="0"/>
              <w:adjustRightInd w:val="0"/>
              <w:snapToGrid w:val="0"/>
              <w:ind w:right="0"/>
              <w:jc w:val="center"/>
              <w:textAlignment w:val="auto"/>
              <w:rPr>
                <w:b/>
                <w:bCs/>
                <w:spacing w:val="-2"/>
              </w:rPr>
            </w:pPr>
            <w:r>
              <w:rPr>
                <w:b/>
                <w:bCs/>
                <w:spacing w:val="-1"/>
              </w:rPr>
              <w:t>表</w:t>
            </w:r>
            <w:r>
              <w:rPr>
                <w:b/>
                <w:bCs/>
                <w:spacing w:val="-32"/>
              </w:rPr>
              <w:t xml:space="preserve"> </w:t>
            </w:r>
            <w:r>
              <w:rPr>
                <w:b/>
                <w:bCs/>
                <w:spacing w:val="-1"/>
              </w:rPr>
              <w:t>1-</w:t>
            </w:r>
            <w:r>
              <w:rPr>
                <w:rFonts w:hint="eastAsia"/>
                <w:b/>
                <w:bCs/>
                <w:spacing w:val="-1"/>
              </w:rPr>
              <w:t xml:space="preserve">2 </w:t>
            </w:r>
            <w:r>
              <w:rPr>
                <w:b/>
                <w:bCs/>
                <w:spacing w:val="-48"/>
              </w:rPr>
              <w:t xml:space="preserve"> </w:t>
            </w:r>
            <w:r>
              <w:rPr>
                <w:b/>
                <w:bCs/>
                <w:spacing w:val="-1"/>
              </w:rPr>
              <w:t>本项目与皖环函[2019]97</w:t>
            </w:r>
            <w:r>
              <w:rPr>
                <w:b/>
                <w:bCs/>
                <w:spacing w:val="-2"/>
              </w:rPr>
              <w:t>2</w:t>
            </w:r>
            <w:r>
              <w:rPr>
                <w:b/>
                <w:bCs/>
                <w:spacing w:val="-45"/>
              </w:rPr>
              <w:t xml:space="preserve"> </w:t>
            </w:r>
            <w:r>
              <w:rPr>
                <w:b/>
                <w:bCs/>
                <w:spacing w:val="-2"/>
              </w:rPr>
              <w:t>号相符性分析一览表</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3310"/>
              <w:gridCol w:w="3070"/>
              <w:gridCol w:w="8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序号</w:t>
                  </w:r>
                </w:p>
              </w:tc>
              <w:tc>
                <w:tcPr>
                  <w:tcW w:w="331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规划及审查意见要求</w:t>
                  </w:r>
                </w:p>
              </w:tc>
              <w:tc>
                <w:tcPr>
                  <w:tcW w:w="307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本项目情况</w:t>
                  </w:r>
                </w:p>
              </w:tc>
              <w:tc>
                <w:tcPr>
                  <w:tcW w:w="89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07" w:hRule="atLeast"/>
              </w:trPr>
              <w:tc>
                <w:tcPr>
                  <w:tcW w:w="6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1</w:t>
                  </w:r>
                </w:p>
              </w:tc>
              <w:tc>
                <w:tcPr>
                  <w:tcW w:w="331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sz w:val="21"/>
                      <w:szCs w:val="21"/>
                    </w:rPr>
                    <w:t>严格落实环境管理要求。《规划》应与城市总体规划、土地利用总体规划、淮河绿色生态经济带规划等相衔接，与安徽省污染防治攻坚战行动方案、安徽省</w:t>
                  </w:r>
                  <w:r>
                    <w:rPr>
                      <w:rFonts w:hint="eastAsia"/>
                      <w:sz w:val="21"/>
                      <w:szCs w:val="21"/>
                    </w:rPr>
                    <w:t>“</w:t>
                  </w:r>
                  <w:r>
                    <w:rPr>
                      <w:sz w:val="21"/>
                      <w:szCs w:val="21"/>
                    </w:rPr>
                    <w:t>三大一强</w:t>
                  </w:r>
                  <w:r>
                    <w:rPr>
                      <w:rFonts w:hint="eastAsia"/>
                      <w:sz w:val="21"/>
                      <w:szCs w:val="21"/>
                    </w:rPr>
                    <w:t>”</w:t>
                  </w:r>
                </w:p>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专项攻坚行动方案和</w:t>
                  </w:r>
                  <w:r>
                    <w:rPr>
                      <w:rFonts w:hint="eastAsia"/>
                      <w:sz w:val="21"/>
                      <w:szCs w:val="21"/>
                    </w:rPr>
                    <w:t>“</w:t>
                  </w:r>
                  <w:r>
                    <w:rPr>
                      <w:sz w:val="21"/>
                      <w:szCs w:val="21"/>
                    </w:rPr>
                    <w:t>三线一单</w:t>
                  </w:r>
                  <w:r>
                    <w:rPr>
                      <w:rFonts w:hint="eastAsia"/>
                      <w:sz w:val="21"/>
                      <w:szCs w:val="21"/>
                    </w:rPr>
                    <w:t>”</w:t>
                  </w:r>
                  <w:r>
                    <w:rPr>
                      <w:sz w:val="21"/>
                      <w:szCs w:val="21"/>
                    </w:rPr>
                    <w:t>等相符合。</w:t>
                  </w:r>
                </w:p>
              </w:tc>
              <w:tc>
                <w:tcPr>
                  <w:tcW w:w="307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rFonts w:hint="eastAsia" w:eastAsia="宋体"/>
                      <w:sz w:val="21"/>
                      <w:szCs w:val="21"/>
                    </w:rPr>
                    <w:t>本项目位于安徽淮北相山经济开发区凤</w:t>
                  </w:r>
                  <w:r>
                    <w:rPr>
                      <w:rFonts w:hint="eastAsia" w:eastAsia="宋体"/>
                      <w:sz w:val="21"/>
                      <w:szCs w:val="21"/>
                      <w:lang w:val="en-US" w:eastAsia="zh-CN"/>
                    </w:rPr>
                    <w:t>冠</w:t>
                  </w:r>
                  <w:r>
                    <w:rPr>
                      <w:rFonts w:hint="eastAsia" w:eastAsia="宋体"/>
                      <w:sz w:val="21"/>
                      <w:szCs w:val="21"/>
                    </w:rPr>
                    <w:t>路2</w:t>
                  </w:r>
                  <w:r>
                    <w:rPr>
                      <w:rFonts w:hint="eastAsia" w:eastAsia="宋体"/>
                      <w:sz w:val="21"/>
                      <w:szCs w:val="21"/>
                      <w:lang w:val="en-US" w:eastAsia="zh-CN"/>
                    </w:rPr>
                    <w:t>0</w:t>
                  </w:r>
                  <w:r>
                    <w:rPr>
                      <w:rFonts w:hint="eastAsia" w:eastAsia="宋体"/>
                      <w:sz w:val="21"/>
                      <w:szCs w:val="21"/>
                    </w:rPr>
                    <w:t>号，属于</w:t>
                  </w:r>
                  <w:r>
                    <w:rPr>
                      <w:rFonts w:hint="eastAsia" w:eastAsia="宋体"/>
                      <w:sz w:val="21"/>
                      <w:szCs w:val="21"/>
                      <w:lang w:val="en-US" w:eastAsia="zh-CN"/>
                    </w:rPr>
                    <w:t>（瓶）罐装饮用水制造</w:t>
                  </w:r>
                  <w:r>
                    <w:rPr>
                      <w:rFonts w:hint="eastAsia" w:eastAsia="宋体"/>
                      <w:sz w:val="21"/>
                      <w:szCs w:val="21"/>
                    </w:rPr>
                    <w:t>行业，符合《安徽淮北相山经济开发区产业发展规划》（2019-2030年），与《安徽省贯彻落实淮河生态经济带发展规划实施方案》重</w:t>
                  </w:r>
                  <w:r>
                    <w:rPr>
                      <w:sz w:val="21"/>
                      <w:szCs w:val="21"/>
                    </w:rPr>
                    <w:t>点培育发展新一代信息技术、人工智能、新能源和智能网联汽车、智能制造、现代家电、新材料、节能环保、生命健康、绿色食品、文化旅游等十大新兴产业，大力培育未来产业，强化龙头带动，增强创新能力，完善产业配套，促进集群集聚发展方向一致，符合安徽省</w:t>
                  </w:r>
                  <w:r>
                    <w:rPr>
                      <w:rFonts w:hint="eastAsia"/>
                      <w:sz w:val="21"/>
                      <w:szCs w:val="21"/>
                    </w:rPr>
                    <w:t>“</w:t>
                  </w:r>
                  <w:r>
                    <w:rPr>
                      <w:sz w:val="21"/>
                      <w:szCs w:val="21"/>
                    </w:rPr>
                    <w:t>三大一强</w:t>
                  </w:r>
                  <w:r>
                    <w:rPr>
                      <w:rFonts w:hint="eastAsia"/>
                      <w:sz w:val="21"/>
                      <w:szCs w:val="21"/>
                    </w:rPr>
                    <w:t>”</w:t>
                  </w:r>
                  <w:r>
                    <w:rPr>
                      <w:sz w:val="21"/>
                      <w:szCs w:val="21"/>
                    </w:rPr>
                    <w:t>专项攻坚行动和</w:t>
                  </w:r>
                  <w:r>
                    <w:rPr>
                      <w:rFonts w:hint="eastAsia"/>
                      <w:sz w:val="21"/>
                      <w:szCs w:val="21"/>
                    </w:rPr>
                    <w:t>“</w:t>
                  </w:r>
                  <w:r>
                    <w:rPr>
                      <w:sz w:val="21"/>
                      <w:szCs w:val="21"/>
                    </w:rPr>
                    <w:t>三线一单</w:t>
                  </w:r>
                  <w:r>
                    <w:rPr>
                      <w:rFonts w:hint="eastAsia"/>
                      <w:sz w:val="21"/>
                      <w:szCs w:val="21"/>
                    </w:rPr>
                    <w:t>”</w:t>
                  </w:r>
                  <w:r>
                    <w:rPr>
                      <w:sz w:val="21"/>
                      <w:szCs w:val="21"/>
                    </w:rPr>
                    <w:t>等。</w:t>
                  </w:r>
                </w:p>
              </w:tc>
              <w:tc>
                <w:tcPr>
                  <w:tcW w:w="893" w:type="dxa"/>
                  <w:tcBorders>
                    <w:tl2br w:val="nil"/>
                    <w:tr2bl w:val="nil"/>
                  </w:tcBorders>
                  <w:noWrap w:val="0"/>
                  <w:textDirection w:val="tbRlV"/>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2</w:t>
                  </w:r>
                </w:p>
              </w:tc>
              <w:tc>
                <w:tcPr>
                  <w:tcW w:w="3310" w:type="dxa"/>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sz w:val="21"/>
                      <w:szCs w:val="21"/>
                    </w:rPr>
                    <w:t>根据国家和区域发展战略，结合区域生态环境质量，严格产业的环境准入，细化环境准入清单，重点明确涉重企业的行业准入要求。结合产业片区定位，合理规划不同产业片区间的隔离带。</w:t>
                  </w:r>
                </w:p>
              </w:tc>
              <w:tc>
                <w:tcPr>
                  <w:tcW w:w="3070" w:type="dxa"/>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sz w:val="21"/>
                      <w:szCs w:val="21"/>
                    </w:rPr>
                    <w:t>本项目位于淮北相山经济开发区</w:t>
                  </w:r>
                  <w:r>
                    <w:rPr>
                      <w:rFonts w:hint="eastAsia"/>
                      <w:sz w:val="21"/>
                      <w:szCs w:val="21"/>
                      <w:lang w:eastAsia="zh-CN"/>
                    </w:rPr>
                    <w:t>凤冠路20号</w:t>
                  </w:r>
                  <w:r>
                    <w:rPr>
                      <w:sz w:val="21"/>
                      <w:szCs w:val="21"/>
                    </w:rPr>
                    <w:t>，</w:t>
                  </w:r>
                  <w:r>
                    <w:rPr>
                      <w:rFonts w:hint="eastAsia" w:eastAsia="宋体"/>
                      <w:sz w:val="21"/>
                      <w:szCs w:val="21"/>
                    </w:rPr>
                    <w:t>属于</w:t>
                  </w:r>
                  <w:r>
                    <w:rPr>
                      <w:rFonts w:hint="eastAsia" w:eastAsia="宋体"/>
                      <w:sz w:val="21"/>
                      <w:szCs w:val="21"/>
                      <w:lang w:val="en-US" w:eastAsia="zh-CN"/>
                    </w:rPr>
                    <w:t>（瓶）罐装饮用水制造</w:t>
                  </w:r>
                  <w:r>
                    <w:rPr>
                      <w:rFonts w:hint="eastAsia" w:eastAsia="宋体"/>
                      <w:sz w:val="21"/>
                      <w:szCs w:val="21"/>
                    </w:rPr>
                    <w:t>行业</w:t>
                  </w:r>
                  <w:r>
                    <w:rPr>
                      <w:sz w:val="21"/>
                      <w:szCs w:val="21"/>
                    </w:rPr>
                    <w:t>，</w:t>
                  </w:r>
                  <w:r>
                    <w:rPr>
                      <w:color w:val="auto"/>
                      <w:sz w:val="21"/>
                      <w:szCs w:val="21"/>
                    </w:rPr>
                    <w:t>项目用水均来自园区给水管网，不开采地下水；项目生产</w:t>
                  </w:r>
                  <w:r>
                    <w:rPr>
                      <w:rFonts w:hint="eastAsia"/>
                      <w:color w:val="auto"/>
                      <w:sz w:val="21"/>
                      <w:szCs w:val="21"/>
                      <w:lang w:val="en-US" w:eastAsia="zh-CN"/>
                    </w:rPr>
                    <w:t>废水、生活污水、经隔油池预处理的食堂废水，一同进入</w:t>
                  </w:r>
                  <w:r>
                    <w:rPr>
                      <w:rFonts w:hint="eastAsia"/>
                      <w:color w:val="auto"/>
                      <w:sz w:val="21"/>
                      <w:szCs w:val="21"/>
                    </w:rPr>
                    <w:t>园区污水处理厂处理</w:t>
                  </w:r>
                  <w:r>
                    <w:rPr>
                      <w:color w:val="auto"/>
                      <w:sz w:val="21"/>
                      <w:szCs w:val="21"/>
                    </w:rPr>
                    <w:t>。</w:t>
                  </w:r>
                </w:p>
              </w:tc>
              <w:tc>
                <w:tcPr>
                  <w:tcW w:w="893" w:type="dxa"/>
                  <w:tcBorders>
                    <w:tl2br w:val="nil"/>
                    <w:tr2bl w:val="nil"/>
                  </w:tcBorders>
                  <w:noWrap w:val="0"/>
                  <w:textDirection w:val="tbRlV"/>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3</w:t>
                  </w:r>
                </w:p>
              </w:tc>
              <w:tc>
                <w:tcPr>
                  <w:tcW w:w="3310" w:type="dxa"/>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sz w:val="21"/>
                      <w:szCs w:val="21"/>
                    </w:rPr>
                    <w:t>强化污染防治基础设施建设，明确园区集中供热和清洁能源替代方案，结合开发区供水、排水和供气（供热）等规划，合理确定开发规模。完善开发区供水、中水回用、管网及信息产业片区污水处理厂规划。结合区域地表水系及水环境质量现状，优化开发区排水规划。</w:t>
                  </w:r>
                </w:p>
              </w:tc>
              <w:tc>
                <w:tcPr>
                  <w:tcW w:w="3070" w:type="dxa"/>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color w:val="auto"/>
                      <w:sz w:val="21"/>
                      <w:szCs w:val="21"/>
                    </w:rPr>
                    <w:t>本项目依托开发区供水、排水基础设施，生产所需蒸汽由</w:t>
                  </w:r>
                  <w:r>
                    <w:rPr>
                      <w:rFonts w:hint="eastAsia"/>
                      <w:color w:val="auto"/>
                      <w:sz w:val="21"/>
                      <w:szCs w:val="21"/>
                    </w:rPr>
                    <w:t>园区</w:t>
                  </w:r>
                  <w:r>
                    <w:rPr>
                      <w:color w:val="auto"/>
                      <w:sz w:val="21"/>
                      <w:szCs w:val="21"/>
                    </w:rPr>
                    <w:t>提供</w:t>
                  </w:r>
                  <w:r>
                    <w:rPr>
                      <w:rFonts w:hint="eastAsia"/>
                      <w:color w:val="auto"/>
                      <w:sz w:val="21"/>
                      <w:szCs w:val="21"/>
                    </w:rPr>
                    <w:t>，</w:t>
                  </w:r>
                  <w:r>
                    <w:rPr>
                      <w:color w:val="auto"/>
                      <w:sz w:val="21"/>
                      <w:szCs w:val="21"/>
                    </w:rPr>
                    <w:t>项目生产</w:t>
                  </w:r>
                  <w:r>
                    <w:rPr>
                      <w:rFonts w:hint="eastAsia"/>
                      <w:color w:val="auto"/>
                      <w:sz w:val="21"/>
                      <w:szCs w:val="21"/>
                      <w:lang w:val="en-US" w:eastAsia="zh-CN"/>
                    </w:rPr>
                    <w:t>废水、生活污水、经隔油池预处理的食堂废水，一同进入</w:t>
                  </w:r>
                  <w:r>
                    <w:rPr>
                      <w:rFonts w:hint="eastAsia"/>
                      <w:color w:val="auto"/>
                      <w:sz w:val="21"/>
                      <w:szCs w:val="21"/>
                    </w:rPr>
                    <w:t>园区污水处理厂处理</w:t>
                  </w:r>
                  <w:r>
                    <w:rPr>
                      <w:color w:val="auto"/>
                      <w:sz w:val="21"/>
                      <w:szCs w:val="21"/>
                    </w:rPr>
                    <w:t>。</w:t>
                  </w:r>
                </w:p>
              </w:tc>
              <w:tc>
                <w:tcPr>
                  <w:tcW w:w="893" w:type="dxa"/>
                  <w:tcBorders>
                    <w:tl2br w:val="nil"/>
                    <w:tr2bl w:val="nil"/>
                  </w:tcBorders>
                  <w:noWrap w:val="0"/>
                  <w:textDirection w:val="tbRlV"/>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6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4</w:t>
                  </w:r>
                </w:p>
              </w:tc>
              <w:tc>
                <w:tcPr>
                  <w:tcW w:w="3310" w:type="dxa"/>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sz w:val="21"/>
                      <w:szCs w:val="21"/>
                    </w:rPr>
                    <w:t>统筹考虑区内污染物排放、水环境保护、生态恢复、环境风险防范、环境管理等事宜。建立健全区域风险防范体系和生态安全保障体系，加强区内重要环境风险源的管控，完善环境风险防范应急措施。</w:t>
                  </w:r>
                </w:p>
              </w:tc>
              <w:tc>
                <w:tcPr>
                  <w:tcW w:w="3070" w:type="dxa"/>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sz w:val="21"/>
                      <w:szCs w:val="21"/>
                    </w:rPr>
                    <w:t>本项目编制并落实环境风险应急预案，健全区域风险防范体系和生态安全保障体系，加强区内重要环境风险源的管控，完善环境风险防范应急措施。</w:t>
                  </w:r>
                </w:p>
              </w:tc>
              <w:tc>
                <w:tcPr>
                  <w:tcW w:w="893" w:type="dxa"/>
                  <w:tcBorders>
                    <w:tl2br w:val="nil"/>
                    <w:tr2bl w:val="nil"/>
                  </w:tcBorders>
                  <w:noWrap w:val="0"/>
                  <w:textDirection w:val="tbRlV"/>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5</w:t>
                  </w:r>
                </w:p>
              </w:tc>
              <w:tc>
                <w:tcPr>
                  <w:tcW w:w="3310" w:type="dxa"/>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sz w:val="21"/>
                      <w:szCs w:val="21"/>
                    </w:rPr>
                    <w:t>落实开发区区域环境质量管控，切实保障区域环境质量持续优化。加强危险废物管理，完善危险废物贮存、处置规划。完善规划实施过程中环境监控计划。</w:t>
                  </w:r>
                </w:p>
              </w:tc>
              <w:tc>
                <w:tcPr>
                  <w:tcW w:w="3070" w:type="dxa"/>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ind w:right="0" w:firstLine="420" w:firstLineChars="200"/>
                    <w:textAlignment w:val="auto"/>
                    <w:rPr>
                      <w:sz w:val="21"/>
                      <w:szCs w:val="21"/>
                    </w:rPr>
                  </w:pPr>
                </w:p>
                <w:p>
                  <w:pPr>
                    <w:keepNext w:val="0"/>
                    <w:keepLines w:val="0"/>
                    <w:pageBreakBefore w:val="0"/>
                    <w:widowControl w:val="0"/>
                    <w:kinsoku/>
                    <w:wordWrap/>
                    <w:overflowPunct/>
                    <w:topLinePunct w:val="0"/>
                    <w:bidi w:val="0"/>
                    <w:adjustRightInd w:val="0"/>
                    <w:snapToGrid w:val="0"/>
                    <w:ind w:right="0"/>
                    <w:textAlignment w:val="auto"/>
                    <w:rPr>
                      <w:sz w:val="21"/>
                      <w:szCs w:val="21"/>
                    </w:rPr>
                  </w:pPr>
                  <w:r>
                    <w:rPr>
                      <w:sz w:val="21"/>
                      <w:szCs w:val="21"/>
                    </w:rPr>
                    <w:t>项目建设完善危险废物及一般固废贮存设施。按照排污许可规范实施环境监控计划。</w:t>
                  </w:r>
                </w:p>
              </w:tc>
              <w:tc>
                <w:tcPr>
                  <w:tcW w:w="893" w:type="dxa"/>
                  <w:tcBorders>
                    <w:tl2br w:val="nil"/>
                    <w:tr2bl w:val="nil"/>
                  </w:tcBorders>
                  <w:noWrap w:val="0"/>
                  <w:textDirection w:val="tbRlV"/>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sz w:val="21"/>
                      <w:szCs w:val="21"/>
                    </w:rPr>
                    <w:t>符合</w:t>
                  </w:r>
                </w:p>
              </w:tc>
            </w:tr>
          </w:tbl>
          <w:p>
            <w:pPr>
              <w:keepNext w:val="0"/>
              <w:keepLines w:val="0"/>
              <w:pageBreakBefore w:val="0"/>
              <w:widowControl w:val="0"/>
              <w:kinsoku/>
              <w:wordWrap/>
              <w:overflowPunct/>
              <w:topLinePunct w:val="0"/>
              <w:autoSpaceDE w:val="0"/>
              <w:autoSpaceDN w:val="0"/>
              <w:bidi w:val="0"/>
              <w:adjustRightInd w:val="0"/>
              <w:snapToGrid w:val="0"/>
              <w:ind w:right="0"/>
              <w:jc w:val="center"/>
              <w:textAlignment w:val="auto"/>
              <w:rPr>
                <w:rFonts w:ascii="宋体" w:hAnsi="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5" w:hRule="atLeast"/>
          <w:jc w:val="center"/>
        </w:trPr>
        <w:tc>
          <w:tcPr>
            <w:tcW w:w="711"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right="0"/>
              <w:jc w:val="center"/>
              <w:textAlignment w:val="auto"/>
              <w:rPr>
                <w:rFonts w:hint="eastAsia" w:ascii="宋体" w:hAnsi="宋体" w:cs="宋体"/>
                <w:b/>
                <w:kern w:val="0"/>
                <w:szCs w:val="21"/>
              </w:rPr>
            </w:pPr>
            <w:r>
              <w:rPr>
                <w:rFonts w:hint="eastAsia" w:ascii="宋体" w:hAnsi="宋体" w:cs="宋体"/>
                <w:b/>
                <w:kern w:val="0"/>
                <w:szCs w:val="21"/>
              </w:rPr>
              <w:t>其他</w:t>
            </w:r>
          </w:p>
          <w:p>
            <w:pPr>
              <w:keepNext w:val="0"/>
              <w:keepLines w:val="0"/>
              <w:pageBreakBefore w:val="0"/>
              <w:widowControl w:val="0"/>
              <w:kinsoku/>
              <w:wordWrap/>
              <w:overflowPunct/>
              <w:topLinePunct w:val="0"/>
              <w:autoSpaceDE w:val="0"/>
              <w:autoSpaceDN w:val="0"/>
              <w:bidi w:val="0"/>
              <w:adjustRightInd w:val="0"/>
              <w:snapToGrid w:val="0"/>
              <w:ind w:right="0"/>
              <w:jc w:val="center"/>
              <w:textAlignment w:val="auto"/>
              <w:rPr>
                <w:rFonts w:hint="eastAsia" w:ascii="宋体" w:hAnsi="宋体" w:cs="宋体"/>
                <w:b/>
                <w:kern w:val="0"/>
                <w:szCs w:val="21"/>
              </w:rPr>
            </w:pPr>
            <w:r>
              <w:rPr>
                <w:rFonts w:hint="eastAsia" w:ascii="宋体" w:hAnsi="宋体" w:cs="宋体"/>
                <w:b/>
                <w:kern w:val="0"/>
                <w:szCs w:val="21"/>
              </w:rPr>
              <w:t>符合性</w:t>
            </w:r>
          </w:p>
          <w:p>
            <w:pPr>
              <w:keepNext w:val="0"/>
              <w:keepLines w:val="0"/>
              <w:pageBreakBefore w:val="0"/>
              <w:widowControl w:val="0"/>
              <w:kinsoku/>
              <w:wordWrap/>
              <w:overflowPunct/>
              <w:topLinePunct w:val="0"/>
              <w:autoSpaceDE w:val="0"/>
              <w:autoSpaceDN w:val="0"/>
              <w:bidi w:val="0"/>
              <w:adjustRightInd w:val="0"/>
              <w:snapToGrid w:val="0"/>
              <w:ind w:right="0"/>
              <w:jc w:val="center"/>
              <w:textAlignment w:val="auto"/>
              <w:rPr>
                <w:rFonts w:hint="eastAsia" w:ascii="宋体" w:hAnsi="宋体" w:cs="宋体"/>
                <w:b/>
                <w:kern w:val="0"/>
                <w:szCs w:val="21"/>
              </w:rPr>
            </w:pPr>
            <w:r>
              <w:rPr>
                <w:rFonts w:hint="eastAsia" w:ascii="宋体" w:hAnsi="宋体" w:cs="宋体"/>
                <w:b/>
                <w:kern w:val="0"/>
                <w:szCs w:val="21"/>
              </w:rPr>
              <w:t>分析</w:t>
            </w:r>
          </w:p>
        </w:tc>
        <w:tc>
          <w:tcPr>
            <w:tcW w:w="428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b/>
                <w:color w:val="000000"/>
              </w:rPr>
            </w:pPr>
            <w:r>
              <w:rPr>
                <w:b/>
                <w:color w:val="000000"/>
              </w:rPr>
              <w:t>1、产业政策符合性分析</w:t>
            </w:r>
          </w:p>
          <w:p>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pPr>
            <w:r>
              <w:t>本项目</w:t>
            </w:r>
            <w:r>
              <w:rPr>
                <w:rFonts w:hint="eastAsia"/>
                <w:lang w:val="en-US" w:eastAsia="zh-CN"/>
              </w:rPr>
              <w:t>属于</w:t>
            </w:r>
            <w:r>
              <w:t>C1</w:t>
            </w:r>
            <w:r>
              <w:rPr>
                <w:rFonts w:hint="eastAsia"/>
                <w:lang w:val="en-US" w:eastAsia="zh-CN"/>
              </w:rPr>
              <w:t>522（瓶）罐装饮用水</w:t>
            </w:r>
            <w:r>
              <w:rPr>
                <w:rFonts w:hint="eastAsia"/>
              </w:rPr>
              <w:t>制造</w:t>
            </w:r>
            <w:r>
              <w:t>，C</w:t>
            </w:r>
            <w:r>
              <w:rPr>
                <w:rFonts w:hint="eastAsia"/>
                <w:lang w:val="en-US" w:eastAsia="zh-CN"/>
              </w:rPr>
              <w:t>2926塑料包装箱及容器制造</w:t>
            </w:r>
            <w:r>
              <w:rPr>
                <w:rFonts w:hint="eastAsia"/>
                <w:lang w:eastAsia="zh-CN"/>
              </w:rPr>
              <w:t>，</w:t>
            </w:r>
            <w:r>
              <w:t>属于《国民经济行业分类》（GB/T4754-2017）中C类</w:t>
            </w:r>
            <w:r>
              <w:rPr>
                <w:rFonts w:hint="eastAsia"/>
              </w:rPr>
              <w:t>“</w:t>
            </w:r>
            <w:r>
              <w:t>制造业</w:t>
            </w:r>
            <w:r>
              <w:rPr>
                <w:rFonts w:hint="eastAsia"/>
              </w:rPr>
              <w:t>”</w:t>
            </w:r>
            <w:r>
              <w:t>第1</w:t>
            </w:r>
            <w:r>
              <w:rPr>
                <w:rFonts w:hint="eastAsia"/>
                <w:lang w:val="en-US" w:eastAsia="zh-CN"/>
              </w:rPr>
              <w:t>5</w:t>
            </w:r>
            <w:r>
              <w:t>大项目</w:t>
            </w:r>
            <w:r>
              <w:rPr>
                <w:rFonts w:hint="eastAsia"/>
              </w:rPr>
              <w:t>“</w:t>
            </w:r>
            <w:r>
              <w:rPr>
                <w:rFonts w:hint="eastAsia"/>
                <w:lang w:val="en-US" w:eastAsia="zh-CN"/>
              </w:rPr>
              <w:t>酒、饮料和精制茶</w:t>
            </w:r>
            <w:r>
              <w:t>制造业</w:t>
            </w:r>
            <w:r>
              <w:rPr>
                <w:rFonts w:hint="eastAsia"/>
              </w:rPr>
              <w:t>”</w:t>
            </w:r>
            <w:r>
              <w:rPr>
                <w:rFonts w:hint="eastAsia"/>
                <w:lang w:eastAsia="zh-CN"/>
              </w:rPr>
              <w:t>，</w:t>
            </w:r>
            <w:r>
              <w:rPr>
                <w:rFonts w:hint="eastAsia"/>
                <w:lang w:val="en-US" w:eastAsia="zh-CN"/>
              </w:rPr>
              <w:t>第29大项目“橡胶和塑料制品业”。</w:t>
            </w:r>
            <w:r>
              <w:t>根据《产业结构调整指导目录（2019年本）》（2021年修订），本项目不属于产业结构调整指导目录中的鼓励类、限制类和淘汰类，可视为</w:t>
            </w:r>
            <w:r>
              <w:rPr>
                <w:rFonts w:hint="eastAsia"/>
              </w:rPr>
              <w:t>“</w:t>
            </w:r>
            <w:r>
              <w:t>允许类</w:t>
            </w:r>
            <w:r>
              <w:rPr>
                <w:rFonts w:hint="eastAsia"/>
              </w:rPr>
              <w:t>”</w:t>
            </w:r>
            <w:r>
              <w:t>。安徽淮北相山经济开发区管理委员会于202</w:t>
            </w:r>
            <w:r>
              <w:rPr>
                <w:rFonts w:hint="eastAsia"/>
              </w:rPr>
              <w:t>3</w:t>
            </w:r>
            <w:r>
              <w:t>年</w:t>
            </w:r>
            <w:r>
              <w:rPr>
                <w:rFonts w:hint="eastAsia"/>
                <w:lang w:val="en-US" w:eastAsia="zh-CN"/>
              </w:rPr>
              <w:t>9</w:t>
            </w:r>
            <w:r>
              <w:t>月</w:t>
            </w:r>
            <w:r>
              <w:rPr>
                <w:rFonts w:hint="eastAsia"/>
                <w:lang w:val="en-US" w:eastAsia="zh-CN"/>
              </w:rPr>
              <w:t>20</w:t>
            </w:r>
            <w:r>
              <w:t>日同意本项目备案，备案号为经开区技改[202</w:t>
            </w:r>
            <w:r>
              <w:rPr>
                <w:rFonts w:hint="eastAsia"/>
              </w:rPr>
              <w:t>3</w:t>
            </w:r>
            <w:r>
              <w:t>]</w:t>
            </w:r>
            <w:r>
              <w:rPr>
                <w:rFonts w:hint="eastAsia"/>
                <w:lang w:val="en-US" w:eastAsia="zh-CN"/>
              </w:rPr>
              <w:t>10</w:t>
            </w:r>
            <w:r>
              <w:t>号。</w:t>
            </w:r>
          </w:p>
          <w:p>
            <w:pPr>
              <w:keepNext w:val="0"/>
              <w:keepLines w:val="0"/>
              <w:pageBreakBefore w:val="0"/>
              <w:widowControl w:val="0"/>
              <w:kinsoku/>
              <w:wordWrap/>
              <w:overflowPunct/>
              <w:topLinePunct w:val="0"/>
              <w:bidi w:val="0"/>
              <w:adjustRightInd w:val="0"/>
              <w:snapToGrid w:val="0"/>
              <w:spacing w:line="360" w:lineRule="auto"/>
              <w:ind w:right="0"/>
              <w:textAlignment w:val="auto"/>
              <w:rPr>
                <w:rFonts w:hint="default"/>
                <w:lang w:val="en-US"/>
              </w:rPr>
            </w:pPr>
            <w:r>
              <w:rPr>
                <w:rFonts w:hint="eastAsia"/>
                <w:b/>
                <w:color w:val="000000"/>
              </w:rPr>
              <w:t>2、</w:t>
            </w:r>
            <w:r>
              <w:rPr>
                <w:rFonts w:hint="eastAsia"/>
                <w:b/>
                <w:color w:val="000000"/>
                <w:lang w:val="en-US" w:eastAsia="zh-CN"/>
              </w:rPr>
              <w:t>周边环境相容性分析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rPr>
                <w:b/>
                <w:color w:val="0000FF"/>
                <w:sz w:val="24"/>
              </w:rPr>
            </w:pPr>
            <w:r>
              <w:rPr>
                <w:rFonts w:hint="eastAsia"/>
                <w:color w:val="auto"/>
                <w:sz w:val="24"/>
              </w:rPr>
              <w:t>项目西侧为安徽盛美诺生物技术有限公司（在建），南侧为凤冠路，隔路为安徽中淮食品饮料有限公司，东侧为栖凤路，北侧为空地。</w:t>
            </w:r>
            <w:r>
              <w:rPr>
                <w:rFonts w:hint="eastAsia"/>
                <w:color w:val="auto"/>
                <w:sz w:val="24"/>
                <w:lang w:val="en-US" w:eastAsia="zh-CN"/>
              </w:rPr>
              <w:t>本</w:t>
            </w:r>
            <w:r>
              <w:rPr>
                <w:rFonts w:hint="eastAsia"/>
                <w:color w:val="auto"/>
                <w:sz w:val="24"/>
              </w:rPr>
              <w:t>项目废气主要为</w:t>
            </w:r>
            <w:r>
              <w:rPr>
                <w:rFonts w:hint="eastAsia"/>
                <w:color w:val="auto"/>
                <w:sz w:val="24"/>
                <w:lang w:val="en-US" w:eastAsia="zh-CN"/>
              </w:rPr>
              <w:t>PET瓶坯生产过程中吹塑工序、注塑、熔塑工序产生的非甲烷总烃及食堂油烟废气。熔塑、注塑废气通过催化燃烧装置处理后，由20m高的排气筒（DA005）排放。吹塑废气通过催化燃烧装置处理后，由20m高的排气筒（DA006）排放。食堂油烟废气依托现有油烟净化器处理，并通过20m高的排气筒（DA004）排放。</w:t>
            </w:r>
            <w:r>
              <w:rPr>
                <w:rFonts w:hint="eastAsia"/>
                <w:color w:val="auto"/>
                <w:sz w:val="24"/>
              </w:rPr>
              <w:t>项目高噪声设备布置在厂区</w:t>
            </w:r>
            <w:r>
              <w:rPr>
                <w:rFonts w:hint="eastAsia"/>
                <w:color w:val="auto"/>
                <w:sz w:val="24"/>
                <w:lang w:val="en-US" w:eastAsia="zh-CN"/>
              </w:rPr>
              <w:t>北</w:t>
            </w:r>
            <w:r>
              <w:rPr>
                <w:rFonts w:hint="eastAsia"/>
                <w:color w:val="auto"/>
                <w:sz w:val="24"/>
              </w:rPr>
              <w:t>部和</w:t>
            </w:r>
            <w:r>
              <w:rPr>
                <w:rFonts w:hint="eastAsia"/>
                <w:color w:val="auto"/>
                <w:sz w:val="24"/>
                <w:lang w:val="en-US" w:eastAsia="zh-CN"/>
              </w:rPr>
              <w:t>东</w:t>
            </w:r>
            <w:r>
              <w:rPr>
                <w:rFonts w:hint="eastAsia"/>
                <w:color w:val="auto"/>
                <w:sz w:val="24"/>
              </w:rPr>
              <w:t>侧，通过隔声、减振等措施以降低对外环境的影响，通过预测厂界噪声可达到</w:t>
            </w:r>
            <w:r>
              <w:rPr>
                <w:color w:val="auto"/>
                <w:sz w:val="24"/>
              </w:rPr>
              <w:t>《工业企业厂界环境噪声排放标准》（</w:t>
            </w:r>
            <w:r>
              <w:rPr>
                <w:rFonts w:eastAsia="Noto Sans CJK JP Regular"/>
                <w:color w:val="auto"/>
                <w:sz w:val="24"/>
              </w:rPr>
              <w:t>GB12348-2008</w:t>
            </w:r>
            <w:r>
              <w:rPr>
                <w:color w:val="auto"/>
                <w:sz w:val="24"/>
              </w:rPr>
              <w:t>）中</w:t>
            </w:r>
            <w:r>
              <w:rPr>
                <w:rFonts w:hint="eastAsia"/>
                <w:color w:val="auto"/>
                <w:sz w:val="24"/>
                <w:lang w:val="en-US" w:eastAsia="zh-CN"/>
              </w:rPr>
              <w:t>3</w:t>
            </w:r>
            <w:r>
              <w:rPr>
                <w:color w:val="auto"/>
                <w:sz w:val="24"/>
              </w:rPr>
              <w:t>类标</w:t>
            </w:r>
            <w:r>
              <w:rPr>
                <w:rFonts w:hint="eastAsia"/>
                <w:color w:val="auto"/>
                <w:sz w:val="24"/>
                <w:lang w:val="en-US" w:eastAsia="zh-CN"/>
              </w:rPr>
              <w:t>准。</w:t>
            </w:r>
            <w:r>
              <w:rPr>
                <w:color w:val="auto"/>
                <w:sz w:val="24"/>
              </w:rPr>
              <w:t>因此项目与周边环境基本相容。综上，项目通过优化厂平面布置，与周边环境基本相容。</w:t>
            </w:r>
          </w:p>
          <w:p>
            <w:pPr>
              <w:keepNext w:val="0"/>
              <w:keepLines w:val="0"/>
              <w:pageBreakBefore w:val="0"/>
              <w:widowControl w:val="0"/>
              <w:kinsoku/>
              <w:wordWrap/>
              <w:overflowPunct/>
              <w:topLinePunct w:val="0"/>
              <w:bidi w:val="0"/>
              <w:adjustRightInd w:val="0"/>
              <w:snapToGrid w:val="0"/>
              <w:spacing w:line="360" w:lineRule="auto"/>
              <w:ind w:right="0"/>
              <w:textAlignment w:val="auto"/>
              <w:rPr>
                <w:b/>
                <w:color w:val="auto"/>
              </w:rPr>
            </w:pPr>
            <w:r>
              <w:rPr>
                <w:rFonts w:hint="eastAsia"/>
                <w:b/>
                <w:color w:val="auto"/>
              </w:rPr>
              <w:t>3、</w:t>
            </w:r>
            <w:r>
              <w:rPr>
                <w:b/>
                <w:color w:val="auto"/>
              </w:rPr>
              <w:t>项目“三线一单”符合性分析</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color w:val="auto"/>
                <w:sz w:val="24"/>
              </w:rPr>
            </w:pPr>
            <w:r>
              <w:rPr>
                <w:rFonts w:hint="eastAsia" w:ascii="宋体" w:hAnsi="宋体"/>
                <w:color w:val="auto"/>
                <w:sz w:val="24"/>
              </w:rPr>
              <w:t>根据《“十三五”环境影响评价改革实施方</w:t>
            </w:r>
            <w:r>
              <w:rPr>
                <w:rFonts w:hint="eastAsia"/>
                <w:color w:val="auto"/>
                <w:sz w:val="24"/>
              </w:rPr>
              <w:t>案》（环环评〔</w:t>
            </w:r>
            <w:r>
              <w:rPr>
                <w:color w:val="auto"/>
                <w:sz w:val="24"/>
              </w:rPr>
              <w:t>2016</w:t>
            </w:r>
            <w:r>
              <w:rPr>
                <w:rFonts w:hint="eastAsia"/>
                <w:color w:val="auto"/>
                <w:sz w:val="24"/>
              </w:rPr>
              <w:t>〕</w:t>
            </w:r>
            <w:r>
              <w:rPr>
                <w:color w:val="auto"/>
                <w:sz w:val="24"/>
              </w:rPr>
              <w:t>95</w:t>
            </w:r>
            <w:r>
              <w:rPr>
                <w:rFonts w:hint="eastAsia"/>
                <w:color w:val="auto"/>
                <w:sz w:val="24"/>
              </w:rPr>
              <w:t>号）、《关于以改善环境质量为核心加强环境影响评价管理的通知》（环环函〔</w:t>
            </w:r>
            <w:r>
              <w:rPr>
                <w:color w:val="auto"/>
                <w:sz w:val="24"/>
              </w:rPr>
              <w:t>2016</w:t>
            </w:r>
            <w:r>
              <w:rPr>
                <w:rFonts w:hint="eastAsia"/>
                <w:color w:val="auto"/>
                <w:sz w:val="24"/>
              </w:rPr>
              <w:t>〕</w:t>
            </w:r>
            <w:r>
              <w:rPr>
                <w:color w:val="auto"/>
                <w:sz w:val="24"/>
              </w:rPr>
              <w:t>150</w:t>
            </w:r>
            <w:r>
              <w:rPr>
                <w:rFonts w:hint="eastAsia"/>
                <w:color w:val="auto"/>
                <w:sz w:val="24"/>
              </w:rPr>
              <w:t>号）等文件要求：</w:t>
            </w:r>
            <w:r>
              <w:rPr>
                <w:rFonts w:hint="eastAsia" w:ascii="宋体" w:hAnsi="宋体"/>
                <w:color w:val="auto"/>
                <w:sz w:val="24"/>
              </w:rPr>
              <w:t>“为</w:t>
            </w:r>
            <w:r>
              <w:rPr>
                <w:rFonts w:hint="eastAsia"/>
                <w:color w:val="auto"/>
                <w:sz w:val="24"/>
              </w:rPr>
              <w:t>适应以改善环境质量为核心的环境管理要求，切实加强环境影响评价（以下简称环评）</w:t>
            </w:r>
            <w:r>
              <w:rPr>
                <w:rFonts w:hint="eastAsia" w:ascii="宋体" w:hAnsi="宋体"/>
                <w:color w:val="auto"/>
                <w:sz w:val="24"/>
              </w:rPr>
              <w:t>管理，落实“生态保护</w:t>
            </w:r>
            <w:r>
              <w:rPr>
                <w:rFonts w:hint="eastAsia"/>
                <w:color w:val="auto"/>
                <w:sz w:val="24"/>
              </w:rPr>
              <w:t>红线、环境质量底线、资源利用上线和</w:t>
            </w:r>
            <w:r>
              <w:rPr>
                <w:rFonts w:hint="eastAsia" w:ascii="宋体" w:hAnsi="宋体"/>
                <w:color w:val="auto"/>
                <w:sz w:val="24"/>
              </w:rPr>
              <w:t>环境准入负面清单”(以下简称“三线一单”)约束”</w:t>
            </w:r>
            <w:r>
              <w:rPr>
                <w:rFonts w:hint="eastAsia" w:ascii="宋体" w:hAnsi="宋体"/>
                <w:color w:val="auto"/>
                <w:sz w:val="24"/>
                <w:lang w:eastAsia="zh-CN"/>
              </w:rPr>
              <w:t>。</w:t>
            </w:r>
            <w:r>
              <w:rPr>
                <w:rFonts w:hint="eastAsia" w:ascii="宋体" w:hAnsi="宋体"/>
                <w:color w:val="auto"/>
                <w:sz w:val="24"/>
              </w:rPr>
              <w:t>本项目</w:t>
            </w:r>
            <w:r>
              <w:rPr>
                <w:rFonts w:hint="eastAsia" w:ascii="宋体" w:hAnsi="宋体"/>
                <w:color w:val="auto"/>
                <w:sz w:val="24"/>
                <w:lang w:val="en-US" w:eastAsia="zh-CN"/>
              </w:rPr>
              <w:t>依据环保部要求</w:t>
            </w:r>
            <w:r>
              <w:rPr>
                <w:color w:val="auto"/>
                <w:sz w:val="24"/>
              </w:rPr>
              <w:t>、淮</w:t>
            </w:r>
            <w:r>
              <w:rPr>
                <w:rFonts w:hint="eastAsia"/>
                <w:color w:val="auto"/>
                <w:sz w:val="24"/>
                <w:lang w:val="en-US" w:eastAsia="zh-CN"/>
              </w:rPr>
              <w:t>北</w:t>
            </w:r>
            <w:r>
              <w:rPr>
                <w:color w:val="auto"/>
                <w:sz w:val="24"/>
              </w:rPr>
              <w:t>市</w:t>
            </w:r>
            <w:r>
              <w:rPr>
                <w:rFonts w:hint="eastAsia"/>
                <w:color w:val="auto"/>
                <w:sz w:val="24"/>
                <w:lang w:eastAsia="zh-CN"/>
              </w:rPr>
              <w:t>“</w:t>
            </w:r>
            <w:r>
              <w:rPr>
                <w:color w:val="auto"/>
                <w:sz w:val="24"/>
              </w:rPr>
              <w:t>三线一单</w:t>
            </w:r>
            <w:r>
              <w:rPr>
                <w:rFonts w:hint="eastAsia"/>
                <w:color w:val="auto"/>
                <w:sz w:val="24"/>
                <w:lang w:val="en-US" w:eastAsia="zh-CN"/>
              </w:rPr>
              <w:t>编制文本</w:t>
            </w:r>
            <w:r>
              <w:rPr>
                <w:rFonts w:hint="eastAsia"/>
                <w:color w:val="auto"/>
                <w:sz w:val="24"/>
                <w:lang w:eastAsia="zh-CN"/>
              </w:rPr>
              <w:t>”</w:t>
            </w:r>
            <w:r>
              <w:rPr>
                <w:color w:val="auto"/>
                <w:sz w:val="24"/>
              </w:rPr>
              <w:t>、淮</w:t>
            </w:r>
            <w:r>
              <w:rPr>
                <w:rFonts w:hint="eastAsia"/>
                <w:color w:val="auto"/>
                <w:sz w:val="24"/>
                <w:lang w:val="en-US" w:eastAsia="zh-CN"/>
              </w:rPr>
              <w:t>北</w:t>
            </w:r>
            <w:r>
              <w:rPr>
                <w:color w:val="auto"/>
                <w:sz w:val="24"/>
              </w:rPr>
              <w:t>市</w:t>
            </w:r>
            <w:r>
              <w:rPr>
                <w:rFonts w:hint="eastAsia"/>
                <w:color w:val="auto"/>
                <w:sz w:val="24"/>
                <w:lang w:eastAsia="zh-CN"/>
              </w:rPr>
              <w:t>“</w:t>
            </w:r>
            <w:r>
              <w:rPr>
                <w:color w:val="auto"/>
                <w:sz w:val="24"/>
              </w:rPr>
              <w:t>三线一单生态环境准入清单</w:t>
            </w:r>
            <w:r>
              <w:rPr>
                <w:rFonts w:hint="eastAsia"/>
                <w:color w:val="auto"/>
                <w:sz w:val="24"/>
                <w:lang w:eastAsia="zh-CN"/>
              </w:rPr>
              <w:t>”</w:t>
            </w:r>
            <w:r>
              <w:rPr>
                <w:color w:val="auto"/>
                <w:sz w:val="24"/>
              </w:rPr>
              <w:t>，并对照淮</w:t>
            </w:r>
            <w:r>
              <w:rPr>
                <w:rFonts w:hint="eastAsia"/>
                <w:color w:val="auto"/>
                <w:sz w:val="24"/>
                <w:lang w:val="en-US" w:eastAsia="zh-CN"/>
              </w:rPr>
              <w:t>北</w:t>
            </w:r>
            <w:r>
              <w:rPr>
                <w:color w:val="auto"/>
                <w:sz w:val="24"/>
              </w:rPr>
              <w:t>市三线一单水环境分区管控图、大气环境分区管控图，本项目位于</w:t>
            </w:r>
            <w:r>
              <w:rPr>
                <w:rFonts w:hint="eastAsia"/>
                <w:color w:val="auto"/>
                <w:sz w:val="24"/>
                <w:lang w:val="en-US" w:eastAsia="zh-CN"/>
              </w:rPr>
              <w:t>重点</w:t>
            </w:r>
            <w:r>
              <w:rPr>
                <w:color w:val="auto"/>
                <w:sz w:val="24"/>
              </w:rPr>
              <w:t>管控区，项目</w:t>
            </w:r>
            <w:r>
              <w:rPr>
                <w:rFonts w:hint="eastAsia"/>
                <w:color w:val="auto"/>
                <w:sz w:val="24"/>
                <w:lang w:eastAsia="zh-CN"/>
              </w:rPr>
              <w:t>“</w:t>
            </w:r>
            <w:r>
              <w:rPr>
                <w:color w:val="auto"/>
                <w:sz w:val="24"/>
              </w:rPr>
              <w:t>三线一单</w:t>
            </w:r>
            <w:r>
              <w:rPr>
                <w:rFonts w:hint="eastAsia"/>
                <w:color w:val="auto"/>
                <w:sz w:val="24"/>
                <w:lang w:eastAsia="zh-CN"/>
              </w:rPr>
              <w:t>”</w:t>
            </w:r>
            <w:r>
              <w:rPr>
                <w:color w:val="auto"/>
                <w:sz w:val="24"/>
              </w:rPr>
              <w:t>符合性分析见</w:t>
            </w:r>
            <w:r>
              <w:rPr>
                <w:rFonts w:hint="eastAsia"/>
                <w:color w:val="auto"/>
                <w:sz w:val="24"/>
                <w:lang w:val="en-US" w:eastAsia="zh-CN"/>
              </w:rPr>
              <w:t>下表</w:t>
            </w:r>
            <w:r>
              <w:rPr>
                <w:color w:val="auto"/>
                <w:sz w:val="24"/>
              </w:rPr>
              <w:t>。</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color w:val="auto"/>
                <w:sz w:val="24"/>
              </w:rPr>
            </w:pPr>
            <w:r>
              <w:rPr>
                <w:rFonts w:hint="eastAsia" w:ascii="宋体" w:hAnsi="宋体" w:eastAsia="宋体" w:cs="宋体"/>
                <w:b/>
                <w:bCs/>
                <w:color w:val="auto"/>
                <w:sz w:val="24"/>
              </w:rPr>
              <w:t>表</w:t>
            </w:r>
            <w:r>
              <w:rPr>
                <w:rFonts w:hint="eastAsia" w:ascii="宋体" w:hAnsi="宋体" w:eastAsia="宋体" w:cs="宋体"/>
                <w:b/>
                <w:bCs/>
                <w:color w:val="auto"/>
                <w:sz w:val="24"/>
                <w:lang w:val="en-US" w:eastAsia="zh-CN"/>
              </w:rPr>
              <w:t>1-3</w:t>
            </w:r>
            <w:r>
              <w:rPr>
                <w:rFonts w:hint="eastAsia" w:ascii="宋体" w:hAnsi="宋体" w:eastAsia="宋体" w:cs="宋体"/>
                <w:b/>
                <w:bCs/>
                <w:color w:val="auto"/>
                <w:sz w:val="24"/>
              </w:rPr>
              <w:t xml:space="preserve"> 项目与“三线一单</w:t>
            </w:r>
            <w:r>
              <w:rPr>
                <w:rFonts w:hint="eastAsia" w:ascii="宋体" w:hAnsi="宋体" w:eastAsia="宋体" w:cs="宋体"/>
                <w:b/>
                <w:bCs/>
                <w:color w:val="auto"/>
                <w:sz w:val="24"/>
                <w:lang w:val="en-US" w:eastAsia="zh-CN"/>
              </w:rPr>
              <w:t>编制文本</w:t>
            </w:r>
            <w:r>
              <w:rPr>
                <w:rFonts w:hint="eastAsia" w:ascii="宋体" w:hAnsi="宋体" w:eastAsia="宋体" w:cs="宋体"/>
                <w:b/>
                <w:bCs/>
                <w:color w:val="auto"/>
                <w:sz w:val="24"/>
              </w:rPr>
              <w:t>”符合性分析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32"/>
              <w:gridCol w:w="4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rFonts w:ascii="宋体" w:hAnsi="宋体"/>
                      <w:b/>
                      <w:color w:val="auto"/>
                      <w:sz w:val="21"/>
                      <w:szCs w:val="21"/>
                    </w:rPr>
                  </w:pPr>
                  <w:r>
                    <w:rPr>
                      <w:rFonts w:ascii="宋体" w:hAnsi="宋体"/>
                      <w:b/>
                      <w:color w:val="auto"/>
                      <w:sz w:val="21"/>
                      <w:szCs w:val="21"/>
                    </w:rPr>
                    <w:t>淮</w:t>
                  </w:r>
                  <w:r>
                    <w:rPr>
                      <w:rFonts w:hint="eastAsia" w:ascii="宋体" w:hAnsi="宋体"/>
                      <w:b/>
                      <w:color w:val="auto"/>
                      <w:sz w:val="21"/>
                      <w:szCs w:val="21"/>
                      <w:lang w:val="en-US" w:eastAsia="zh-CN"/>
                    </w:rPr>
                    <w:t>北</w:t>
                  </w:r>
                  <w:r>
                    <w:rPr>
                      <w:rFonts w:ascii="宋体" w:hAnsi="宋体"/>
                      <w:b/>
                      <w:color w:val="auto"/>
                      <w:sz w:val="21"/>
                      <w:szCs w:val="21"/>
                    </w:rPr>
                    <w:t>市“三线一单</w:t>
                  </w:r>
                  <w:r>
                    <w:rPr>
                      <w:rFonts w:hint="eastAsia" w:ascii="宋体" w:hAnsi="宋体"/>
                      <w:b/>
                      <w:color w:val="auto"/>
                      <w:sz w:val="21"/>
                      <w:szCs w:val="21"/>
                      <w:lang w:val="en-US" w:eastAsia="zh-CN"/>
                    </w:rPr>
                    <w:t>编制文本</w:t>
                  </w:r>
                  <w:r>
                    <w:rPr>
                      <w:rFonts w:ascii="宋体" w:hAnsi="宋体"/>
                      <w:b/>
                      <w:color w:val="auto"/>
                      <w:sz w:val="21"/>
                      <w:szCs w:val="21"/>
                    </w:rPr>
                    <w:t>”</w:t>
                  </w:r>
                </w:p>
              </w:tc>
              <w:tc>
                <w:tcPr>
                  <w:tcW w:w="293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center"/>
                    <w:textAlignment w:val="auto"/>
                    <w:rPr>
                      <w:b/>
                      <w:color w:val="auto"/>
                      <w:sz w:val="21"/>
                      <w:szCs w:val="21"/>
                    </w:rPr>
                  </w:pPr>
                  <w:r>
                    <w:rPr>
                      <w:b/>
                      <w:color w:val="auto"/>
                      <w:sz w:val="21"/>
                      <w:szCs w:val="21"/>
                    </w:rPr>
                    <w:t>项目符合性分析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206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textAlignment w:val="auto"/>
                    <w:rPr>
                      <w:rFonts w:hint="eastAsia" w:eastAsia="宋体"/>
                      <w:color w:val="auto"/>
                      <w:sz w:val="21"/>
                      <w:szCs w:val="21"/>
                      <w:lang w:val="zh-CN" w:eastAsia="zh-CN"/>
                    </w:rPr>
                  </w:pPr>
                  <w:r>
                    <w:rPr>
                      <w:b/>
                      <w:bCs/>
                      <w:color w:val="auto"/>
                      <w:sz w:val="21"/>
                      <w:szCs w:val="21"/>
                      <w:lang w:val="zh-CN"/>
                    </w:rPr>
                    <w:t>生态保护红线</w:t>
                  </w:r>
                  <w:r>
                    <w:rPr>
                      <w:color w:val="auto"/>
                      <w:sz w:val="21"/>
                      <w:szCs w:val="21"/>
                      <w:lang w:val="zh-CN"/>
                    </w:rPr>
                    <w:t>是生态空间范围内具有特殊重要生态功能必须实行强制性严格保护的区域。</w:t>
                  </w:r>
                  <w:r>
                    <w:rPr>
                      <w:rFonts w:hint="eastAsia" w:ascii="仿宋" w:hAnsi="仿宋"/>
                      <w:bCs/>
                      <w:color w:val="auto"/>
                      <w:kern w:val="0"/>
                      <w:sz w:val="21"/>
                      <w:szCs w:val="22"/>
                    </w:rPr>
                    <w:t>依据中办、国办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w:t>
                  </w:r>
                  <w:r>
                    <w:rPr>
                      <w:rFonts w:hint="eastAsia" w:ascii="仿宋" w:hAnsi="仿宋"/>
                      <w:bCs/>
                      <w:color w:val="auto"/>
                      <w:kern w:val="0"/>
                      <w:sz w:val="21"/>
                      <w:szCs w:val="22"/>
                      <w:lang w:eastAsia="zh-CN"/>
                    </w:rPr>
                    <w:t>。</w:t>
                  </w:r>
                </w:p>
              </w:tc>
              <w:tc>
                <w:tcPr>
                  <w:tcW w:w="293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both"/>
                    <w:textAlignment w:val="auto"/>
                    <w:rPr>
                      <w:rFonts w:hint="eastAsia" w:eastAsia="宋体"/>
                      <w:color w:val="auto"/>
                      <w:sz w:val="21"/>
                      <w:szCs w:val="21"/>
                      <w:lang w:val="zh-CN" w:eastAsia="zh-CN"/>
                    </w:rPr>
                  </w:pPr>
                  <w:r>
                    <w:rPr>
                      <w:color w:val="auto"/>
                      <w:sz w:val="21"/>
                      <w:szCs w:val="21"/>
                    </w:rPr>
                    <w:t>本项目位于安徽省淮</w:t>
                  </w:r>
                  <w:r>
                    <w:rPr>
                      <w:rFonts w:hint="eastAsia"/>
                      <w:color w:val="auto"/>
                      <w:sz w:val="21"/>
                      <w:szCs w:val="21"/>
                      <w:lang w:val="en-US" w:eastAsia="zh-CN"/>
                    </w:rPr>
                    <w:t>北</w:t>
                  </w:r>
                  <w:r>
                    <w:rPr>
                      <w:color w:val="auto"/>
                      <w:sz w:val="21"/>
                      <w:szCs w:val="21"/>
                    </w:rPr>
                    <w:t>市</w:t>
                  </w:r>
                  <w:r>
                    <w:rPr>
                      <w:rFonts w:hint="eastAsia"/>
                      <w:color w:val="auto"/>
                      <w:sz w:val="21"/>
                      <w:szCs w:val="21"/>
                      <w:lang w:val="en-US" w:eastAsia="zh-CN"/>
                    </w:rPr>
                    <w:t>相山经济开发区凤冠路20号</w:t>
                  </w:r>
                  <w:r>
                    <w:rPr>
                      <w:color w:val="auto"/>
                      <w:sz w:val="21"/>
                      <w:szCs w:val="21"/>
                    </w:rPr>
                    <w:t>，根据淮</w:t>
                  </w:r>
                  <w:r>
                    <w:rPr>
                      <w:rFonts w:hint="eastAsia"/>
                      <w:color w:val="auto"/>
                      <w:sz w:val="21"/>
                      <w:szCs w:val="21"/>
                      <w:lang w:val="en-US" w:eastAsia="zh-CN"/>
                    </w:rPr>
                    <w:t>北</w:t>
                  </w:r>
                  <w:r>
                    <w:rPr>
                      <w:color w:val="auto"/>
                      <w:sz w:val="21"/>
                      <w:szCs w:val="21"/>
                    </w:rPr>
                    <w:t>市生态保护红线图，本项目不在生态保护红线范围内，且不在当地饮用水源、风景区、自然保护区等生态保护区内</w:t>
                  </w:r>
                  <w:r>
                    <w:rPr>
                      <w:rFonts w:hint="eastAsia"/>
                      <w:color w:val="auto"/>
                      <w:sz w:val="21"/>
                      <w:szCs w:val="21"/>
                      <w:lang w:eastAsia="zh-CN"/>
                    </w:rPr>
                    <w:t>，</w:t>
                  </w:r>
                  <w:r>
                    <w:rPr>
                      <w:color w:val="auto"/>
                      <w:sz w:val="21"/>
                      <w:szCs w:val="21"/>
                    </w:rPr>
                    <w:t>项目的建设不涉及生态保护红线</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color w:val="auto"/>
                      <w:sz w:val="21"/>
                      <w:szCs w:val="21"/>
                    </w:rPr>
                  </w:pPr>
                  <w:r>
                    <w:rPr>
                      <w:b/>
                      <w:bCs/>
                      <w:color w:val="auto"/>
                      <w:sz w:val="21"/>
                      <w:szCs w:val="21"/>
                    </w:rPr>
                    <w:t>环境质量底线</w:t>
                  </w:r>
                  <w:r>
                    <w:rPr>
                      <w:color w:val="auto"/>
                      <w:sz w:val="21"/>
                      <w:szCs w:val="21"/>
                    </w:rPr>
                    <w:t>是国家和地方设置的大气、水和土壤环境质量目标，也是改善环境质量的基准线。</w:t>
                  </w:r>
                </w:p>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eastAsia"/>
                      <w:color w:val="auto"/>
                      <w:sz w:val="21"/>
                      <w:szCs w:val="21"/>
                    </w:rPr>
                  </w:pPr>
                  <w:r>
                    <w:rPr>
                      <w:rFonts w:hint="eastAsia"/>
                      <w:b/>
                      <w:bCs/>
                      <w:color w:val="auto"/>
                      <w:sz w:val="21"/>
                      <w:szCs w:val="21"/>
                      <w:lang w:val="en-US" w:eastAsia="zh-CN"/>
                    </w:rPr>
                    <w:t>大气环境分区管控要求：</w:t>
                  </w:r>
                  <w:r>
                    <w:rPr>
                      <w:rFonts w:hint="eastAsia"/>
                      <w:color w:val="auto"/>
                      <w:sz w:val="21"/>
                      <w:szCs w:val="21"/>
                    </w:rPr>
                    <w:t>落实《安徽省大气污染防治条例》、《“十三五”生态环境保护规划》、《安徽省“十三五”环境保护规划》、《打赢蓝天保卫战三年行动计划》、《安徽省打赢蓝天保卫战三年行动计划实施方案》、《重点行业挥发性有机物综合治理方案》等要求，严格目标实施计划，加强环境监管，促进生态环境质量好转。</w:t>
                  </w:r>
                </w:p>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eastAsia" w:ascii="Times New Roman" w:hAnsi="Times New Roman" w:eastAsia="宋体" w:cs="Times New Roman"/>
                      <w:color w:val="auto"/>
                      <w:sz w:val="21"/>
                      <w:szCs w:val="21"/>
                    </w:rPr>
                  </w:pPr>
                  <w:r>
                    <w:rPr>
                      <w:rFonts w:hint="eastAsia"/>
                      <w:b/>
                      <w:bCs/>
                      <w:color w:val="auto"/>
                      <w:sz w:val="21"/>
                      <w:szCs w:val="21"/>
                      <w:lang w:val="en-US" w:eastAsia="zh-CN"/>
                    </w:rPr>
                    <w:t>水环境分区管控要求：</w:t>
                  </w:r>
                  <w:r>
                    <w:rPr>
                      <w:rFonts w:hint="eastAsia" w:ascii="Times New Roman" w:hAnsi="Times New Roman" w:eastAsia="宋体" w:cs="Times New Roman"/>
                      <w:color w:val="auto"/>
                      <w:sz w:val="21"/>
                      <w:szCs w:val="21"/>
                    </w:rPr>
                    <w:t>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三五”生态环境保护规划》《安徽省“十三五”环境保护规划》《安徽省“十三五”节能减排实施方案》等要求，新建、改建和扩建项目水污染物实施“等量替代”。</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textAlignment w:val="auto"/>
                    <w:rPr>
                      <w:rFonts w:hint="default"/>
                      <w:color w:val="auto"/>
                      <w:lang w:val="en-US" w:eastAsia="zh-CN"/>
                    </w:rPr>
                  </w:pPr>
                  <w:r>
                    <w:rPr>
                      <w:rFonts w:hint="eastAsia" w:ascii="Times New Roman" w:hAnsi="Times New Roman" w:eastAsia="宋体" w:cs="Times New Roman"/>
                      <w:b/>
                      <w:bCs/>
                      <w:color w:val="auto"/>
                      <w:kern w:val="2"/>
                      <w:sz w:val="21"/>
                      <w:szCs w:val="21"/>
                      <w:lang w:val="en-US" w:eastAsia="zh-CN" w:bidi="ar-SA"/>
                    </w:rPr>
                    <w:t>土壤环境风险分区防控要求：</w:t>
                  </w:r>
                  <w:r>
                    <w:rPr>
                      <w:rFonts w:hint="eastAsia" w:ascii="Times New Roman" w:hAnsi="Times New Roman" w:eastAsia="宋体" w:cs="Times New Roman"/>
                      <w:b w:val="0"/>
                      <w:bCs/>
                      <w:color w:val="auto"/>
                      <w:kern w:val="2"/>
                      <w:sz w:val="21"/>
                      <w:szCs w:val="21"/>
                      <w:lang w:val="en-US" w:eastAsia="zh-CN" w:bidi="ar-SA"/>
                    </w:rPr>
                    <w:t>依据《中华人民共和国土壤污染防治法》《土壤污染防治行动计划》《安徽省土壤污染防治工作方案》《安徽省“十三五”环境保护规划》等要求及各市土壤污染防治工作方案对一般管控区实施管控。</w:t>
                  </w:r>
                </w:p>
              </w:tc>
              <w:tc>
                <w:tcPr>
                  <w:tcW w:w="29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eastAsia"/>
                      <w:color w:val="auto"/>
                      <w:sz w:val="21"/>
                      <w:szCs w:val="21"/>
                    </w:rPr>
                  </w:pPr>
                  <w:r>
                    <w:rPr>
                      <w:rFonts w:hint="eastAsia"/>
                      <w:b/>
                      <w:bCs/>
                      <w:color w:val="auto"/>
                      <w:sz w:val="21"/>
                      <w:szCs w:val="21"/>
                      <w:lang w:val="en-US" w:eastAsia="zh-CN"/>
                    </w:rPr>
                    <w:t>大气环境符合性分析：</w:t>
                  </w:r>
                  <w:r>
                    <w:rPr>
                      <w:rFonts w:hint="eastAsia"/>
                      <w:color w:val="auto"/>
                      <w:sz w:val="21"/>
                      <w:szCs w:val="21"/>
                    </w:rPr>
                    <w:t>根据《2022年度淮北市生态环境状况公报》显示，项目区域大气污染物 SO</w:t>
                  </w:r>
                  <w:r>
                    <w:rPr>
                      <w:rFonts w:hint="eastAsia"/>
                      <w:color w:val="auto"/>
                      <w:sz w:val="21"/>
                      <w:szCs w:val="21"/>
                      <w:vertAlign w:val="subscript"/>
                    </w:rPr>
                    <w:t>2</w:t>
                  </w:r>
                  <w:r>
                    <w:rPr>
                      <w:rFonts w:hint="eastAsia"/>
                      <w:color w:val="auto"/>
                      <w:sz w:val="21"/>
                      <w:szCs w:val="21"/>
                    </w:rPr>
                    <w:t>、NO</w:t>
                  </w:r>
                  <w:r>
                    <w:rPr>
                      <w:rFonts w:hint="eastAsia"/>
                      <w:color w:val="auto"/>
                      <w:sz w:val="21"/>
                      <w:szCs w:val="21"/>
                      <w:vertAlign w:val="subscript"/>
                    </w:rPr>
                    <w:t>2</w:t>
                  </w:r>
                  <w:r>
                    <w:rPr>
                      <w:rFonts w:hint="eastAsia"/>
                      <w:color w:val="auto"/>
                      <w:sz w:val="21"/>
                      <w:szCs w:val="21"/>
                    </w:rPr>
                    <w:t>年均浓度均达到《环境空气质量标准》（GB3095-2012）中一级标准浓度限值；CO日均值第95百分位数为1.0毫克/立方米，达到国家二级标准；2022年城市臭氧年日最大8小时滑动平均第90百分位值为168微克/立方米，超过二级标准要求；2022年城市可吸入颗粒物年均值为70微克/立方米，达到国家二级标准；2022年城市细颗粒物年均值为42微克/立方米，达到省控目标49.8微克/立方米的要求，超过国家二级标准0.20倍。因此，项目所在区域属于环境空气属于不达标区。</w:t>
                  </w:r>
                </w:p>
                <w:p>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eastAsia"/>
                      <w:color w:val="auto"/>
                      <w:sz w:val="21"/>
                      <w:szCs w:val="21"/>
                    </w:rPr>
                  </w:pPr>
                  <w:r>
                    <w:rPr>
                      <w:rFonts w:hint="eastAsia"/>
                      <w:color w:val="auto"/>
                      <w:sz w:val="21"/>
                      <w:szCs w:val="21"/>
                    </w:rPr>
                    <w:t>该项目所在区域通过市政府大力推进锅炉淘汰改造、施工工地扬尘治理、强化移动污染源防治等系列整治措施，区域大气环境将得到改善。本项目产生的大气污染物量较少，且均配备的有效的污染处置措施，各污染物达标排放，不会对区域大气环境质量产生明显影响。</w:t>
                  </w:r>
                </w:p>
                <w:p>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eastAsia" w:ascii="Times New Roman" w:hAnsi="Times New Roman" w:eastAsia="宋体" w:cs="Times New Roman"/>
                      <w:color w:val="auto"/>
                      <w:sz w:val="21"/>
                      <w:szCs w:val="21"/>
                    </w:rPr>
                  </w:pPr>
                  <w:r>
                    <w:rPr>
                      <w:rFonts w:hint="eastAsia" w:ascii="宋体" w:hAnsi="宋体" w:eastAsia="宋体" w:cs="宋体"/>
                      <w:b/>
                      <w:bCs w:val="0"/>
                      <w:color w:val="auto"/>
                      <w:sz w:val="21"/>
                      <w:szCs w:val="21"/>
                      <w:lang w:val="en-US" w:eastAsia="zh-CN"/>
                    </w:rPr>
                    <w:t>水环境符合性分析：</w:t>
                  </w:r>
                  <w:r>
                    <w:rPr>
                      <w:rFonts w:hint="eastAsia" w:ascii="Times New Roman" w:hAnsi="Times New Roman" w:eastAsia="宋体" w:cs="Times New Roman"/>
                      <w:color w:val="auto"/>
                      <w:sz w:val="21"/>
                      <w:szCs w:val="21"/>
                    </w:rPr>
                    <w:t>管控目标为以《安徽省水污染防治工作方案》、《淮北市水污染防治工作方案》及水质目标责任书为依据，本着环境质量不退化、功能不降低的原则，拟定2025年至2035年的地表水新濉河断面水质目标为III类。本项目生产过程的混合废水满足污水接管要求，一并排入开发区污水管网，最终进入市污水处理厂集中处理，对地表水环境影响小。</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textAlignment w:val="auto"/>
                    <w:rPr>
                      <w:rFonts w:hint="default" w:eastAsia="黑体"/>
                      <w:color w:val="auto"/>
                      <w:lang w:val="en-US" w:eastAsia="zh-CN"/>
                    </w:rPr>
                  </w:pPr>
                  <w:r>
                    <w:rPr>
                      <w:rFonts w:hint="eastAsia" w:ascii="宋体" w:hAnsi="宋体" w:eastAsia="宋体" w:cs="宋体"/>
                      <w:b/>
                      <w:bCs w:val="0"/>
                      <w:color w:val="auto"/>
                      <w:kern w:val="2"/>
                      <w:sz w:val="21"/>
                      <w:szCs w:val="21"/>
                      <w:lang w:val="en-US" w:eastAsia="zh-CN" w:bidi="ar-SA"/>
                    </w:rPr>
                    <w:t>土壤环境符合性分析：</w:t>
                  </w:r>
                  <w:r>
                    <w:rPr>
                      <w:rFonts w:hint="eastAsia" w:ascii="宋体" w:hAnsi="宋体" w:eastAsia="宋体" w:cs="宋体"/>
                      <w:b w:val="0"/>
                      <w:bCs/>
                      <w:color w:val="auto"/>
                      <w:kern w:val="2"/>
                      <w:sz w:val="21"/>
                      <w:szCs w:val="21"/>
                      <w:lang w:val="en-US" w:eastAsia="zh-CN" w:bidi="ar-SA"/>
                    </w:rPr>
                    <w:t>本项目雨污分流，</w:t>
                  </w:r>
                  <w:r>
                    <w:rPr>
                      <w:b w:val="0"/>
                      <w:bCs/>
                      <w:color w:val="auto"/>
                      <w:sz w:val="21"/>
                      <w:szCs w:val="21"/>
                    </w:rPr>
                    <w:t>项目生产</w:t>
                  </w:r>
                  <w:r>
                    <w:rPr>
                      <w:rFonts w:hint="eastAsia"/>
                      <w:b w:val="0"/>
                      <w:bCs/>
                      <w:color w:val="auto"/>
                      <w:sz w:val="21"/>
                      <w:szCs w:val="21"/>
                      <w:lang w:val="en-US" w:eastAsia="zh-CN"/>
                    </w:rPr>
                    <w:t>废水，生活污水，经隔油池预处理的食堂废水，一同进入</w:t>
                  </w:r>
                  <w:r>
                    <w:rPr>
                      <w:rFonts w:hint="eastAsia"/>
                      <w:b w:val="0"/>
                      <w:bCs/>
                      <w:color w:val="auto"/>
                      <w:sz w:val="21"/>
                      <w:szCs w:val="21"/>
                    </w:rPr>
                    <w:t>园区污水处理厂处理</w:t>
                  </w:r>
                  <w:r>
                    <w:rPr>
                      <w:b w:val="0"/>
                      <w:bCs/>
                      <w:color w:val="auto"/>
                      <w:sz w:val="21"/>
                      <w:szCs w:val="21"/>
                    </w:rPr>
                    <w:t>。</w:t>
                  </w:r>
                  <w:r>
                    <w:rPr>
                      <w:rFonts w:hint="eastAsia" w:ascii="宋体" w:hAnsi="宋体" w:eastAsia="宋体" w:cs="宋体"/>
                      <w:b w:val="0"/>
                      <w:bCs/>
                      <w:color w:val="auto"/>
                      <w:kern w:val="2"/>
                      <w:sz w:val="21"/>
                      <w:szCs w:val="21"/>
                      <w:lang w:val="en-US" w:eastAsia="zh-CN" w:bidi="ar-SA"/>
                    </w:rPr>
                    <w:t>项目设置分区防渗、源头控制等措施，可将土壤影响降低到最低程度，总体上本项目建设不会对土壤环境造成影响。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06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both"/>
                    <w:textAlignment w:val="auto"/>
                    <w:rPr>
                      <w:rFonts w:hint="eastAsia" w:eastAsia="宋体"/>
                      <w:color w:val="auto"/>
                      <w:sz w:val="21"/>
                      <w:szCs w:val="21"/>
                      <w:lang w:eastAsia="zh-CN"/>
                    </w:rPr>
                  </w:pPr>
                  <w:r>
                    <w:rPr>
                      <w:color w:val="auto"/>
                      <w:sz w:val="21"/>
                      <w:szCs w:val="21"/>
                    </w:rPr>
                    <w:t>资源是环境的载体，资源利用上线是各地区能源、水、土地等资源消耗不得突破的</w:t>
                  </w:r>
                  <w:r>
                    <w:rPr>
                      <w:rFonts w:hint="eastAsia"/>
                      <w:color w:val="auto"/>
                      <w:sz w:val="21"/>
                      <w:szCs w:val="21"/>
                      <w:lang w:eastAsia="zh-CN"/>
                    </w:rPr>
                    <w:t>“</w:t>
                  </w:r>
                  <w:r>
                    <w:rPr>
                      <w:color w:val="auto"/>
                      <w:sz w:val="21"/>
                      <w:szCs w:val="21"/>
                    </w:rPr>
                    <w:t>天花板</w:t>
                  </w:r>
                  <w:r>
                    <w:rPr>
                      <w:rFonts w:hint="eastAsia"/>
                      <w:color w:val="auto"/>
                      <w:sz w:val="21"/>
                      <w:szCs w:val="21"/>
                      <w:lang w:eastAsia="zh-CN"/>
                    </w:rPr>
                    <w:t>”</w:t>
                  </w:r>
                  <w:r>
                    <w:rPr>
                      <w:color w:val="auto"/>
                      <w:sz w:val="21"/>
                      <w:szCs w:val="21"/>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r>
                    <w:rPr>
                      <w:rFonts w:hint="eastAsia"/>
                      <w:color w:val="auto"/>
                      <w:sz w:val="21"/>
                      <w:szCs w:val="21"/>
                      <w:lang w:eastAsia="zh-CN"/>
                    </w:rPr>
                    <w:t>。</w:t>
                  </w:r>
                </w:p>
              </w:tc>
              <w:tc>
                <w:tcPr>
                  <w:tcW w:w="29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auto"/>
                    <w:rPr>
                      <w:rFonts w:hint="eastAsia" w:eastAsia="宋体"/>
                      <w:color w:val="auto"/>
                      <w:sz w:val="21"/>
                      <w:szCs w:val="21"/>
                      <w:lang w:eastAsia="zh-CN"/>
                    </w:rPr>
                  </w:pPr>
                  <w:r>
                    <w:rPr>
                      <w:rFonts w:hint="eastAsia" w:ascii="宋体" w:hAnsi="宋体" w:eastAsia="宋体" w:cs="宋体"/>
                      <w:b w:val="0"/>
                      <w:bCs/>
                      <w:color w:val="auto"/>
                      <w:kern w:val="2"/>
                      <w:sz w:val="21"/>
                      <w:szCs w:val="21"/>
                      <w:lang w:val="en-US" w:eastAsia="zh-CN" w:bidi="ar-SA"/>
                    </w:rPr>
                    <w:t>本项目位于安徽淮北市相山经济开发区凤冠路20号，用水来源于市政自来水，主要为生产用水。当地自来水厂能够满足本项目的新鲜水使用要求；用电由开发区变电所负责提供，依托厂区现有变压器。蒸汽使用由园区集中供气。因此，本项目用水、用电等均在园区供应能力范围内，不突破区域资源利用上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textAlignment w:val="auto"/>
                    <w:rPr>
                      <w:color w:val="auto"/>
                      <w:sz w:val="21"/>
                      <w:szCs w:val="21"/>
                    </w:rPr>
                  </w:pPr>
                  <w:r>
                    <w:rPr>
                      <w:rFonts w:hint="eastAsia"/>
                      <w:b/>
                      <w:bCs/>
                      <w:color w:val="auto"/>
                      <w:sz w:val="21"/>
                      <w:szCs w:val="21"/>
                      <w:lang w:val="en-US" w:eastAsia="zh-CN"/>
                    </w:rPr>
                    <w:t>生态环境准入清单：</w:t>
                  </w:r>
                  <w:r>
                    <w:rPr>
                      <w:rFonts w:hint="eastAsia"/>
                      <w:color w:val="auto"/>
                      <w:sz w:val="21"/>
                      <w:szCs w:val="21"/>
                    </w:rPr>
                    <w:t>对于重点管控单元，着重从现有源排放削减、新增源等量或倍量</w:t>
                  </w:r>
                  <w:r>
                    <w:rPr>
                      <w:color w:val="auto"/>
                      <w:sz w:val="21"/>
                      <w:szCs w:val="21"/>
                    </w:rPr>
                    <w:t>替代</w:t>
                  </w:r>
                  <w:r>
                    <w:rPr>
                      <w:rFonts w:hint="eastAsia"/>
                      <w:color w:val="auto"/>
                      <w:sz w:val="21"/>
                      <w:szCs w:val="21"/>
                    </w:rPr>
                    <w:t>、</w:t>
                  </w:r>
                  <w:r>
                    <w:rPr>
                      <w:color w:val="auto"/>
                      <w:sz w:val="21"/>
                      <w:szCs w:val="21"/>
                    </w:rPr>
                    <w:t>排放标准加严</w:t>
                  </w:r>
                  <w:r>
                    <w:rPr>
                      <w:rFonts w:hint="eastAsia"/>
                      <w:color w:val="auto"/>
                      <w:sz w:val="21"/>
                      <w:szCs w:val="21"/>
                    </w:rPr>
                    <w:t>、区域污染联防联控或污染物允许排放量等方面提出污染物排放管控要求；从土地用途管控</w:t>
                  </w:r>
                  <w:r>
                    <w:rPr>
                      <w:color w:val="auto"/>
                      <w:sz w:val="21"/>
                      <w:szCs w:val="21"/>
                    </w:rPr>
                    <w:t>、</w:t>
                  </w:r>
                  <w:r>
                    <w:rPr>
                      <w:rFonts w:hint="eastAsia"/>
                      <w:color w:val="auto"/>
                      <w:sz w:val="21"/>
                      <w:szCs w:val="21"/>
                    </w:rPr>
                    <w:t>环境基础设施布局优化、环境事故风险防控、有毒有害污染物和易燃易爆物质环境风险防控等方面提出环境风险防控要求；从水资源开发利用效率、地下水开采禁止或者限制要求，土地资源集约利用要求，能源利用效率、禁燃区要求等方面提出资源开发效率要求，并提出相关基础设施建设和管理的要求。</w:t>
                  </w:r>
                </w:p>
              </w:tc>
              <w:tc>
                <w:tcPr>
                  <w:tcW w:w="293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right="0"/>
                    <w:jc w:val="both"/>
                    <w:textAlignment w:val="auto"/>
                    <w:rPr>
                      <w:rFonts w:hint="default" w:eastAsia="宋体"/>
                      <w:color w:val="auto"/>
                      <w:sz w:val="21"/>
                      <w:szCs w:val="21"/>
                      <w:lang w:val="en-US" w:eastAsia="zh-CN"/>
                    </w:rPr>
                  </w:pPr>
                  <w:r>
                    <w:rPr>
                      <w:rFonts w:hint="eastAsia" w:ascii="宋体" w:hAnsi="宋体" w:eastAsia="宋体" w:cs="宋体"/>
                      <w:b w:val="0"/>
                      <w:bCs/>
                      <w:color w:val="auto"/>
                      <w:kern w:val="2"/>
                      <w:sz w:val="21"/>
                      <w:szCs w:val="21"/>
                      <w:lang w:val="en-US" w:eastAsia="zh-CN" w:bidi="ar-SA"/>
                    </w:rPr>
                    <w:t>本项目位于淮北市相山经济技术开发区凤冠路20号，用地性质为工业用地，项目生产</w:t>
                  </w:r>
                  <w:r>
                    <w:rPr>
                      <w:rFonts w:hint="eastAsia" w:ascii="宋体" w:hAnsi="宋体" w:cs="宋体"/>
                      <w:b w:val="0"/>
                      <w:bCs/>
                      <w:color w:val="auto"/>
                      <w:kern w:val="2"/>
                      <w:sz w:val="21"/>
                      <w:szCs w:val="21"/>
                      <w:lang w:val="en-US" w:eastAsia="zh-CN" w:bidi="ar-SA"/>
                    </w:rPr>
                    <w:t>不</w:t>
                  </w:r>
                  <w:r>
                    <w:rPr>
                      <w:rFonts w:hint="eastAsia" w:ascii="宋体" w:hAnsi="宋体" w:eastAsia="宋体" w:cs="宋体"/>
                      <w:b w:val="0"/>
                      <w:bCs/>
                      <w:color w:val="auto"/>
                      <w:kern w:val="2"/>
                      <w:sz w:val="21"/>
                      <w:szCs w:val="21"/>
                      <w:lang w:val="en-US" w:eastAsia="zh-CN" w:bidi="ar-SA"/>
                    </w:rPr>
                    <w:t>涉及危险物质</w:t>
                  </w:r>
                  <w:r>
                    <w:rPr>
                      <w:rFonts w:hint="eastAsia" w:ascii="宋体" w:hAnsi="宋体" w:cs="宋体"/>
                      <w:b w:val="0"/>
                      <w:bCs/>
                      <w:color w:val="auto"/>
                      <w:kern w:val="2"/>
                      <w:sz w:val="21"/>
                      <w:szCs w:val="21"/>
                      <w:lang w:val="en-US" w:eastAsia="zh-CN" w:bidi="ar-SA"/>
                    </w:rPr>
                    <w:t>，</w:t>
                  </w:r>
                  <w:r>
                    <w:rPr>
                      <w:rFonts w:hint="eastAsia"/>
                      <w:bCs/>
                      <w:color w:val="auto"/>
                      <w:sz w:val="21"/>
                      <w:szCs w:val="21"/>
                      <w:lang w:val="en-US" w:eastAsia="zh-CN"/>
                    </w:rPr>
                    <w:t>项目生产生活用水使用市政自来水，总体上本项目建设可以满足相关要求。</w:t>
                  </w:r>
                </w:p>
              </w:tc>
            </w:tr>
          </w:tbl>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宋体" w:hAnsi="宋体" w:eastAsia="宋体" w:cs="宋体"/>
                <w:b/>
                <w:bCs/>
                <w:sz w:val="24"/>
              </w:rPr>
            </w:pPr>
            <w:r>
              <w:rPr>
                <w:rFonts w:hint="eastAsia" w:ascii="宋体" w:hAnsi="宋体" w:eastAsia="宋体" w:cs="宋体"/>
                <w:b/>
                <w:bCs/>
                <w:sz w:val="24"/>
              </w:rPr>
              <w:t>表</w:t>
            </w:r>
            <w:r>
              <w:rPr>
                <w:rFonts w:hint="eastAsia" w:ascii="宋体" w:hAnsi="宋体" w:eastAsia="宋体" w:cs="宋体"/>
                <w:b/>
                <w:bCs/>
                <w:sz w:val="24"/>
                <w:lang w:val="en-US" w:eastAsia="zh-CN"/>
              </w:rPr>
              <w:t>1-4</w:t>
            </w:r>
            <w:r>
              <w:rPr>
                <w:rFonts w:hint="eastAsia" w:ascii="宋体" w:hAnsi="宋体" w:eastAsia="宋体" w:cs="宋体"/>
                <w:b/>
                <w:bCs/>
                <w:sz w:val="24"/>
              </w:rPr>
              <w:t xml:space="preserve">  项目与“三线一单生态环境准入清单”符合性分析</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66"/>
              <w:gridCol w:w="1417"/>
              <w:gridCol w:w="3117"/>
              <w:gridCol w:w="1196"/>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b/>
                      <w:sz w:val="21"/>
                      <w:szCs w:val="21"/>
                    </w:rPr>
                  </w:pPr>
                  <w:r>
                    <w:rPr>
                      <w:rFonts w:hAnsi="宋体"/>
                      <w:b/>
                      <w:sz w:val="21"/>
                      <w:szCs w:val="21"/>
                    </w:rPr>
                    <w:t>管控层级要求</w:t>
                  </w:r>
                </w:p>
              </w:tc>
              <w:tc>
                <w:tcPr>
                  <w:tcW w:w="6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b/>
                      <w:sz w:val="21"/>
                      <w:szCs w:val="21"/>
                    </w:rPr>
                  </w:pPr>
                  <w:r>
                    <w:rPr>
                      <w:rFonts w:hAnsi="宋体"/>
                      <w:b/>
                      <w:sz w:val="21"/>
                      <w:szCs w:val="21"/>
                    </w:rPr>
                    <w:t>管控类型</w:t>
                  </w:r>
                </w:p>
              </w:tc>
              <w:tc>
                <w:tcPr>
                  <w:tcW w:w="453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b/>
                      <w:sz w:val="21"/>
                      <w:szCs w:val="21"/>
                    </w:rPr>
                  </w:pPr>
                  <w:r>
                    <w:rPr>
                      <w:rFonts w:hAnsi="宋体"/>
                      <w:b/>
                      <w:sz w:val="21"/>
                      <w:szCs w:val="21"/>
                    </w:rPr>
                    <w:t>管控要求</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b/>
                      <w:sz w:val="21"/>
                      <w:szCs w:val="21"/>
                    </w:rPr>
                  </w:pPr>
                  <w:r>
                    <w:rPr>
                      <w:rFonts w:hAnsi="宋体"/>
                      <w:b/>
                      <w:sz w:val="21"/>
                      <w:szCs w:val="21"/>
                    </w:rPr>
                    <w:t>项目对应情况介绍</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Ansi="宋体"/>
                      <w:b/>
                      <w:sz w:val="21"/>
                      <w:szCs w:val="21"/>
                    </w:rPr>
                  </w:pPr>
                  <w:r>
                    <w:rPr>
                      <w:rFonts w:hAnsi="宋体"/>
                      <w:b/>
                      <w:sz w:val="21"/>
                      <w:szCs w:val="21"/>
                    </w:rPr>
                    <w:t>符合性分析</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b/>
                      <w:sz w:val="21"/>
                      <w:szCs w:val="21"/>
                    </w:rPr>
                  </w:pPr>
                  <w:r>
                    <w:rPr>
                      <w:rFonts w:hAnsi="宋体"/>
                      <w:b/>
                      <w:sz w:val="21"/>
                      <w:szCs w:val="21"/>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5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淮</w:t>
                  </w:r>
                  <w:r>
                    <w:rPr>
                      <w:rFonts w:hint="eastAsia" w:hAnsi="宋体"/>
                      <w:sz w:val="21"/>
                      <w:szCs w:val="21"/>
                      <w:lang w:val="en-US" w:eastAsia="zh-CN"/>
                    </w:rPr>
                    <w:t>北</w:t>
                  </w:r>
                  <w:r>
                    <w:rPr>
                      <w:rFonts w:hAnsi="宋体"/>
                      <w:sz w:val="21"/>
                      <w:szCs w:val="21"/>
                    </w:rPr>
                    <w:t>市</w:t>
                  </w:r>
                  <w:r>
                    <w:rPr>
                      <w:rFonts w:hint="eastAsia" w:hAnsi="宋体"/>
                      <w:sz w:val="21"/>
                      <w:szCs w:val="21"/>
                      <w:lang w:val="en-US" w:eastAsia="zh-CN"/>
                    </w:rPr>
                    <w:t>重点</w:t>
                  </w:r>
                  <w:r>
                    <w:rPr>
                      <w:rFonts w:hAnsi="宋体"/>
                      <w:sz w:val="21"/>
                      <w:szCs w:val="21"/>
                    </w:rPr>
                    <w:t>管控单元</w:t>
                  </w:r>
                </w:p>
              </w:tc>
              <w:tc>
                <w:tcPr>
                  <w:tcW w:w="66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空间布局约束</w:t>
                  </w:r>
                </w:p>
              </w:tc>
              <w:tc>
                <w:tcPr>
                  <w:tcW w:w="14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Ansi="宋体"/>
                      <w:sz w:val="21"/>
                      <w:szCs w:val="21"/>
                    </w:rPr>
                  </w:pPr>
                  <w:r>
                    <w:rPr>
                      <w:rFonts w:hAnsi="宋体"/>
                      <w:sz w:val="21"/>
                      <w:szCs w:val="21"/>
                    </w:rPr>
                    <w:t>禁止开发建设活动的</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要求</w:t>
                  </w:r>
                </w:p>
              </w:tc>
              <w:tc>
                <w:tcPr>
                  <w:tcW w:w="3117" w:type="dxa"/>
                  <w:tcBorders>
                    <w:tl2br w:val="nil"/>
                    <w:tr2bl w:val="nil"/>
                  </w:tcBorders>
                  <w:noWrap w:val="0"/>
                  <w:vAlign w:val="center"/>
                </w:tcPr>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right="0"/>
                    <w:jc w:val="center"/>
                    <w:textAlignment w:val="auto"/>
                    <w:rPr>
                      <w:sz w:val="21"/>
                      <w:szCs w:val="21"/>
                    </w:rPr>
                  </w:pPr>
                  <w:r>
                    <w:rPr>
                      <w:rFonts w:ascii="Times New Roman" w:hAnsi="Times New Roman"/>
                      <w:sz w:val="21"/>
                      <w:szCs w:val="21"/>
                    </w:rPr>
                    <w:t>在城市城区及其近郊禁止新建、扩建钢铁、有色、石化、水泥、化工等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sz w:val="21"/>
                      <w:szCs w:val="21"/>
                    </w:rPr>
                  </w:pPr>
                  <w:r>
                    <w:rPr>
                      <w:rFonts w:ascii="Times New Roman" w:hAnsi="Times New Roman"/>
                      <w:sz w:val="21"/>
                      <w:szCs w:val="21"/>
                    </w:rPr>
                    <w:t>重污染企业。</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eastAsia="宋体"/>
                      <w:sz w:val="21"/>
                      <w:szCs w:val="21"/>
                      <w:lang w:val="en-US" w:eastAsia="zh-CN"/>
                    </w:rPr>
                  </w:pPr>
                  <w:r>
                    <w:rPr>
                      <w:rFonts w:hint="eastAsia" w:hAnsi="宋体"/>
                      <w:sz w:val="21"/>
                      <w:szCs w:val="21"/>
                    </w:rPr>
                    <w:t>本项目</w:t>
                  </w:r>
                  <w:r>
                    <w:rPr>
                      <w:rFonts w:hint="eastAsia" w:hAnsi="宋体"/>
                      <w:sz w:val="21"/>
                      <w:szCs w:val="21"/>
                      <w:lang w:val="en-US" w:eastAsia="zh-CN"/>
                    </w:rPr>
                    <w:t>属于</w:t>
                  </w:r>
                  <w:r>
                    <w:rPr>
                      <w:rFonts w:hint="eastAsia" w:eastAsia="宋体"/>
                      <w:sz w:val="21"/>
                      <w:szCs w:val="21"/>
                      <w:lang w:val="en-US" w:eastAsia="zh-CN"/>
                    </w:rPr>
                    <w:t>（瓶）罐装饮用水制造</w:t>
                  </w:r>
                  <w:r>
                    <w:rPr>
                      <w:rFonts w:hint="eastAsia" w:eastAsia="宋体"/>
                      <w:sz w:val="21"/>
                      <w:szCs w:val="21"/>
                    </w:rPr>
                    <w:t>业</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2、</w:t>
                  </w:r>
                  <w:r>
                    <w:rPr>
                      <w:rFonts w:ascii="Times New Roman" w:hAnsi="Times New Roman"/>
                      <w:sz w:val="21"/>
                      <w:szCs w:val="21"/>
                    </w:rPr>
                    <w:t>禁止新建燃料类煤气发生炉（园区现有企业统一建设的清洁煤制气中心除外）。</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sz w:val="21"/>
                      <w:szCs w:val="21"/>
                    </w:rPr>
                  </w:pPr>
                  <w:r>
                    <w:rPr>
                      <w:rFonts w:hint="eastAsia" w:hAnsi="宋体"/>
                      <w:color w:val="auto"/>
                      <w:sz w:val="21"/>
                      <w:szCs w:val="21"/>
                    </w:rPr>
                    <w:t>本项目</w:t>
                  </w:r>
                  <w:r>
                    <w:rPr>
                      <w:rFonts w:hint="eastAsia" w:hAnsi="宋体"/>
                      <w:color w:val="auto"/>
                      <w:sz w:val="21"/>
                      <w:szCs w:val="21"/>
                      <w:lang w:val="en-US" w:eastAsia="zh-CN"/>
                    </w:rPr>
                    <w:t>使用蒸汽，由园区供应</w:t>
                  </w:r>
                  <w:r>
                    <w:rPr>
                      <w:color w:val="FF0000"/>
                      <w:sz w:val="21"/>
                      <w:szCs w:val="21"/>
                    </w:rPr>
                    <w:t xml:space="preserve"> </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3、</w:t>
                  </w:r>
                  <w:r>
                    <w:rPr>
                      <w:rFonts w:ascii="Times New Roman" w:hAnsi="Times New Roman"/>
                      <w:sz w:val="21"/>
                      <w:szCs w:val="21"/>
                    </w:rPr>
                    <w:t>严禁新增钢铁、焦化、电解铝、铸造、水泥和平板玻璃等产能；严格执行钢铁、水泥、平板玻璃等行业产能置换实施办法。</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sz w:val="21"/>
                      <w:szCs w:val="21"/>
                    </w:rPr>
                  </w:pPr>
                  <w:r>
                    <w:rPr>
                      <w:rFonts w:hint="eastAsia" w:hAnsi="宋体"/>
                      <w:sz w:val="21"/>
                      <w:szCs w:val="21"/>
                    </w:rPr>
                    <w:t>本项目</w:t>
                  </w:r>
                  <w:r>
                    <w:rPr>
                      <w:rFonts w:hint="eastAsia" w:hAnsi="宋体"/>
                      <w:sz w:val="21"/>
                      <w:szCs w:val="21"/>
                      <w:lang w:val="en-US" w:eastAsia="zh-CN"/>
                    </w:rPr>
                    <w:t>属于</w:t>
                  </w:r>
                  <w:r>
                    <w:rPr>
                      <w:rFonts w:hint="eastAsia" w:eastAsia="宋体"/>
                      <w:sz w:val="21"/>
                      <w:szCs w:val="21"/>
                      <w:lang w:val="en-US" w:eastAsia="zh-CN"/>
                    </w:rPr>
                    <w:t>（瓶）罐装饮用水制造</w:t>
                  </w:r>
                  <w:r>
                    <w:rPr>
                      <w:rFonts w:hint="eastAsia" w:eastAsia="宋体"/>
                      <w:sz w:val="21"/>
                      <w:szCs w:val="21"/>
                    </w:rPr>
                    <w:t>业</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4、</w:t>
                  </w:r>
                  <w:r>
                    <w:rPr>
                      <w:rFonts w:ascii="Times New Roman" w:hAnsi="Times New Roman"/>
                      <w:sz w:val="21"/>
                      <w:szCs w:val="21"/>
                    </w:rPr>
                    <w:t>严格执行国家关于</w:t>
                  </w:r>
                  <w:r>
                    <w:rPr>
                      <w:rFonts w:hint="eastAsia" w:ascii="Times New Roman" w:hAnsi="Times New Roman"/>
                      <w:sz w:val="21"/>
                      <w:szCs w:val="21"/>
                      <w:lang w:eastAsia="zh-CN"/>
                    </w:rPr>
                    <w:t>“</w:t>
                  </w:r>
                  <w:r>
                    <w:rPr>
                      <w:rFonts w:ascii="Times New Roman" w:hAnsi="Times New Roman"/>
                      <w:sz w:val="21"/>
                      <w:szCs w:val="21"/>
                    </w:rPr>
                    <w:t>两高</w:t>
                  </w:r>
                  <w:r>
                    <w:rPr>
                      <w:rFonts w:hint="eastAsia" w:ascii="Times New Roman" w:hAnsi="Times New Roman"/>
                      <w:sz w:val="21"/>
                      <w:szCs w:val="21"/>
                      <w:lang w:eastAsia="zh-CN"/>
                    </w:rPr>
                    <w:t>”</w:t>
                  </w:r>
                  <w:r>
                    <w:rPr>
                      <w:rFonts w:ascii="Times New Roman" w:hAnsi="Times New Roman"/>
                      <w:sz w:val="21"/>
                      <w:szCs w:val="21"/>
                    </w:rPr>
                    <w:t>产业准入目录和产能总量控制政策措施。严禁新增钢铁、焦化、电解铝、铸造、水泥和平板玻璃等产能；新、改、扩建涉及大宗物料运输的建设项目，原则上不得采用公路运输。</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eastAsia" w:eastAsia="宋体"/>
                      <w:sz w:val="21"/>
                      <w:szCs w:val="21"/>
                      <w:lang w:val="en-US" w:eastAsia="zh-CN"/>
                    </w:rPr>
                  </w:pPr>
                  <w:r>
                    <w:rPr>
                      <w:sz w:val="21"/>
                      <w:szCs w:val="21"/>
                    </w:rPr>
                    <w:t>本项目为</w:t>
                  </w:r>
                  <w:r>
                    <w:rPr>
                      <w:rFonts w:hint="eastAsia" w:eastAsia="宋体"/>
                      <w:sz w:val="21"/>
                      <w:szCs w:val="21"/>
                      <w:lang w:val="en-US" w:eastAsia="zh-CN"/>
                    </w:rPr>
                    <w:t>（瓶）罐装饮用水制造</w:t>
                  </w:r>
                  <w:r>
                    <w:rPr>
                      <w:rFonts w:hint="eastAsia" w:eastAsia="宋体"/>
                      <w:sz w:val="21"/>
                      <w:szCs w:val="21"/>
                    </w:rPr>
                    <w:t>业</w:t>
                  </w:r>
                  <w:r>
                    <w:rPr>
                      <w:sz w:val="21"/>
                      <w:szCs w:val="21"/>
                    </w:rPr>
                    <w:t>，不</w:t>
                  </w:r>
                  <w:r>
                    <w:rPr>
                      <w:rFonts w:hint="eastAsia"/>
                      <w:sz w:val="21"/>
                      <w:szCs w:val="21"/>
                      <w:lang w:val="en-US" w:eastAsia="zh-CN"/>
                    </w:rPr>
                    <w:t>涉及</w:t>
                  </w:r>
                  <w:r>
                    <w:rPr>
                      <w:rFonts w:ascii="Times New Roman" w:hAnsi="Times New Roman"/>
                      <w:sz w:val="21"/>
                      <w:szCs w:val="21"/>
                    </w:rPr>
                    <w:t>大宗物料运输</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5、</w:t>
                  </w:r>
                  <w:r>
                    <w:rPr>
                      <w:rFonts w:ascii="Times New Roman" w:hAnsi="Times New Roman"/>
                      <w:sz w:val="21"/>
                      <w:szCs w:val="21"/>
                    </w:rPr>
                    <w:t>禁止建设生产和使用高VOCs含量的溶剂型涂料、油墨、胶粘剂等项目。</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eastAsia" w:eastAsia="宋体"/>
                      <w:sz w:val="21"/>
                      <w:szCs w:val="21"/>
                      <w:lang w:eastAsia="zh-CN"/>
                    </w:rPr>
                  </w:pPr>
                  <w:r>
                    <w:rPr>
                      <w:rFonts w:hint="eastAsia" w:hAnsi="宋体"/>
                      <w:color w:val="auto"/>
                      <w:sz w:val="21"/>
                      <w:szCs w:val="21"/>
                    </w:rPr>
                    <w:t>本项目</w:t>
                  </w:r>
                  <w:r>
                    <w:rPr>
                      <w:rFonts w:hint="eastAsia" w:hAnsi="宋体"/>
                      <w:color w:val="auto"/>
                      <w:sz w:val="21"/>
                      <w:szCs w:val="21"/>
                      <w:lang w:val="en-US" w:eastAsia="zh-CN"/>
                    </w:rPr>
                    <w:t>生产不</w:t>
                  </w:r>
                  <w:r>
                    <w:rPr>
                      <w:rFonts w:ascii="Times New Roman" w:hAnsi="Times New Roman"/>
                      <w:color w:val="auto"/>
                      <w:sz w:val="21"/>
                      <w:szCs w:val="21"/>
                    </w:rPr>
                    <w:t>使用高VOCs含量的溶剂型涂料、油墨</w:t>
                  </w:r>
                  <w:r>
                    <w:rPr>
                      <w:rFonts w:ascii="Times New Roman" w:hAnsi="Times New Roman"/>
                      <w:sz w:val="21"/>
                      <w:szCs w:val="21"/>
                    </w:rPr>
                    <w:t>、胶粘剂</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right="0"/>
                    <w:jc w:val="center"/>
                    <w:textAlignment w:val="auto"/>
                    <w:rPr>
                      <w:rFonts w:ascii="Times New Roman" w:hAnsi="Times New Roman"/>
                      <w:sz w:val="21"/>
                      <w:szCs w:val="21"/>
                      <w:lang w:bidi="ar-SA"/>
                    </w:rPr>
                  </w:pPr>
                  <w:r>
                    <w:rPr>
                      <w:rFonts w:ascii="Times New Roman" w:hAnsi="Times New Roman"/>
                      <w:sz w:val="21"/>
                      <w:szCs w:val="21"/>
                      <w:lang w:bidi="ar-SA"/>
                    </w:rPr>
                    <w:t>在城市规划区内禁止新建、扩建大气污染严重的建设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sz w:val="21"/>
                      <w:szCs w:val="21"/>
                    </w:rPr>
                  </w:pPr>
                  <w:r>
                    <w:rPr>
                      <w:rFonts w:ascii="Times New Roman" w:hAnsi="Times New Roman"/>
                      <w:sz w:val="21"/>
                      <w:szCs w:val="21"/>
                      <w:lang w:bidi="ar-SA"/>
                    </w:rPr>
                    <w:t>项目。</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eastAsia="宋体"/>
                      <w:sz w:val="21"/>
                      <w:szCs w:val="21"/>
                      <w:lang w:val="en-US" w:eastAsia="zh-CN"/>
                    </w:rPr>
                  </w:pPr>
                  <w:r>
                    <w:rPr>
                      <w:rFonts w:hAnsi="宋体"/>
                      <w:sz w:val="21"/>
                      <w:szCs w:val="21"/>
                    </w:rPr>
                    <w:t>本项目</w:t>
                  </w:r>
                  <w:r>
                    <w:rPr>
                      <w:rFonts w:hint="eastAsia" w:hAnsi="宋体"/>
                      <w:sz w:val="21"/>
                      <w:szCs w:val="21"/>
                      <w:lang w:val="en-US" w:eastAsia="zh-CN"/>
                    </w:rPr>
                    <w:t>不属于大气污染严重的建设项目</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7、</w:t>
                  </w:r>
                  <w:r>
                    <w:rPr>
                      <w:rFonts w:ascii="Times New Roman" w:hAnsi="Times New Roman" w:cs="Times New Roman"/>
                      <w:kern w:val="2"/>
                      <w:sz w:val="21"/>
                      <w:szCs w:val="21"/>
                      <w:lang w:bidi="ar-SA"/>
                    </w:rPr>
                    <w:t>取缔</w:t>
                  </w:r>
                  <w:r>
                    <w:rPr>
                      <w:rFonts w:hint="eastAsia" w:ascii="Times New Roman" w:hAnsi="Times New Roman" w:cs="Times New Roman"/>
                      <w:kern w:val="2"/>
                      <w:sz w:val="21"/>
                      <w:szCs w:val="21"/>
                      <w:lang w:eastAsia="zh-CN" w:bidi="ar-SA"/>
                    </w:rPr>
                    <w:t>“</w:t>
                  </w:r>
                  <w:r>
                    <w:rPr>
                      <w:rFonts w:ascii="Times New Roman" w:hAnsi="Times New Roman" w:cs="Times New Roman"/>
                      <w:kern w:val="2"/>
                      <w:sz w:val="21"/>
                      <w:szCs w:val="21"/>
                      <w:lang w:bidi="ar-SA"/>
                    </w:rPr>
                    <w:t>十小</w:t>
                  </w:r>
                  <w:r>
                    <w:rPr>
                      <w:rFonts w:hint="eastAsia" w:ascii="Times New Roman" w:hAnsi="Times New Roman" w:cs="Times New Roman"/>
                      <w:kern w:val="2"/>
                      <w:sz w:val="21"/>
                      <w:szCs w:val="21"/>
                      <w:lang w:eastAsia="zh-CN" w:bidi="ar-SA"/>
                    </w:rPr>
                    <w:t>”</w:t>
                  </w:r>
                  <w:r>
                    <w:rPr>
                      <w:rFonts w:ascii="Times New Roman" w:hAnsi="Times New Roman" w:cs="Times New Roman"/>
                      <w:kern w:val="2"/>
                      <w:sz w:val="21"/>
                      <w:szCs w:val="21"/>
                      <w:lang w:bidi="ar-SA"/>
                    </w:rPr>
                    <w:t>企业。全面排查装备水平低、环保设施差的小型工业企业。按照水污染防治法律法规要求，全面排查和取缔不符合国家产业政策的小型造纸、制革、印染、染料、炼焦、炼硫、炼砷、炼油、电镀、农药等严重污染水环境的生产项目。</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eastAsia" w:eastAsia="宋体"/>
                      <w:sz w:val="21"/>
                      <w:szCs w:val="21"/>
                      <w:lang w:val="en-US" w:eastAsia="zh-CN"/>
                    </w:rPr>
                  </w:pPr>
                  <w:r>
                    <w:rPr>
                      <w:rFonts w:hAnsi="宋体"/>
                      <w:sz w:val="21"/>
                      <w:szCs w:val="21"/>
                    </w:rPr>
                    <w:t>本项目</w:t>
                  </w:r>
                  <w:r>
                    <w:rPr>
                      <w:rFonts w:hint="eastAsia" w:hAnsi="宋体"/>
                      <w:sz w:val="21"/>
                      <w:szCs w:val="21"/>
                      <w:lang w:val="en-US" w:eastAsia="zh-CN"/>
                    </w:rPr>
                    <w:t>不属于</w:t>
                  </w:r>
                  <w:r>
                    <w:rPr>
                      <w:rFonts w:hint="eastAsia" w:ascii="Times New Roman" w:hAnsi="Times New Roman" w:cs="Times New Roman"/>
                      <w:kern w:val="2"/>
                      <w:sz w:val="21"/>
                      <w:szCs w:val="21"/>
                      <w:lang w:eastAsia="zh-CN" w:bidi="ar-SA"/>
                    </w:rPr>
                    <w:t>“</w:t>
                  </w:r>
                  <w:r>
                    <w:rPr>
                      <w:rFonts w:ascii="Times New Roman" w:hAnsi="Times New Roman" w:cs="Times New Roman"/>
                      <w:kern w:val="2"/>
                      <w:sz w:val="21"/>
                      <w:szCs w:val="21"/>
                      <w:lang w:bidi="ar-SA"/>
                    </w:rPr>
                    <w:t>十小</w:t>
                  </w:r>
                  <w:r>
                    <w:rPr>
                      <w:rFonts w:hint="eastAsia" w:ascii="Times New Roman" w:hAnsi="Times New Roman" w:cs="Times New Roman"/>
                      <w:kern w:val="2"/>
                      <w:sz w:val="21"/>
                      <w:szCs w:val="21"/>
                      <w:lang w:eastAsia="zh-CN" w:bidi="ar-SA"/>
                    </w:rPr>
                    <w:t>”</w:t>
                  </w:r>
                  <w:r>
                    <w:rPr>
                      <w:rFonts w:ascii="Times New Roman" w:hAnsi="Times New Roman" w:cs="Times New Roman"/>
                      <w:kern w:val="2"/>
                      <w:sz w:val="21"/>
                      <w:szCs w:val="21"/>
                      <w:lang w:bidi="ar-SA"/>
                    </w:rPr>
                    <w:t>企业</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8、</w:t>
                  </w:r>
                  <w:r>
                    <w:rPr>
                      <w:rFonts w:ascii="Times New Roman" w:hAnsi="Times New Roman" w:cs="Times New Roman"/>
                      <w:kern w:val="2"/>
                      <w:sz w:val="21"/>
                      <w:szCs w:val="21"/>
                      <w:lang w:bidi="ar-SA"/>
                    </w:rPr>
                    <w:t>严格城市规划蓝线管理，城市规划区范围内应保留一定比例的水域面积，现有水域面积不得减少。新建项目一律不得违规占用水域。</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sz w:val="21"/>
                      <w:szCs w:val="21"/>
                      <w:lang w:val="en-US" w:eastAsia="zh-CN"/>
                    </w:rPr>
                  </w:pPr>
                  <w:r>
                    <w:rPr>
                      <w:rFonts w:hAnsi="宋体"/>
                      <w:sz w:val="21"/>
                      <w:szCs w:val="21"/>
                    </w:rPr>
                    <w:t>本项目</w:t>
                  </w:r>
                  <w:r>
                    <w:rPr>
                      <w:rFonts w:hint="eastAsia" w:hAnsi="宋体"/>
                      <w:sz w:val="21"/>
                      <w:szCs w:val="21"/>
                      <w:lang w:val="en-US" w:eastAsia="zh-CN"/>
                    </w:rPr>
                    <w:t>不属于新建项目</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sz w:val="21"/>
                      <w:szCs w:val="21"/>
                    </w:rPr>
                    <w:t>允许开发建设活动的</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sz w:val="21"/>
                      <w:szCs w:val="21"/>
                    </w:rPr>
                    <w:t>特殊要求</w:t>
                  </w:r>
                </w:p>
              </w:tc>
              <w:tc>
                <w:tcPr>
                  <w:tcW w:w="311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ascii="Times New Roman" w:hAnsi="Times New Roman"/>
                      <w:sz w:val="21"/>
                      <w:szCs w:val="21"/>
                    </w:rPr>
                  </w:pPr>
                  <w:r>
                    <w:rPr>
                      <w:rFonts w:ascii="Times New Roman" w:hAnsi="Times New Roman" w:eastAsia="宋体" w:cs="Times New Roman"/>
                      <w:kern w:val="2"/>
                      <w:sz w:val="21"/>
                      <w:szCs w:val="21"/>
                      <w:lang w:val="en-US" w:eastAsia="zh-CN" w:bidi="ar-SA"/>
                    </w:rPr>
                    <w:t>1、</w:t>
                  </w:r>
                  <w:r>
                    <w:rPr>
                      <w:rFonts w:ascii="Times New Roman" w:hAnsi="Times New Roman"/>
                      <w:sz w:val="21"/>
                      <w:szCs w:val="21"/>
                    </w:rPr>
                    <w:t>新建、改建、扩建排放重点大气污染物的项目不符合总量控制要求的，不得通过环境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jc w:val="center"/>
                    <w:textAlignment w:val="auto"/>
                    <w:rPr>
                      <w:sz w:val="21"/>
                      <w:szCs w:val="21"/>
                    </w:rPr>
                  </w:pPr>
                  <w:r>
                    <w:rPr>
                      <w:rFonts w:ascii="Times New Roman" w:hAnsi="Times New Roman"/>
                      <w:sz w:val="21"/>
                      <w:szCs w:val="21"/>
                    </w:rPr>
                    <w:t>影响评价。</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sz w:val="21"/>
                      <w:szCs w:val="21"/>
                    </w:rPr>
                  </w:pPr>
                  <w:r>
                    <w:rPr>
                      <w:rFonts w:hAnsi="宋体"/>
                      <w:sz w:val="21"/>
                      <w:szCs w:val="21"/>
                    </w:rPr>
                    <w:t>本项目</w:t>
                  </w:r>
                  <w:r>
                    <w:rPr>
                      <w:rFonts w:hint="eastAsia" w:hAnsi="宋体"/>
                      <w:sz w:val="21"/>
                      <w:szCs w:val="21"/>
                      <w:lang w:val="en-US" w:eastAsia="zh-CN"/>
                    </w:rPr>
                    <w:t>不属于大气污染严重的建设项目</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2</w:t>
                  </w:r>
                  <w:r>
                    <w:rPr>
                      <w:rFonts w:hAnsi="宋体"/>
                      <w:sz w:val="21"/>
                      <w:szCs w:val="21"/>
                    </w:rPr>
                    <w:t>、</w:t>
                  </w:r>
                  <w:r>
                    <w:rPr>
                      <w:rFonts w:ascii="Times New Roman" w:hAnsi="Times New Roman" w:cs="Times New Roman"/>
                      <w:kern w:val="2"/>
                      <w:sz w:val="21"/>
                      <w:szCs w:val="21"/>
                      <w:lang w:bidi="ar-SA"/>
                    </w:rPr>
                    <w:t>合理确定发展布局、结构和规模。充分考虑水环境承载能力和水资源开发利用效率，以水定城、以水定地、以水定人、以水定产。重大项目原则上布局在优化开发区和重点开发区，并符合城乡规划和土地利用总体规划。</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eastAsia="宋体"/>
                      <w:sz w:val="21"/>
                      <w:szCs w:val="21"/>
                      <w:lang w:val="en-US" w:eastAsia="zh-CN"/>
                    </w:rPr>
                  </w:pPr>
                  <w:r>
                    <w:rPr>
                      <w:rFonts w:hAnsi="宋体"/>
                      <w:sz w:val="21"/>
                      <w:szCs w:val="21"/>
                    </w:rPr>
                    <w:t>本项目</w:t>
                  </w:r>
                  <w:r>
                    <w:rPr>
                      <w:rFonts w:hint="eastAsia" w:hAnsi="宋体"/>
                      <w:sz w:val="21"/>
                      <w:szCs w:val="21"/>
                      <w:lang w:val="en-US" w:eastAsia="zh-CN"/>
                    </w:rPr>
                    <w:t>位于开发区规划的食品工业园内</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sz w:val="21"/>
                      <w:szCs w:val="21"/>
                    </w:rPr>
                    <w:t>限制开发建设活动的</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sz w:val="21"/>
                      <w:szCs w:val="21"/>
                    </w:rPr>
                    <w:t>要求</w:t>
                  </w: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1</w:t>
                  </w:r>
                  <w:r>
                    <w:rPr>
                      <w:rFonts w:hAnsi="宋体"/>
                      <w:sz w:val="21"/>
                      <w:szCs w:val="21"/>
                    </w:rPr>
                    <w:t>、</w:t>
                  </w:r>
                  <w:r>
                    <w:rPr>
                      <w:rFonts w:ascii="Times New Roman" w:hAnsi="Times New Roman"/>
                      <w:sz w:val="21"/>
                      <w:szCs w:val="21"/>
                    </w:rPr>
                    <w:t>加大落后产能淘汰和过剩产能压减力度。严防</w:t>
                  </w:r>
                  <w:r>
                    <w:rPr>
                      <w:rFonts w:hint="eastAsia" w:ascii="Times New Roman" w:hAnsi="Times New Roman"/>
                      <w:sz w:val="21"/>
                      <w:szCs w:val="21"/>
                      <w:lang w:eastAsia="zh-CN"/>
                    </w:rPr>
                    <w:t>“</w:t>
                  </w:r>
                  <w:r>
                    <w:rPr>
                      <w:rFonts w:ascii="Times New Roman" w:hAnsi="Times New Roman"/>
                      <w:sz w:val="21"/>
                      <w:szCs w:val="21"/>
                    </w:rPr>
                    <w:t>地条钢</w:t>
                  </w:r>
                  <w:r>
                    <w:rPr>
                      <w:rFonts w:hint="eastAsia" w:ascii="Times New Roman" w:hAnsi="Times New Roman"/>
                      <w:sz w:val="21"/>
                      <w:szCs w:val="21"/>
                      <w:lang w:eastAsia="zh-CN"/>
                    </w:rPr>
                    <w:t>”</w:t>
                  </w:r>
                  <w:r>
                    <w:rPr>
                      <w:rFonts w:ascii="Times New Roman" w:hAnsi="Times New Roman"/>
                      <w:sz w:val="21"/>
                      <w:szCs w:val="21"/>
                    </w:rPr>
                    <w:t>死灰复燃。</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eastAsia="宋体"/>
                      <w:sz w:val="21"/>
                      <w:szCs w:val="21"/>
                      <w:lang w:val="en-US" w:eastAsia="zh-CN"/>
                    </w:rPr>
                  </w:pPr>
                  <w:r>
                    <w:rPr>
                      <w:rFonts w:hint="eastAsia" w:hAnsi="宋体"/>
                      <w:sz w:val="21"/>
                      <w:szCs w:val="21"/>
                    </w:rPr>
                    <w:t>本项目</w:t>
                  </w:r>
                  <w:r>
                    <w:rPr>
                      <w:rFonts w:hint="eastAsia" w:hAnsi="宋体"/>
                      <w:sz w:val="21"/>
                      <w:szCs w:val="21"/>
                      <w:lang w:val="en-US" w:eastAsia="zh-CN"/>
                    </w:rPr>
                    <w:t>不使用落后淘汰设备</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2</w:t>
                  </w:r>
                  <w:r>
                    <w:rPr>
                      <w:rFonts w:hAnsi="宋体"/>
                      <w:sz w:val="21"/>
                      <w:szCs w:val="21"/>
                    </w:rPr>
                    <w:t>、</w:t>
                  </w:r>
                  <w:r>
                    <w:rPr>
                      <w:rFonts w:ascii="Times New Roman" w:hAnsi="Times New Roman" w:cs="Times New Roman"/>
                      <w:kern w:val="2"/>
                      <w:sz w:val="21"/>
                      <w:szCs w:val="21"/>
                      <w:lang w:bidi="ar-SA"/>
                    </w:rPr>
                    <w:t>加大钢铁、铸造、炼焦、建材、电解铝等产能压减力度。</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sz w:val="21"/>
                      <w:szCs w:val="21"/>
                    </w:rPr>
                  </w:pPr>
                  <w:r>
                    <w:rPr>
                      <w:rFonts w:hAnsi="宋体"/>
                      <w:sz w:val="21"/>
                      <w:szCs w:val="21"/>
                    </w:rPr>
                    <w:t>本项目为</w:t>
                  </w:r>
                  <w:r>
                    <w:rPr>
                      <w:rFonts w:hint="eastAsia" w:eastAsia="宋体"/>
                      <w:sz w:val="21"/>
                      <w:szCs w:val="21"/>
                      <w:lang w:val="en-US" w:eastAsia="zh-CN"/>
                    </w:rPr>
                    <w:t>（瓶）罐装饮用水制造</w:t>
                  </w:r>
                  <w:r>
                    <w:rPr>
                      <w:rFonts w:hint="eastAsia" w:eastAsia="宋体"/>
                      <w:sz w:val="21"/>
                      <w:szCs w:val="21"/>
                    </w:rPr>
                    <w:t>业</w:t>
                  </w:r>
                  <w:r>
                    <w:rPr>
                      <w:rFonts w:hAnsi="宋体"/>
                      <w:sz w:val="21"/>
                      <w:szCs w:val="21"/>
                    </w:rPr>
                    <w:t>，不属于</w:t>
                  </w:r>
                  <w:r>
                    <w:rPr>
                      <w:rFonts w:hint="eastAsia" w:hAnsi="宋体"/>
                      <w:sz w:val="21"/>
                      <w:szCs w:val="21"/>
                      <w:lang w:val="en-US" w:eastAsia="zh-CN"/>
                    </w:rPr>
                    <w:t>钢铁</w:t>
                  </w:r>
                  <w:r>
                    <w:rPr>
                      <w:rFonts w:hint="eastAsia" w:hAnsi="宋体"/>
                      <w:sz w:val="21"/>
                      <w:szCs w:val="21"/>
                    </w:rPr>
                    <w:t>、</w:t>
                  </w:r>
                  <w:r>
                    <w:rPr>
                      <w:rFonts w:hint="eastAsia" w:hAnsi="宋体"/>
                      <w:sz w:val="21"/>
                      <w:szCs w:val="21"/>
                      <w:lang w:val="en-US" w:eastAsia="zh-CN"/>
                    </w:rPr>
                    <w:t>铸造</w:t>
                  </w:r>
                  <w:r>
                    <w:rPr>
                      <w:rFonts w:hint="eastAsia" w:hAnsi="宋体"/>
                      <w:sz w:val="21"/>
                      <w:szCs w:val="21"/>
                    </w:rPr>
                    <w:t>、</w:t>
                  </w:r>
                  <w:r>
                    <w:rPr>
                      <w:rFonts w:hint="eastAsia" w:hAnsi="宋体"/>
                      <w:sz w:val="21"/>
                      <w:szCs w:val="21"/>
                      <w:lang w:val="en-US" w:eastAsia="zh-CN"/>
                    </w:rPr>
                    <w:t>炼焦</w:t>
                  </w:r>
                  <w:r>
                    <w:rPr>
                      <w:rFonts w:hint="eastAsia" w:hAnsi="宋体"/>
                      <w:sz w:val="21"/>
                      <w:szCs w:val="21"/>
                    </w:rPr>
                    <w:t>、</w:t>
                  </w:r>
                  <w:r>
                    <w:rPr>
                      <w:rFonts w:hint="eastAsia" w:hAnsi="宋体"/>
                      <w:sz w:val="21"/>
                      <w:szCs w:val="21"/>
                      <w:lang w:val="en-US" w:eastAsia="zh-CN"/>
                    </w:rPr>
                    <w:t>建材</w:t>
                  </w:r>
                  <w:r>
                    <w:rPr>
                      <w:rFonts w:hint="eastAsia" w:hAnsi="宋体"/>
                      <w:sz w:val="21"/>
                      <w:szCs w:val="21"/>
                    </w:rPr>
                    <w:t>、电</w:t>
                  </w:r>
                  <w:r>
                    <w:rPr>
                      <w:rFonts w:hint="eastAsia" w:hAnsi="宋体"/>
                      <w:sz w:val="21"/>
                      <w:szCs w:val="21"/>
                      <w:lang w:val="en-US" w:eastAsia="zh-CN"/>
                    </w:rPr>
                    <w:t>解铝</w:t>
                  </w:r>
                  <w:r>
                    <w:rPr>
                      <w:rFonts w:hint="eastAsia" w:hAnsi="宋体"/>
                      <w:sz w:val="21"/>
                      <w:szCs w:val="21"/>
                    </w:rPr>
                    <w:t>等行业</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sz w:val="21"/>
                      <w:szCs w:val="21"/>
                    </w:rPr>
                    <w:t>不符合空间布局要求活动的推出</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sz w:val="21"/>
                      <w:szCs w:val="21"/>
                    </w:rPr>
                    <w:t>要求</w:t>
                  </w: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1</w:t>
                  </w:r>
                  <w:r>
                    <w:rPr>
                      <w:rFonts w:hAnsi="宋体"/>
                      <w:sz w:val="21"/>
                      <w:szCs w:val="21"/>
                    </w:rPr>
                    <w:t>、</w:t>
                  </w:r>
                  <w:r>
                    <w:rPr>
                      <w:rFonts w:ascii="Times New Roman" w:hAnsi="Times New Roman" w:cs="Times New Roman"/>
                      <w:kern w:val="2"/>
                      <w:sz w:val="21"/>
                      <w:szCs w:val="21"/>
                      <w:lang w:bidi="ar-SA"/>
                    </w:rPr>
                    <w:t>加快城市建成区、重点流域的重污染企业和危险化学品企业搬迁改造，加快推进危险化学品生产企业搬迁改造工程。</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sz w:val="21"/>
                      <w:szCs w:val="21"/>
                      <w:lang w:val="en-US" w:eastAsia="zh-CN"/>
                    </w:rPr>
                  </w:pPr>
                  <w:r>
                    <w:rPr>
                      <w:rFonts w:hAnsi="宋体"/>
                      <w:sz w:val="21"/>
                      <w:szCs w:val="21"/>
                    </w:rPr>
                    <w:t>本项</w:t>
                  </w:r>
                  <w:r>
                    <w:rPr>
                      <w:rFonts w:hint="eastAsia" w:hAnsi="宋体"/>
                      <w:sz w:val="21"/>
                      <w:szCs w:val="21"/>
                      <w:lang w:val="en-US" w:eastAsia="zh-CN"/>
                    </w:rPr>
                    <w:t>目不属于化工企业</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6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14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2</w:t>
                  </w:r>
                  <w:r>
                    <w:rPr>
                      <w:rFonts w:hAnsi="宋体"/>
                      <w:sz w:val="21"/>
                      <w:szCs w:val="21"/>
                    </w:rPr>
                    <w:t>、</w:t>
                  </w:r>
                  <w:r>
                    <w:rPr>
                      <w:rFonts w:ascii="Times New Roman" w:hAnsi="Times New Roman" w:cs="Times New Roman"/>
                      <w:kern w:val="2"/>
                      <w:sz w:val="21"/>
                      <w:szCs w:val="21"/>
                      <w:lang w:bidi="ar-SA"/>
                    </w:rPr>
                    <w:t>调整产业结构。依法淘汰落后产能。各地要制定实施分年度的落后产能淘汰方案，未完成淘汰任务的地区，暂停审批和核准其相关行业新建项目。</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sz w:val="21"/>
                      <w:szCs w:val="21"/>
                    </w:rPr>
                  </w:pPr>
                  <w:r>
                    <w:rPr>
                      <w:rFonts w:hint="eastAsia" w:hAnsi="宋体"/>
                      <w:sz w:val="21"/>
                      <w:szCs w:val="21"/>
                    </w:rPr>
                    <w:t>本项目</w:t>
                  </w:r>
                  <w:r>
                    <w:rPr>
                      <w:rFonts w:hint="eastAsia" w:hAnsi="宋体"/>
                      <w:sz w:val="21"/>
                      <w:szCs w:val="21"/>
                      <w:lang w:val="en-US" w:eastAsia="zh-CN"/>
                    </w:rPr>
                    <w:t>不使用落后淘汰设备</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2083"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sz w:val="21"/>
                      <w:szCs w:val="21"/>
                    </w:rPr>
                    <w:t>环境风险防范</w:t>
                  </w:r>
                </w:p>
              </w:tc>
              <w:tc>
                <w:tcPr>
                  <w:tcW w:w="3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1</w:t>
                  </w:r>
                  <w:r>
                    <w:rPr>
                      <w:rFonts w:hAnsi="宋体"/>
                      <w:sz w:val="21"/>
                      <w:szCs w:val="21"/>
                    </w:rPr>
                    <w:t>、</w:t>
                  </w:r>
                  <w:r>
                    <w:rPr>
                      <w:rFonts w:ascii="Times New Roman" w:hAnsi="Times New Roman" w:cs="Times New Roman"/>
                      <w:kern w:val="2"/>
                      <w:sz w:val="21"/>
                      <w:szCs w:val="21"/>
                      <w:lang w:bidi="ar-SA"/>
                    </w:rPr>
                    <w:t>限制生产和使用高环境风险化学品，依法淘汰高毒、难降解、高环境危害的化学品。强化对现有化工园区、化学品码头等重大风险源排查，完善化工园区环境风险应急预案。</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本项</w:t>
                  </w:r>
                  <w:r>
                    <w:rPr>
                      <w:rFonts w:hint="eastAsia" w:hAnsi="宋体"/>
                      <w:sz w:val="21"/>
                      <w:szCs w:val="21"/>
                      <w:lang w:val="en-US" w:eastAsia="zh-CN"/>
                    </w:rPr>
                    <w:t>目不属于化工企业</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2083"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p>
              </w:tc>
              <w:tc>
                <w:tcPr>
                  <w:tcW w:w="3117"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sz w:val="21"/>
                      <w:szCs w:val="21"/>
                    </w:rPr>
                  </w:pPr>
                  <w:r>
                    <w:rPr>
                      <w:rFonts w:ascii="Times New Roman" w:hAnsi="Times New Roman" w:eastAsia="宋体" w:cs="Times New Roman"/>
                      <w:kern w:val="2"/>
                      <w:sz w:val="21"/>
                      <w:szCs w:val="21"/>
                      <w:lang w:val="en-US" w:eastAsia="zh-CN" w:bidi="ar-SA"/>
                    </w:rPr>
                    <w:t>2、</w:t>
                  </w:r>
                  <w:r>
                    <w:rPr>
                      <w:rFonts w:ascii="Times New Roman" w:hAnsi="Times New Roman" w:cs="Times New Roman"/>
                      <w:kern w:val="2"/>
                      <w:sz w:val="21"/>
                      <w:szCs w:val="21"/>
                      <w:lang w:bidi="ar-SA"/>
                    </w:rPr>
                    <w:t>制定出台生活垃圾强制分类办法，细化垃圾分类类别、品种、投放、收运、处置等方面要求，将有害垃圾作为强制分类的类别之一，推进废电池、废荧光灯管等有害垃圾单独收运和处理工作，建立易腐垃圾、可回收物的投放暂存、收运处置系统，进一步加强餐厨废弃物分类收集管理，全面推广废旧商品回收利用、焚烧发电、生物处理等生活垃圾资源化利用方式。</w:t>
                  </w:r>
                </w:p>
              </w:tc>
              <w:tc>
                <w:tcPr>
                  <w:tcW w:w="1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sz w:val="21"/>
                      <w:szCs w:val="21"/>
                      <w:lang w:val="en-US" w:eastAsia="zh-CN"/>
                    </w:rPr>
                  </w:pPr>
                  <w:r>
                    <w:rPr>
                      <w:rFonts w:hint="eastAsia" w:hAnsi="宋体"/>
                      <w:color w:val="auto"/>
                      <w:sz w:val="21"/>
                      <w:szCs w:val="21"/>
                    </w:rPr>
                    <w:t>本项目</w:t>
                  </w:r>
                  <w:r>
                    <w:rPr>
                      <w:rFonts w:hint="eastAsia" w:hAnsi="宋体"/>
                      <w:color w:val="auto"/>
                      <w:sz w:val="21"/>
                      <w:szCs w:val="21"/>
                      <w:lang w:val="en-US" w:eastAsia="zh-CN"/>
                    </w:rPr>
                    <w:t>生活垃圾和餐厨垃圾分类暂存，定期交由环卫部门进行处理</w:t>
                  </w:r>
                </w:p>
              </w:tc>
              <w:tc>
                <w:tcPr>
                  <w:tcW w:w="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Ansi="宋体"/>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rPr>
            </w:pPr>
            <w:r>
              <w:rPr>
                <w:rFonts w:hint="eastAsia"/>
              </w:rPr>
              <w:t>由以上内容可知，本项目</w:t>
            </w:r>
            <w:r>
              <w:rPr>
                <w:rFonts w:hint="eastAsia"/>
                <w:lang w:val="en-US" w:eastAsia="zh-CN"/>
              </w:rPr>
              <w:t>属于允许开发建设活动</w:t>
            </w:r>
            <w:r>
              <w:rPr>
                <w:rFonts w:hint="eastAsia"/>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rPr>
            </w:pPr>
            <w:r>
              <w:rPr>
                <w:rFonts w:hint="eastAsia"/>
              </w:rPr>
              <w:t>综上所述，本项目不在主导生态功能区范围内，不在当地饮用水源、风景区、自然保护区等生态保护区内</w:t>
            </w:r>
            <w:r>
              <w:rPr>
                <w:rFonts w:hint="eastAsia"/>
                <w:lang w:eastAsia="zh-CN"/>
              </w:rPr>
              <w:t>。</w:t>
            </w:r>
            <w:r>
              <w:rPr>
                <w:rFonts w:hint="eastAsia"/>
              </w:rPr>
              <w:t>区域环境质量经过治理后基本满足项目所在地环境功能区划要求，有一定的环境容量，且各污染物均可做到达标排放</w:t>
            </w:r>
            <w:r>
              <w:rPr>
                <w:rFonts w:hint="eastAsia"/>
                <w:lang w:eastAsia="zh-CN"/>
              </w:rPr>
              <w:t>，</w:t>
            </w:r>
            <w:r>
              <w:rPr>
                <w:rFonts w:hint="eastAsia"/>
              </w:rPr>
              <w:t>符合国家产业、地方政策和环境准入标准和要求。</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color w:val="000000"/>
                <w:kern w:val="0"/>
              </w:rPr>
            </w:pPr>
            <w:r>
              <w:rPr>
                <w:rFonts w:hint="eastAsia"/>
              </w:rPr>
              <w:t>因此，本项目符合“三线一单”的管理要求。</w:t>
            </w:r>
          </w:p>
          <w:p>
            <w:pPr>
              <w:keepNext w:val="0"/>
              <w:keepLines w:val="0"/>
              <w:pageBreakBefore w:val="0"/>
              <w:widowControl w:val="0"/>
              <w:kinsoku/>
              <w:wordWrap/>
              <w:overflowPunct/>
              <w:topLinePunct w:val="0"/>
              <w:autoSpaceDE/>
              <w:autoSpaceDN/>
              <w:bidi w:val="0"/>
              <w:adjustRightInd w:val="0"/>
              <w:snapToGrid w:val="0"/>
              <w:ind w:right="0"/>
              <w:jc w:val="center"/>
              <w:textAlignment w:val="auto"/>
              <w:rPr>
                <w:rFonts w:hint="eastAsia"/>
                <w:b/>
                <w:bCs/>
                <w:color w:val="000000"/>
                <w:kern w:val="0"/>
              </w:rPr>
            </w:pPr>
            <w:r>
              <w:rPr>
                <w:rFonts w:hint="eastAsia"/>
                <w:b/>
                <w:bCs/>
              </w:rPr>
              <w:t>表1-</w:t>
            </w:r>
            <w:r>
              <w:rPr>
                <w:rFonts w:hint="eastAsia"/>
                <w:b/>
                <w:bCs/>
                <w:lang w:val="en-US" w:eastAsia="zh-CN"/>
              </w:rPr>
              <w:t>5</w:t>
            </w:r>
            <w:r>
              <w:rPr>
                <w:rFonts w:hint="eastAsia"/>
                <w:b/>
                <w:bCs/>
              </w:rPr>
              <w:t xml:space="preserve"> 《长江经济带发展负面清单指南（试行，2022年版）》</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4950"/>
              <w:gridCol w:w="1290"/>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序号</w:t>
                  </w:r>
                </w:p>
              </w:tc>
              <w:tc>
                <w:tcPr>
                  <w:tcW w:w="495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管控级别</w:t>
                  </w:r>
                </w:p>
              </w:tc>
              <w:tc>
                <w:tcPr>
                  <w:tcW w:w="129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本项目内容</w:t>
                  </w:r>
                </w:p>
              </w:tc>
              <w:tc>
                <w:tcPr>
                  <w:tcW w:w="101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672"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rFonts w:hint="eastAsia"/>
                      <w:color w:val="000000"/>
                      <w:kern w:val="0"/>
                      <w:sz w:val="21"/>
                      <w:szCs w:val="21"/>
                    </w:rPr>
                  </w:pPr>
                  <w:r>
                    <w:rPr>
                      <w:rFonts w:hint="eastAsia"/>
                      <w:color w:val="000000"/>
                      <w:kern w:val="0"/>
                      <w:sz w:val="21"/>
                      <w:szCs w:val="21"/>
                    </w:rPr>
                    <w:t>1</w:t>
                  </w:r>
                </w:p>
              </w:tc>
              <w:tc>
                <w:tcPr>
                  <w:tcW w:w="495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color w:val="000000"/>
                      <w:kern w:val="0"/>
                      <w:szCs w:val="21"/>
                    </w:rPr>
                  </w:pPr>
                  <w:r>
                    <w:rPr>
                      <w:rFonts w:hint="eastAsia"/>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290"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rFonts w:hint="eastAsia"/>
                      <w:color w:val="000000"/>
                      <w:kern w:val="0"/>
                      <w:sz w:val="21"/>
                      <w:szCs w:val="21"/>
                    </w:rPr>
                  </w:pPr>
                  <w:r>
                    <w:rPr>
                      <w:rFonts w:hint="eastAsia"/>
                      <w:color w:val="000000"/>
                      <w:kern w:val="0"/>
                      <w:sz w:val="21"/>
                      <w:szCs w:val="21"/>
                    </w:rPr>
                    <w:t>不涉及</w:t>
                  </w:r>
                </w:p>
              </w:tc>
              <w:tc>
                <w:tcPr>
                  <w:tcW w:w="1015"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rFonts w:hint="eastAsia"/>
                      <w:color w:val="000000"/>
                      <w:kern w:val="0"/>
                      <w:sz w:val="21"/>
                      <w:szCs w:val="21"/>
                    </w:rPr>
                  </w:pPr>
                  <w:r>
                    <w:rPr>
                      <w:rFonts w:hint="eastAsia"/>
                      <w:color w:val="000000"/>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color w:val="000000"/>
                      <w:kern w:val="0"/>
                      <w:sz w:val="21"/>
                      <w:szCs w:val="21"/>
                    </w:rPr>
                  </w:pPr>
                  <w:r>
                    <w:rPr>
                      <w:rFonts w:hint="eastAsia"/>
                      <w:color w:val="000000"/>
                      <w:kern w:val="0"/>
                      <w:sz w:val="21"/>
                      <w:szCs w:val="21"/>
                    </w:rPr>
                    <w:t>2</w:t>
                  </w:r>
                </w:p>
              </w:tc>
              <w:tc>
                <w:tcPr>
                  <w:tcW w:w="495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禁止在合规园区外新建、扩建钢铁、石化、化工、焦化、建材、有色、制浆造纸等高污染项目。</w:t>
                  </w:r>
                </w:p>
              </w:tc>
              <w:tc>
                <w:tcPr>
                  <w:tcW w:w="1290"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rFonts w:hint="eastAsia"/>
                      <w:color w:val="000000"/>
                      <w:kern w:val="0"/>
                      <w:sz w:val="21"/>
                      <w:szCs w:val="21"/>
                    </w:rPr>
                  </w:pPr>
                  <w:r>
                    <w:rPr>
                      <w:rFonts w:hint="eastAsia"/>
                      <w:color w:val="000000"/>
                      <w:kern w:val="0"/>
                      <w:sz w:val="21"/>
                      <w:szCs w:val="21"/>
                    </w:rPr>
                    <w:t>不涉及</w:t>
                  </w:r>
                </w:p>
              </w:tc>
              <w:tc>
                <w:tcPr>
                  <w:tcW w:w="1015"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rFonts w:hint="eastAsia"/>
                      <w:color w:val="000000"/>
                      <w:kern w:val="0"/>
                      <w:sz w:val="21"/>
                      <w:szCs w:val="21"/>
                    </w:rPr>
                  </w:pPr>
                  <w:r>
                    <w:rPr>
                      <w:rFonts w:hint="eastAsia"/>
                      <w:color w:val="000000"/>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color w:val="000000"/>
                      <w:kern w:val="0"/>
                      <w:sz w:val="21"/>
                      <w:szCs w:val="21"/>
                    </w:rPr>
                  </w:pPr>
                  <w:r>
                    <w:rPr>
                      <w:rFonts w:hint="eastAsia"/>
                      <w:color w:val="000000"/>
                      <w:kern w:val="0"/>
                      <w:sz w:val="21"/>
                      <w:szCs w:val="21"/>
                    </w:rPr>
                    <w:t>3</w:t>
                  </w:r>
                </w:p>
              </w:tc>
              <w:tc>
                <w:tcPr>
                  <w:tcW w:w="495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禁止新建、扩建不符合国家石化、现代煤化工等产业布局规划的项目。</w:t>
                  </w:r>
                </w:p>
              </w:tc>
              <w:tc>
                <w:tcPr>
                  <w:tcW w:w="1290"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rFonts w:hint="eastAsia"/>
                      <w:color w:val="000000"/>
                      <w:kern w:val="0"/>
                      <w:sz w:val="21"/>
                      <w:szCs w:val="21"/>
                    </w:rPr>
                  </w:pPr>
                  <w:r>
                    <w:rPr>
                      <w:rFonts w:hint="eastAsia"/>
                      <w:color w:val="000000"/>
                      <w:kern w:val="0"/>
                      <w:sz w:val="21"/>
                      <w:szCs w:val="21"/>
                    </w:rPr>
                    <w:t>不涉及</w:t>
                  </w:r>
                </w:p>
              </w:tc>
              <w:tc>
                <w:tcPr>
                  <w:tcW w:w="1015"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rFonts w:hint="eastAsia"/>
                      <w:color w:val="000000"/>
                      <w:kern w:val="0"/>
                      <w:sz w:val="21"/>
                      <w:szCs w:val="21"/>
                    </w:rPr>
                  </w:pPr>
                  <w:r>
                    <w:rPr>
                      <w:rFonts w:hint="eastAsia"/>
                      <w:color w:val="000000"/>
                      <w:kern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color w:val="000000"/>
                      <w:kern w:val="0"/>
                      <w:sz w:val="21"/>
                      <w:szCs w:val="21"/>
                    </w:rPr>
                  </w:pPr>
                  <w:r>
                    <w:rPr>
                      <w:rFonts w:hint="eastAsia"/>
                      <w:color w:val="000000"/>
                      <w:kern w:val="0"/>
                      <w:sz w:val="21"/>
                      <w:szCs w:val="21"/>
                    </w:rPr>
                    <w:t>4</w:t>
                  </w:r>
                </w:p>
              </w:tc>
              <w:tc>
                <w:tcPr>
                  <w:tcW w:w="495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290"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rFonts w:hint="eastAsia"/>
                      <w:color w:val="000000"/>
                      <w:kern w:val="0"/>
                      <w:sz w:val="21"/>
                      <w:szCs w:val="21"/>
                    </w:rPr>
                  </w:pPr>
                  <w:r>
                    <w:rPr>
                      <w:rFonts w:hint="eastAsia"/>
                      <w:color w:val="000000"/>
                      <w:kern w:val="0"/>
                      <w:sz w:val="21"/>
                      <w:szCs w:val="21"/>
                    </w:rPr>
                    <w:t>不涉及</w:t>
                  </w:r>
                </w:p>
              </w:tc>
              <w:tc>
                <w:tcPr>
                  <w:tcW w:w="1015" w:type="dxa"/>
                  <w:tcBorders>
                    <w:tl2br w:val="nil"/>
                    <w:tr2bl w:val="nil"/>
                  </w:tcBorders>
                  <w:noWrap w:val="0"/>
                  <w:vAlign w:val="center"/>
                </w:tcPr>
                <w:p>
                  <w:pPr>
                    <w:pStyle w:val="31"/>
                    <w:keepNext w:val="0"/>
                    <w:keepLines w:val="0"/>
                    <w:pageBreakBefore w:val="0"/>
                    <w:widowControl w:val="0"/>
                    <w:kinsoku/>
                    <w:wordWrap/>
                    <w:overflowPunct/>
                    <w:topLinePunct w:val="0"/>
                    <w:bidi w:val="0"/>
                    <w:adjustRightInd w:val="0"/>
                    <w:snapToGrid w:val="0"/>
                    <w:ind w:right="0" w:firstLine="0" w:firstLineChars="0"/>
                    <w:jc w:val="center"/>
                    <w:textAlignment w:val="auto"/>
                    <w:rPr>
                      <w:rFonts w:hint="eastAsia"/>
                      <w:color w:val="000000"/>
                      <w:kern w:val="0"/>
                      <w:sz w:val="21"/>
                      <w:szCs w:val="21"/>
                    </w:rPr>
                  </w:pPr>
                  <w:r>
                    <w:rPr>
                      <w:rFonts w:hint="eastAsia"/>
                      <w:color w:val="000000"/>
                      <w:kern w:val="0"/>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ind w:right="0"/>
              <w:jc w:val="center"/>
              <w:textAlignment w:val="auto"/>
              <w:rPr>
                <w:rFonts w:hint="eastAsia"/>
                <w:b/>
                <w:bCs/>
                <w:color w:val="000000"/>
                <w:kern w:val="0"/>
              </w:rPr>
            </w:pPr>
            <w:r>
              <w:rPr>
                <w:rFonts w:hint="eastAsia"/>
                <w:b/>
                <w:bCs/>
              </w:rPr>
              <w:t>表1-</w:t>
            </w:r>
            <w:r>
              <w:rPr>
                <w:rFonts w:hint="eastAsia"/>
                <w:b/>
                <w:bCs/>
                <w:lang w:val="en-US" w:eastAsia="zh-CN"/>
              </w:rPr>
              <w:t>6</w:t>
            </w:r>
            <w:r>
              <w:rPr>
                <w:rFonts w:hint="eastAsia"/>
                <w:b/>
                <w:bCs/>
              </w:rPr>
              <w:t xml:space="preserve"> 相山经济开发区规划产业环境准入负面清单</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4815"/>
              <w:gridCol w:w="1087"/>
              <w:gridCol w:w="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管控级别</w:t>
                  </w:r>
                </w:p>
              </w:tc>
              <w:tc>
                <w:tcPr>
                  <w:tcW w:w="481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食品产业</w:t>
                  </w:r>
                </w:p>
              </w:tc>
              <w:tc>
                <w:tcPr>
                  <w:tcW w:w="108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本项目</w:t>
                  </w:r>
                </w:p>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情况</w:t>
                  </w:r>
                </w:p>
              </w:tc>
              <w:tc>
                <w:tcPr>
                  <w:tcW w:w="88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禁止开发建设活动的要求</w:t>
                  </w:r>
                </w:p>
              </w:tc>
              <w:tc>
                <w:tcPr>
                  <w:tcW w:w="481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1、单套10万吨/年以下的真空制盐装置、20万吨/年以下的湖盐和30万吨/年以下的北方海盐生产设施；</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2、利用矿盐卤水、油气田水且采用平锅、滩晒制盐的生产工艺和装置；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3、2万吨/年以下的南方海盐生产装置；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4、生产能力12000瓶/时以下的玻璃瓶啤酒灌装生产线；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5、生产能力150瓶/分钟以下（瓶容在250毫升及以下）的碳酸饮料生产线；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6、日处理原料乳能力（两班）20吨以下浓缩、喷雾干燥等设施；200千克/小时以下的手动及半自动液体乳灌装设备；</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7、3万吨/年以下酒精生产线（废糖蜜制酒精除外）；</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8、3万吨/年以下味精生产装置；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9、2万吨/年及以下柠檬酸生产装置；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10、年处理10万吨以下、总干物收率97%以下的湿法玉米淀粉生产线；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11、桥式劈半锯、敞式生猪烫毛机等生猪屠宰设备；</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12、猪、牛、羊、禽手工屠宰工艺；</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13、小麦粉增白剂（过氧化苯甲酰、过氧化钙）的添加工艺；</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14、软木塞烫蜡包装药品工艺；</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15、不符合GMP 要求的安培拉丝灌封机；</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16、塔式重蒸馏水器；</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17、无净化设施的热风干燥箱；</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18、手工胶囊填充工艺；</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19、中药饮片的蒸、炒、炙、煅等炮制技术的应用及中成药保密处方产品的生产（外商）；</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20、其他新发布或另行规定禁止开发生产的项目、工艺、装置和产品。</w:t>
                  </w:r>
                </w:p>
              </w:tc>
              <w:tc>
                <w:tcPr>
                  <w:tcW w:w="108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不涉及</w:t>
                  </w:r>
                </w:p>
              </w:tc>
              <w:tc>
                <w:tcPr>
                  <w:tcW w:w="88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限制开发建设活动的要求</w:t>
                  </w:r>
                </w:p>
              </w:tc>
              <w:tc>
                <w:tcPr>
                  <w:tcW w:w="481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1、生产能力小于18000瓶/小时的啤酒灌装生产线；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2、羰基合成法及齐格勒法生产的脂肪醇产品；</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3、100万吨/年以下北方海盐项目，新建南方海盐盐场项目，60万吨/年以下矿（井）盐项目；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4、原糖加工项目及日处理甘蔗5000吨、日处理甜菜3000吨以下的新建项目；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5、白酒生产线；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6、酒精生产线；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7、5万吨/年及以下且采用等电离交工艺的味精生产线；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8、糖精等化学合成甜味剂生产线；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9、浓缩苹果汁生产线；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10、大豆压榨及浸出项目；东、中部地区单线日处理油菜籽、棉籽200吨及以下，花生100吨及以下的油料加工项目；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11、年加工玉米30万吨以下、绝干收率在98%以下玉米淀粉湿法生产线；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12、3000吨/年及以下的西式肉制品加工项目；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13、2000吨/年及以下的酵母加工项目；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14、冷冻海水鱼糜生产线；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15、新建、扩建古龙酸维生素C原粉（包括药用、食品用和饲料用、化妆品用）生产装置，新建药品、食品、饲料、化妆品等用途的维生素B1、维生素B2、维生素B12（综合利用除外），维生素 E 原料生产装置；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16、新建紫杉醇（配套红豆杉种植除外）、植物提取法黄连素（配套黄连种植除外）生产装置；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17、新建及改扩建原料含有尚未规模化种植或养殖的濒危动植物药材的产品生产装置；</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18、其他新发布或另行规定限制开发生产的项目、工艺、装置和产品。</w:t>
                  </w:r>
                </w:p>
              </w:tc>
              <w:tc>
                <w:tcPr>
                  <w:tcW w:w="108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不涉及</w:t>
                  </w:r>
                </w:p>
              </w:tc>
              <w:tc>
                <w:tcPr>
                  <w:tcW w:w="88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鼓励开发</w:t>
                  </w:r>
                </w:p>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建设活动</w:t>
                  </w:r>
                </w:p>
              </w:tc>
              <w:tc>
                <w:tcPr>
                  <w:tcW w:w="481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1、食品饮料罐加工及配套设备制造；</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2、天然食品添加剂、天然香料新技术开发与生产；</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3、先进的食品生产设备研发与制造；</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4、热带果汁、浆果果汁、谷物饮料、本草饮料、茶浓缩液、茶粉、植物蛋白饮料等高附加值植物饮料的开发生产与加工原料基地建设，果渣、茶渣等的综合开发与利用；</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5、营养健康型大米、小麦粉（食品专用米、发芽糙米、留</w:t>
                  </w:r>
                  <w:r>
                    <w:rPr>
                      <w:rFonts w:hint="eastAsia"/>
                      <w:sz w:val="21"/>
                      <w:szCs w:val="21"/>
                      <w:lang w:eastAsia="zh-CN"/>
                    </w:rPr>
                    <w:t>坯</w:t>
                  </w:r>
                  <w:r>
                    <w:rPr>
                      <w:rFonts w:hint="eastAsia"/>
                      <w:sz w:val="21"/>
                      <w:szCs w:val="21"/>
                    </w:rPr>
                    <w:t>米、食品专用粉、全麦粉及营养强化食品等）及制品的开发生产；传统主食工业化生产；杂粮加工专用设备开发与生产；</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6、粮油加工副产物（稻壳、米糠、麸皮、</w:t>
                  </w:r>
                  <w:r>
                    <w:rPr>
                      <w:rFonts w:hint="eastAsia"/>
                      <w:sz w:val="21"/>
                      <w:szCs w:val="21"/>
                      <w:lang w:eastAsia="zh-CN"/>
                    </w:rPr>
                    <w:t>坯</w:t>
                  </w:r>
                  <w:r>
                    <w:rPr>
                      <w:rFonts w:hint="eastAsia"/>
                      <w:sz w:val="21"/>
                      <w:szCs w:val="21"/>
                    </w:rPr>
                    <w:t>芽、饼粕等）综合利用关键技术开发应用；</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7、菜籽油生产线：采用膨化、负压蒸发、热能自平衡利用、低消耗蒸汽真空系统等技术，油菜籽主产区日处理油菜籽400吨及以上、吨料溶剂消耗1.5公斤以下（其中西部地区日处理油菜籽200吨及以上、吨料溶剂消耗2公斤）以下；花生油生产线：花生主产区日处理花生200吨及以上、吨料溶剂消耗2公斤以下，棉籽油生产线：棉籽产区日处理棉籽300吨及以上、吨料溶剂消耗2公斤以下；米糠油生产线：采用分散快速膨化，集中制油、精炼技术，玉米</w:t>
                  </w:r>
                  <w:r>
                    <w:rPr>
                      <w:rFonts w:hint="eastAsia"/>
                      <w:sz w:val="21"/>
                      <w:szCs w:val="21"/>
                      <w:lang w:eastAsia="zh-CN"/>
                    </w:rPr>
                    <w:t>坯</w:t>
                  </w:r>
                  <w:r>
                    <w:rPr>
                      <w:rFonts w:hint="eastAsia"/>
                      <w:sz w:val="21"/>
                      <w:szCs w:val="21"/>
                    </w:rPr>
                    <w:t>芽油生产线：油茶籽、核桃等木本油料和胡麻、芝麻、葵花籽等小品种油料加工生产线；</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8、绿色无公害饲料及添加剂开发；</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9、农业生物技术开发与应用；</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10、农作物秸秆还田与综合利用（非粮饲料资源开发利用等）；</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11、生物可降解塑料及其系列产品开发、生产与应用发酵法工艺生产小品种氨基酸（赖氨酸、谷氨酸除外），新型酶制剂（糖化酶、淀粉酶除外）、多元醇、功能性发酵制品（功能性糖类、真菌多糖、功能性红曲、发酵法抗氧化和复合功能配料、活性肽、微生态制剂）等生产；</w:t>
                  </w:r>
                </w:p>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12、其他新发布或另行规定鼓励开发生产的项目、工艺、装置和产品。</w:t>
                  </w:r>
                </w:p>
              </w:tc>
              <w:tc>
                <w:tcPr>
                  <w:tcW w:w="108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rFonts w:hint="eastAsia"/>
                      <w:sz w:val="21"/>
                      <w:szCs w:val="21"/>
                    </w:rPr>
                    <w:t>涉及</w:t>
                  </w:r>
                  <w:r>
                    <w:rPr>
                      <w:rFonts w:hint="eastAsia" w:eastAsia="宋体"/>
                      <w:sz w:val="21"/>
                      <w:szCs w:val="21"/>
                      <w:lang w:val="en-US" w:eastAsia="zh-CN"/>
                    </w:rPr>
                    <w:t>（瓶）罐装饮用水制造</w:t>
                  </w:r>
                  <w:r>
                    <w:rPr>
                      <w:rFonts w:hint="eastAsia"/>
                      <w:sz w:val="21"/>
                      <w:szCs w:val="21"/>
                    </w:rPr>
                    <w:t>工业化生产</w:t>
                  </w:r>
                </w:p>
              </w:tc>
              <w:tc>
                <w:tcPr>
                  <w:tcW w:w="88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rFonts w:hint="eastAsia"/>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rPr>
            </w:pPr>
            <w:r>
              <w:rPr>
                <w:rFonts w:hint="eastAsia"/>
              </w:rPr>
              <w:t>根据《长江经济带发展负面清单指南（试行，2022年版）》（皖长江办[2019]18号）、《安徽淮北相山经济开发区产业发展规划》（2019-2030年）等，本项目为</w:t>
            </w:r>
            <w:r>
              <w:rPr>
                <w:rFonts w:hint="eastAsia"/>
                <w:lang w:val="en-US" w:eastAsia="zh-CN"/>
              </w:rPr>
              <w:t>（瓶）罐装饮用水制造</w:t>
            </w:r>
            <w:r>
              <w:rPr>
                <w:rFonts w:hint="eastAsia"/>
              </w:rPr>
              <w:t>行业，</w:t>
            </w:r>
            <w:r>
              <w:rPr>
                <w:rFonts w:hint="eastAsia"/>
                <w:lang w:val="en-US" w:eastAsia="zh-CN"/>
              </w:rPr>
              <w:t>不与开发区主导行业相冲突，</w:t>
            </w:r>
            <w:r>
              <w:rPr>
                <w:rFonts w:hint="eastAsia"/>
              </w:rPr>
              <w:t>不属于负面清单行业范畴，故本项目建设与园区规划相符，用地性质符合区域产业发展规划要求。</w:t>
            </w:r>
          </w:p>
          <w:p>
            <w:pPr>
              <w:pStyle w:val="31"/>
              <w:keepNext w:val="0"/>
              <w:keepLines w:val="0"/>
              <w:pageBreakBefore w:val="0"/>
              <w:widowControl w:val="0"/>
              <w:kinsoku/>
              <w:wordWrap/>
              <w:overflowPunct/>
              <w:topLinePunct w:val="0"/>
              <w:bidi w:val="0"/>
              <w:adjustRightInd w:val="0"/>
              <w:snapToGrid w:val="0"/>
              <w:ind w:right="0" w:firstLine="0" w:firstLineChars="0"/>
              <w:textAlignment w:val="auto"/>
              <w:rPr>
                <w:rFonts w:hint="eastAsia"/>
                <w:color w:val="000000"/>
                <w:kern w:val="0"/>
              </w:rPr>
            </w:pPr>
            <w:r>
              <w:rPr>
                <w:rFonts w:hint="eastAsia"/>
                <w:b/>
                <w:bCs/>
                <w:color w:val="000000"/>
                <w:kern w:val="0"/>
              </w:rPr>
              <w:t>4、与《淮北市生态环境保护“十四五”规划》（2022年1月）相符性分析</w:t>
            </w:r>
          </w:p>
          <w:p>
            <w:pPr>
              <w:keepNext w:val="0"/>
              <w:keepLines w:val="0"/>
              <w:pageBreakBefore w:val="0"/>
              <w:widowControl w:val="0"/>
              <w:kinsoku/>
              <w:wordWrap/>
              <w:overflowPunct/>
              <w:topLinePunct w:val="0"/>
              <w:bidi w:val="0"/>
              <w:adjustRightInd w:val="0"/>
              <w:snapToGrid w:val="0"/>
              <w:ind w:right="0"/>
              <w:jc w:val="center"/>
              <w:textAlignment w:val="auto"/>
              <w:rPr>
                <w:rFonts w:hint="eastAsia"/>
                <w:b/>
                <w:bCs/>
              </w:rPr>
            </w:pPr>
            <w:r>
              <w:rPr>
                <w:rFonts w:hint="eastAsia"/>
                <w:b/>
                <w:bCs/>
              </w:rPr>
              <w:t>表1-</w:t>
            </w:r>
            <w:r>
              <w:rPr>
                <w:rFonts w:hint="eastAsia"/>
                <w:b/>
                <w:bCs/>
                <w:lang w:val="en-US" w:eastAsia="zh-CN"/>
              </w:rPr>
              <w:t xml:space="preserve">7 </w:t>
            </w:r>
            <w:r>
              <w:rPr>
                <w:rFonts w:hint="eastAsia"/>
                <w:b/>
                <w:bCs/>
              </w:rPr>
              <w:t>与规划相符性一览表</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3578"/>
              <w:gridCol w:w="2572"/>
              <w:gridCol w:w="9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6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序号</w:t>
                  </w:r>
                </w:p>
              </w:tc>
              <w:tc>
                <w:tcPr>
                  <w:tcW w:w="357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b/>
                      <w:bCs/>
                      <w:sz w:val="21"/>
                      <w:szCs w:val="21"/>
                    </w:rPr>
                  </w:pPr>
                  <w:r>
                    <w:rPr>
                      <w:rFonts w:hint="eastAsia"/>
                      <w:b/>
                      <w:bCs/>
                      <w:sz w:val="21"/>
                      <w:szCs w:val="21"/>
                    </w:rPr>
                    <w:t>规划内容</w:t>
                  </w:r>
                </w:p>
              </w:tc>
              <w:tc>
                <w:tcPr>
                  <w:tcW w:w="257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b/>
                      <w:bCs/>
                      <w:sz w:val="21"/>
                      <w:szCs w:val="21"/>
                    </w:rPr>
                  </w:pPr>
                  <w:r>
                    <w:rPr>
                      <w:rFonts w:hint="eastAsia"/>
                      <w:b/>
                      <w:bCs/>
                      <w:sz w:val="21"/>
                      <w:szCs w:val="21"/>
                    </w:rPr>
                    <w:t>本项目建设内容</w:t>
                  </w:r>
                </w:p>
              </w:tc>
              <w:tc>
                <w:tcPr>
                  <w:tcW w:w="91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1</w:t>
                  </w:r>
                </w:p>
              </w:tc>
              <w:tc>
                <w:tcPr>
                  <w:tcW w:w="357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加强固定源污染综合治理。深入开展锅炉综合整治，全面淘汰35蒸吨/小时以下燃煤锅炉，持续开展燃气锅炉低氮改造和建成区生物质锅炉超低排放改造或淘汰。城市建成区原则上不再新建每小时65蒸吨以下的燃煤锅炉，65蒸吨/小时及以上燃煤锅炉完成超低排放改造，主要污染物排放达到超低排放标准要求。</w:t>
                  </w:r>
                </w:p>
              </w:tc>
              <w:tc>
                <w:tcPr>
                  <w:tcW w:w="257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本次技</w:t>
                  </w:r>
                  <w:r>
                    <w:rPr>
                      <w:rFonts w:hint="eastAsia" w:ascii="Times New Roman" w:hAnsi="Times New Roman" w:eastAsia="宋体" w:cs="Times New Roman"/>
                      <w:color w:val="auto"/>
                      <w:sz w:val="21"/>
                      <w:szCs w:val="21"/>
                    </w:rPr>
                    <w:t>改项目不新增锅炉，蒸汽由园区供给</w:t>
                  </w:r>
                  <w:r>
                    <w:rPr>
                      <w:rFonts w:hint="eastAsia" w:ascii="Times New Roman" w:hAnsi="Times New Roman" w:eastAsia="宋体" w:cs="Times New Roman"/>
                      <w:sz w:val="21"/>
                      <w:szCs w:val="21"/>
                    </w:rPr>
                    <w:t>。</w:t>
                  </w:r>
                </w:p>
              </w:tc>
              <w:tc>
                <w:tcPr>
                  <w:tcW w:w="91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2</w:t>
                  </w:r>
                </w:p>
              </w:tc>
              <w:tc>
                <w:tcPr>
                  <w:tcW w:w="357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强化面源污染治理。加强施工扬尘综合治理，严格落实“六个百分之百”扬尘防控长效机制，督促建设单位和施工单位落实施工工地扬尘管控责任，将施工工地扬尘治理与施工企业资质评价、信用评价等挂钩，构建过程全覆盖、管理全方位、责任全链条的建筑施工扬尘治理体系，提高建筑施工标准化水平。</w:t>
                  </w:r>
                </w:p>
              </w:tc>
              <w:tc>
                <w:tcPr>
                  <w:tcW w:w="257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项目利用已有厂房进行生产，主要为生产设备的安装，无土建工程</w:t>
                  </w:r>
                </w:p>
              </w:tc>
              <w:tc>
                <w:tcPr>
                  <w:tcW w:w="91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7"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3</w:t>
                  </w:r>
                </w:p>
              </w:tc>
              <w:tc>
                <w:tcPr>
                  <w:tcW w:w="357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加强危险废物安全处置。继续强化医疗废物管理工作，开展危险废物和危险化学品污染事故应急能力建设，防范环境污染风险，以提高危险废物资源化利用水平为重点，完善危险废物运输、转运和处理机制，杜绝危险废物混入一般工业固体废物或生活垃圾进行处理处置的现象，培育技术先进、综合利用水平高、环境治理设施完善的危险废物持证经营单位，加强危险废物资源化利用，确保危险废物安全处置利用率达到 100%。完善危险废物管理台账、转移联单等管理制度，提高危险废物收集、运输、处理处置的全过程信息化管理水平。</w:t>
                  </w:r>
                </w:p>
              </w:tc>
              <w:tc>
                <w:tcPr>
                  <w:tcW w:w="2572"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本次技改项目</w:t>
                  </w:r>
                  <w:r>
                    <w:rPr>
                      <w:rFonts w:hint="eastAsia"/>
                      <w:sz w:val="21"/>
                      <w:szCs w:val="21"/>
                      <w:lang w:val="en-US" w:eastAsia="zh-CN"/>
                    </w:rPr>
                    <w:t>产生的危险废物暂存危废间，定期交由有资质单位处理</w:t>
                  </w:r>
                  <w:r>
                    <w:rPr>
                      <w:rFonts w:hint="eastAsia"/>
                      <w:sz w:val="21"/>
                      <w:szCs w:val="21"/>
                    </w:rPr>
                    <w:t>。</w:t>
                  </w:r>
                </w:p>
              </w:tc>
              <w:tc>
                <w:tcPr>
                  <w:tcW w:w="91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符合</w:t>
                  </w:r>
                </w:p>
              </w:tc>
            </w:tr>
          </w:tbl>
          <w:p>
            <w:pPr>
              <w:pStyle w:val="31"/>
              <w:keepNext w:val="0"/>
              <w:keepLines w:val="0"/>
              <w:pageBreakBefore w:val="0"/>
              <w:widowControl w:val="0"/>
              <w:kinsoku/>
              <w:wordWrap/>
              <w:overflowPunct/>
              <w:topLinePunct w:val="0"/>
              <w:autoSpaceDE/>
              <w:autoSpaceDN/>
              <w:bidi w:val="0"/>
              <w:adjustRightInd w:val="0"/>
              <w:snapToGrid w:val="0"/>
              <w:spacing w:before="157" w:beforeLines="50"/>
              <w:ind w:right="0" w:firstLine="0" w:firstLineChars="0"/>
              <w:textAlignment w:val="auto"/>
              <w:rPr>
                <w:rFonts w:hint="eastAsia"/>
                <w:color w:val="000000"/>
                <w:kern w:val="0"/>
              </w:rPr>
            </w:pPr>
            <w:r>
              <w:rPr>
                <w:rFonts w:hint="eastAsia"/>
                <w:b/>
                <w:bCs/>
                <w:color w:val="000000"/>
                <w:kern w:val="0"/>
                <w:lang w:val="en-US" w:eastAsia="zh-CN"/>
              </w:rPr>
              <w:t>5</w:t>
            </w:r>
            <w:r>
              <w:rPr>
                <w:rFonts w:hint="eastAsia"/>
                <w:b/>
                <w:bCs/>
                <w:color w:val="000000"/>
                <w:kern w:val="0"/>
              </w:rPr>
              <w:t>、与《安徽省2022年大气污染防治工作要点》（安环委办〔2022〕37号）符合性</w:t>
            </w:r>
          </w:p>
          <w:p>
            <w:pPr>
              <w:keepNext w:val="0"/>
              <w:keepLines w:val="0"/>
              <w:pageBreakBefore w:val="0"/>
              <w:widowControl w:val="0"/>
              <w:kinsoku/>
              <w:wordWrap/>
              <w:overflowPunct/>
              <w:topLinePunct w:val="0"/>
              <w:bidi w:val="0"/>
              <w:adjustRightInd w:val="0"/>
              <w:snapToGrid w:val="0"/>
              <w:ind w:right="0"/>
              <w:textAlignment w:val="auto"/>
              <w:rPr>
                <w:rFonts w:hint="eastAsia"/>
                <w:b/>
                <w:bCs/>
              </w:rPr>
            </w:pPr>
          </w:p>
          <w:p>
            <w:pPr>
              <w:keepNext w:val="0"/>
              <w:keepLines w:val="0"/>
              <w:pageBreakBefore w:val="0"/>
              <w:widowControl w:val="0"/>
              <w:kinsoku/>
              <w:wordWrap/>
              <w:overflowPunct/>
              <w:topLinePunct w:val="0"/>
              <w:bidi w:val="0"/>
              <w:adjustRightInd w:val="0"/>
              <w:snapToGrid w:val="0"/>
              <w:ind w:right="0"/>
              <w:textAlignment w:val="auto"/>
              <w:rPr>
                <w:rFonts w:hint="eastAsia"/>
                <w:b/>
                <w:bCs/>
              </w:rPr>
            </w:pPr>
            <w:r>
              <w:rPr>
                <w:rFonts w:hint="eastAsia"/>
                <w:b/>
                <w:bCs/>
              </w:rPr>
              <w:t>表1-</w:t>
            </w:r>
            <w:r>
              <w:rPr>
                <w:rFonts w:hint="eastAsia"/>
                <w:b/>
                <w:bCs/>
                <w:lang w:val="en-US" w:eastAsia="zh-CN"/>
              </w:rPr>
              <w:t>8</w:t>
            </w:r>
            <w:r>
              <w:rPr>
                <w:rFonts w:hint="eastAsia"/>
                <w:b/>
                <w:bCs/>
              </w:rPr>
              <w:t xml:space="preserve"> 与《安徽省2022年大气污染防治工作要点》（安环委办〔2022〕37号）符合性</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5190"/>
              <w:gridCol w:w="1155"/>
              <w:gridCol w:w="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70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序号</w:t>
                  </w:r>
                </w:p>
              </w:tc>
              <w:tc>
                <w:tcPr>
                  <w:tcW w:w="519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b/>
                      <w:bCs/>
                      <w:sz w:val="21"/>
                      <w:szCs w:val="21"/>
                    </w:rPr>
                  </w:pPr>
                  <w:r>
                    <w:rPr>
                      <w:rFonts w:hint="eastAsia"/>
                      <w:b/>
                      <w:bCs/>
                      <w:sz w:val="21"/>
                      <w:szCs w:val="21"/>
                    </w:rPr>
                    <w:t>相关规范要求</w:t>
                  </w:r>
                </w:p>
              </w:tc>
              <w:tc>
                <w:tcPr>
                  <w:tcW w:w="115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本项目</w:t>
                  </w:r>
                </w:p>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建设情况</w:t>
                  </w:r>
                </w:p>
              </w:tc>
              <w:tc>
                <w:tcPr>
                  <w:tcW w:w="88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b/>
                      <w:bCs/>
                      <w:sz w:val="21"/>
                      <w:szCs w:val="21"/>
                    </w:rPr>
                  </w:pPr>
                  <w:r>
                    <w:rPr>
                      <w:rFonts w:hint="eastAsia"/>
                      <w:b/>
                      <w:bCs/>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1</w:t>
                  </w:r>
                </w:p>
              </w:tc>
              <w:tc>
                <w:tcPr>
                  <w:tcW w:w="519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加强煤炭消费管理。严控新增耗煤项目，大气污染防治重点区域内新建、改建、扩建用煤项目的严格实施煤炭减量替代。加强商品煤质量监督和管理，确保符合国家和地方标准要求。推进煤炭清洁高效利用，鼓励和支持洁净煤技术的开发和推广。禁止新建企业自备燃煤设施，加快供热管网建设，充分释放燃煤电厂、工业余热等供热能力。</w:t>
                  </w:r>
                </w:p>
              </w:tc>
              <w:tc>
                <w:tcPr>
                  <w:tcW w:w="115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本项目不使用煤炭</w:t>
                  </w:r>
                </w:p>
              </w:tc>
              <w:tc>
                <w:tcPr>
                  <w:tcW w:w="88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2</w:t>
                  </w:r>
                </w:p>
              </w:tc>
              <w:tc>
                <w:tcPr>
                  <w:tcW w:w="519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积极发展清洁能源。坚持实施“增气减煤”，提升供应侧非化石能源比重，提高消费侧电力比重，增加天然气供应量、优化天然气使用，2022年底前，新增电能替代电量60亿千瓦时，天然气供气规模达76亿立方米。持续推进以煤为燃料的工业炉窑清洁燃料替代改造，提高以电代煤、以气代煤比例。推进现有机组实施清洁能源替代、功能转换，积极争取“外电入皖”。实施可再生能源替代行动，加快建设新型能源供应系统，因地制宜开发风电与光伏发电，鼓励建设风能、太阳能、生物质能等新能源项目，推进生物燃料乙醇项目改造提升。</w:t>
                  </w:r>
                </w:p>
              </w:tc>
              <w:tc>
                <w:tcPr>
                  <w:tcW w:w="115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rFonts w:hint="eastAsia"/>
                      <w:sz w:val="21"/>
                      <w:szCs w:val="21"/>
                    </w:rPr>
                    <w:t>本项目使用电能、蒸汽</w:t>
                  </w:r>
                </w:p>
              </w:tc>
              <w:tc>
                <w:tcPr>
                  <w:tcW w:w="88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符合</w:t>
                  </w:r>
                </w:p>
              </w:tc>
            </w:tr>
          </w:tbl>
          <w:p>
            <w:pPr>
              <w:keepNext w:val="0"/>
              <w:keepLines w:val="0"/>
              <w:pageBreakBefore w:val="0"/>
              <w:widowControl w:val="0"/>
              <w:kinsoku/>
              <w:wordWrap/>
              <w:overflowPunct/>
              <w:topLinePunct w:val="0"/>
              <w:bidi w:val="0"/>
              <w:adjustRightInd w:val="0"/>
              <w:snapToGrid w:val="0"/>
              <w:spacing w:line="360" w:lineRule="auto"/>
              <w:ind w:right="0"/>
              <w:textAlignment w:val="auto"/>
              <w:rPr>
                <w:rFonts w:hint="eastAsia"/>
                <w:b/>
                <w:bCs/>
              </w:rPr>
            </w:pPr>
            <w:r>
              <w:rPr>
                <w:rFonts w:hint="eastAsia"/>
                <w:b/>
                <w:bCs/>
                <w:lang w:val="en-US" w:eastAsia="zh-CN"/>
              </w:rPr>
              <w:t>6</w:t>
            </w:r>
            <w:r>
              <w:rPr>
                <w:rFonts w:hint="eastAsia"/>
                <w:b/>
                <w:bCs/>
              </w:rPr>
              <w:t>、与《淮北市水生态环境保护“十四五”规划》（2022年1月）相符性分析</w:t>
            </w:r>
          </w:p>
          <w:p>
            <w:pPr>
              <w:keepNext w:val="0"/>
              <w:keepLines w:val="0"/>
              <w:pageBreakBefore w:val="0"/>
              <w:widowControl w:val="0"/>
              <w:kinsoku/>
              <w:wordWrap/>
              <w:overflowPunct/>
              <w:topLinePunct w:val="0"/>
              <w:bidi w:val="0"/>
              <w:adjustRightInd w:val="0"/>
              <w:snapToGrid w:val="0"/>
              <w:ind w:right="0"/>
              <w:textAlignment w:val="auto"/>
              <w:rPr>
                <w:rFonts w:hint="eastAsia"/>
                <w:b/>
                <w:bCs/>
              </w:rPr>
            </w:pPr>
            <w:r>
              <w:rPr>
                <w:rFonts w:hint="eastAsia"/>
                <w:b/>
                <w:bCs/>
              </w:rPr>
              <w:t>表1-</w:t>
            </w:r>
            <w:r>
              <w:rPr>
                <w:rFonts w:hint="eastAsia"/>
                <w:b/>
                <w:bCs/>
                <w:lang w:val="en-US" w:eastAsia="zh-CN"/>
              </w:rPr>
              <w:t>9</w:t>
            </w:r>
            <w:r>
              <w:rPr>
                <w:rFonts w:hint="eastAsia"/>
                <w:b/>
                <w:bCs/>
              </w:rPr>
              <w:t xml:space="preserve"> 项目与《淮北市水生态环境保护“十四五”规划》（2022年5月）相符性分析一览表</w:t>
            </w:r>
          </w:p>
          <w:tbl>
            <w:tblPr>
              <w:tblStyle w:val="21"/>
              <w:tblW w:w="79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99"/>
              <w:gridCol w:w="1821"/>
              <w:gridCol w:w="12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799"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与本项目相关的要求</w:t>
                  </w:r>
                </w:p>
              </w:tc>
              <w:tc>
                <w:tcPr>
                  <w:tcW w:w="182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本项目情况</w:t>
                  </w:r>
                </w:p>
              </w:tc>
              <w:tc>
                <w:tcPr>
                  <w:tcW w:w="129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9" w:hRule="atLeast"/>
              </w:trPr>
              <w:tc>
                <w:tcPr>
                  <w:tcW w:w="4799"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提高工业污染治理水平。工业治污重点提升清洁生产水平，加强中水回用，减少污水及污染物排放，利用信息化手段加强监测监控，保证稳定达标排放。重点排污工业企业要积极推进污水深度治理，鼓励企业在稳定达标排放的基础上建设污水深度处理设施，提高企业用水重复利用率。</w:t>
                  </w:r>
                </w:p>
              </w:tc>
              <w:tc>
                <w:tcPr>
                  <w:tcW w:w="182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color w:val="auto"/>
                      <w:sz w:val="21"/>
                      <w:szCs w:val="21"/>
                    </w:rPr>
                    <w:t>厂区</w:t>
                  </w:r>
                  <w:r>
                    <w:rPr>
                      <w:rFonts w:hint="eastAsia"/>
                      <w:color w:val="auto"/>
                      <w:sz w:val="21"/>
                      <w:szCs w:val="21"/>
                      <w:lang w:val="en-US" w:eastAsia="zh-CN"/>
                    </w:rPr>
                    <w:t>生产</w:t>
                  </w:r>
                  <w:r>
                    <w:rPr>
                      <w:rFonts w:hint="eastAsia"/>
                      <w:color w:val="auto"/>
                      <w:sz w:val="21"/>
                      <w:szCs w:val="21"/>
                    </w:rPr>
                    <w:t>废水</w:t>
                  </w:r>
                  <w:r>
                    <w:rPr>
                      <w:rFonts w:hint="eastAsia"/>
                      <w:color w:val="auto"/>
                      <w:sz w:val="21"/>
                      <w:szCs w:val="21"/>
                      <w:lang w:eastAsia="zh-CN"/>
                    </w:rPr>
                    <w:t>、</w:t>
                  </w:r>
                  <w:r>
                    <w:rPr>
                      <w:rFonts w:hint="eastAsia"/>
                      <w:color w:val="auto"/>
                      <w:sz w:val="21"/>
                      <w:szCs w:val="21"/>
                      <w:lang w:val="en-US" w:eastAsia="zh-CN"/>
                    </w:rPr>
                    <w:t>生活污水、经隔油池预处理的食堂废水，</w:t>
                  </w:r>
                  <w:r>
                    <w:rPr>
                      <w:rFonts w:hint="eastAsia"/>
                      <w:color w:val="auto"/>
                      <w:sz w:val="21"/>
                      <w:szCs w:val="21"/>
                    </w:rPr>
                    <w:t>满足污水接管要求，一并排入市政污水管网，最终进入园区污水处理厂集中处理。</w:t>
                  </w:r>
                </w:p>
              </w:tc>
              <w:tc>
                <w:tcPr>
                  <w:tcW w:w="129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4799"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六）推进初期雨水污染控制开展城市雨洪排口、直接通河入湖的涵闸、泵站等初期雨水污染控制。通过溢流口改造、截流井改造、管道截流等措施降低溢流频次，采取快速净化措施对合流制溢流污染进行处理后排放，逐步降低雨季污染物入河湖量。</w:t>
                  </w:r>
                </w:p>
              </w:tc>
              <w:tc>
                <w:tcPr>
                  <w:tcW w:w="182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rFonts w:hint="eastAsia"/>
                      <w:sz w:val="21"/>
                      <w:szCs w:val="21"/>
                    </w:rPr>
                    <w:t>依托厂区现有雨水管道汇集后排入周边道路市政雨水管网</w:t>
                  </w:r>
                </w:p>
              </w:tc>
              <w:tc>
                <w:tcPr>
                  <w:tcW w:w="1298"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相符</w:t>
                  </w:r>
                </w:p>
              </w:tc>
            </w:tr>
          </w:tbl>
          <w:p>
            <w:pPr>
              <w:keepNext w:val="0"/>
              <w:keepLines w:val="0"/>
              <w:pageBreakBefore w:val="0"/>
              <w:widowControl w:val="0"/>
              <w:kinsoku/>
              <w:wordWrap/>
              <w:overflowPunct/>
              <w:topLinePunct w:val="0"/>
              <w:bidi w:val="0"/>
              <w:adjustRightInd w:val="0"/>
              <w:snapToGrid w:val="0"/>
              <w:spacing w:line="360" w:lineRule="auto"/>
              <w:ind w:right="0"/>
              <w:textAlignment w:val="auto"/>
              <w:rPr>
                <w:rFonts w:hint="eastAsia"/>
                <w:b/>
                <w:bCs/>
              </w:rPr>
            </w:pPr>
            <w:r>
              <w:rPr>
                <w:rFonts w:hint="eastAsia"/>
                <w:b/>
                <w:bCs/>
                <w:lang w:val="en-US" w:eastAsia="zh-CN"/>
              </w:rPr>
              <w:t>7</w:t>
            </w:r>
            <w:r>
              <w:rPr>
                <w:rFonts w:hint="eastAsia"/>
                <w:b/>
                <w:bCs/>
              </w:rPr>
              <w:t>、与《淮北市2022-2023年秋冬季大气污染防治攻坚行动实施方案》（淮环委办[2022]72号）相符性分析</w:t>
            </w:r>
          </w:p>
          <w:p>
            <w:pPr>
              <w:keepNext w:val="0"/>
              <w:keepLines w:val="0"/>
              <w:pageBreakBefore w:val="0"/>
              <w:widowControl w:val="0"/>
              <w:kinsoku/>
              <w:wordWrap/>
              <w:overflowPunct/>
              <w:topLinePunct w:val="0"/>
              <w:bidi w:val="0"/>
              <w:adjustRightInd w:val="0"/>
              <w:snapToGrid w:val="0"/>
              <w:ind w:right="0"/>
              <w:jc w:val="left"/>
              <w:textAlignment w:val="auto"/>
              <w:rPr>
                <w:rFonts w:hint="eastAsia"/>
                <w:b/>
                <w:bCs/>
              </w:rPr>
            </w:pPr>
            <w:r>
              <w:rPr>
                <w:rFonts w:hint="eastAsia"/>
                <w:b/>
                <w:bCs/>
              </w:rPr>
              <w:t>表1-1</w:t>
            </w:r>
            <w:r>
              <w:rPr>
                <w:rFonts w:hint="eastAsia"/>
                <w:b/>
                <w:bCs/>
                <w:lang w:val="en-US" w:eastAsia="zh-CN"/>
              </w:rPr>
              <w:t>0</w:t>
            </w:r>
            <w:r>
              <w:rPr>
                <w:rFonts w:hint="eastAsia"/>
                <w:b/>
                <w:bCs/>
              </w:rPr>
              <w:t xml:space="preserve"> </w:t>
            </w:r>
            <w:r>
              <w:rPr>
                <w:b/>
                <w:bCs/>
              </w:rPr>
              <w:t>与《淮北市2022-2023年秋冬季大气污染防治攻坚行动实施方案》（淮环委办[2022]72 号）相符性分析</w:t>
            </w:r>
            <w:r>
              <w:rPr>
                <w:rFonts w:hint="eastAsia"/>
                <w:b/>
                <w:bCs/>
              </w:rPr>
              <w:t>一览表</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21"/>
              <w:gridCol w:w="1560"/>
              <w:gridCol w:w="13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2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与本项目相关的要求</w:t>
                  </w:r>
                </w:p>
              </w:tc>
              <w:tc>
                <w:tcPr>
                  <w:tcW w:w="156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本项目情况</w:t>
                  </w:r>
                </w:p>
              </w:tc>
              <w:tc>
                <w:tcPr>
                  <w:tcW w:w="13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b/>
                      <w:bCs/>
                      <w:sz w:val="21"/>
                      <w:szCs w:val="21"/>
                    </w:rPr>
                  </w:pPr>
                  <w:r>
                    <w:rPr>
                      <w:rFonts w:hint="eastAsia"/>
                      <w:b/>
                      <w:bCs/>
                      <w:sz w:val="21"/>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502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实施煤炭消费总量控制。严格落实煤炭消费减量替代，新建、改建、扩建的用煤项目，实行煤炭消费等量或减量替代，煤炭消费总量完成省下达的任务。</w:t>
                  </w:r>
                </w:p>
              </w:tc>
              <w:tc>
                <w:tcPr>
                  <w:tcW w:w="156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本项目不涉及</w:t>
                  </w:r>
                </w:p>
              </w:tc>
              <w:tc>
                <w:tcPr>
                  <w:tcW w:w="13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2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深化锅炉综合整治。全市行政区域内禁止使用每小时35吨蒸吨以下燃煤锅炉及茶水炉、经营性炉灶、储粮烘干设备等燃煤设施，实行清洁能源替代。生物质锅炉全部达到特别排放限值要求，建成区内达到超低排放标准。</w:t>
                  </w:r>
                </w:p>
              </w:tc>
              <w:tc>
                <w:tcPr>
                  <w:tcW w:w="156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本项目不涉及</w:t>
                  </w:r>
                </w:p>
              </w:tc>
              <w:tc>
                <w:tcPr>
                  <w:tcW w:w="13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2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rFonts w:hint="eastAsia"/>
                      <w:sz w:val="21"/>
                      <w:szCs w:val="21"/>
                    </w:rPr>
                  </w:pPr>
                  <w:r>
                    <w:rPr>
                      <w:rFonts w:hint="eastAsia"/>
                      <w:sz w:val="21"/>
                      <w:szCs w:val="21"/>
                    </w:rPr>
                    <w:t>完善开发区集中供热设施。进一步完善配套供热管网，全面淘汰集中供热范围内小散供热设施，确保需集中供热的企业应入尽入。</w:t>
                  </w:r>
                </w:p>
              </w:tc>
              <w:tc>
                <w:tcPr>
                  <w:tcW w:w="1560"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textAlignment w:val="auto"/>
                    <w:rPr>
                      <w:sz w:val="21"/>
                      <w:szCs w:val="21"/>
                    </w:rPr>
                  </w:pPr>
                  <w:r>
                    <w:rPr>
                      <w:rFonts w:hint="eastAsia"/>
                      <w:sz w:val="21"/>
                      <w:szCs w:val="21"/>
                    </w:rPr>
                    <w:t>本项目由园区集中供热</w:t>
                  </w:r>
                </w:p>
              </w:tc>
              <w:tc>
                <w:tcPr>
                  <w:tcW w:w="134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right="0"/>
                    <w:jc w:val="center"/>
                    <w:textAlignment w:val="auto"/>
                    <w:rPr>
                      <w:rFonts w:hint="eastAsia"/>
                      <w:sz w:val="21"/>
                      <w:szCs w:val="21"/>
                    </w:rPr>
                  </w:pPr>
                  <w:r>
                    <w:rPr>
                      <w:rFonts w:hint="eastAsia"/>
                      <w:sz w:val="21"/>
                      <w:szCs w:val="21"/>
                    </w:rPr>
                    <w:t>相符</w:t>
                  </w:r>
                </w:p>
              </w:tc>
            </w:tr>
          </w:tbl>
          <w:p>
            <w:pPr>
              <w:keepNext w:val="0"/>
              <w:keepLines w:val="0"/>
              <w:pageBreakBefore w:val="0"/>
              <w:widowControl w:val="0"/>
              <w:kinsoku/>
              <w:wordWrap/>
              <w:overflowPunct/>
              <w:topLinePunct w:val="0"/>
              <w:bidi w:val="0"/>
              <w:adjustRightInd w:val="0"/>
              <w:snapToGrid w:val="0"/>
              <w:spacing w:line="360" w:lineRule="auto"/>
              <w:ind w:right="0"/>
              <w:textAlignment w:val="auto"/>
            </w:pPr>
            <w:r>
              <w:rPr>
                <w:rFonts w:hint="eastAsia"/>
                <w:b/>
                <w:lang w:val="en-US" w:eastAsia="zh-CN"/>
              </w:rPr>
              <w:t>8</w:t>
            </w:r>
            <w:r>
              <w:rPr>
                <w:b/>
              </w:rPr>
              <w:t>、项目与排污许可联动内容分析</w:t>
            </w:r>
            <w:r>
              <w:t xml:space="preserve">  </w:t>
            </w:r>
          </w:p>
          <w:p>
            <w:pPr>
              <w:keepNext w:val="0"/>
              <w:keepLines w:val="0"/>
              <w:pageBreakBefore w:val="0"/>
              <w:widowControl w:val="0"/>
              <w:kinsoku/>
              <w:wordWrap/>
              <w:overflowPunct/>
              <w:topLinePunct w:val="0"/>
              <w:bidi w:val="0"/>
              <w:adjustRightInd w:val="0"/>
              <w:snapToGrid w:val="0"/>
              <w:spacing w:line="360" w:lineRule="auto"/>
              <w:ind w:right="0" w:firstLine="472" w:firstLineChars="200"/>
              <w:textAlignment w:val="auto"/>
              <w:rPr>
                <w:spacing w:val="-2"/>
              </w:rPr>
            </w:pPr>
            <w:r>
              <w:rPr>
                <w:spacing w:val="-2"/>
              </w:rPr>
              <w:t>根据安徽省生态环境厅于2021年1月30日发布的《安徽省生态环境厅关于统筹做好固定污染源排污许可日常监管工作的通知》（皖环发</w:t>
            </w:r>
            <w:r>
              <w:rPr>
                <w:rFonts w:hint="eastAsia"/>
                <w:spacing w:val="-2"/>
              </w:rPr>
              <w:t>[</w:t>
            </w:r>
            <w:r>
              <w:rPr>
                <w:spacing w:val="-2"/>
              </w:rPr>
              <w:t>2021</w:t>
            </w:r>
            <w:r>
              <w:rPr>
                <w:rFonts w:hint="eastAsia"/>
                <w:spacing w:val="-2"/>
              </w:rPr>
              <w:t>]</w:t>
            </w:r>
            <w:r>
              <w:rPr>
                <w:spacing w:val="-2"/>
              </w:rPr>
              <w:t>7号），属于现行《固定污染源排污许可分类管理名录》内重点管理和简化管理的行业，在环评文件中应明确</w:t>
            </w:r>
            <w:r>
              <w:rPr>
                <w:rFonts w:hint="eastAsia"/>
                <w:spacing w:val="-2"/>
              </w:rPr>
              <w:t>“</w:t>
            </w:r>
            <w:r>
              <w:rPr>
                <w:spacing w:val="-2"/>
              </w:rPr>
              <w:t>建设项目环境影响评价与排污许可联动内容</w:t>
            </w:r>
            <w:r>
              <w:rPr>
                <w:rFonts w:hint="eastAsia"/>
                <w:spacing w:val="-2"/>
              </w:rPr>
              <w:t>”</w:t>
            </w:r>
            <w:r>
              <w:rPr>
                <w:spacing w:val="-2"/>
              </w:rPr>
              <w:t>。</w:t>
            </w:r>
          </w:p>
          <w:p>
            <w:pPr>
              <w:keepNext w:val="0"/>
              <w:keepLines w:val="0"/>
              <w:pageBreakBefore w:val="0"/>
              <w:widowControl w:val="0"/>
              <w:kinsoku/>
              <w:wordWrap/>
              <w:overflowPunct/>
              <w:topLinePunct w:val="0"/>
              <w:bidi w:val="0"/>
              <w:adjustRightInd w:val="0"/>
              <w:snapToGrid w:val="0"/>
              <w:spacing w:line="360" w:lineRule="auto"/>
              <w:ind w:right="0" w:firstLine="480" w:firstLineChars="200"/>
              <w:textAlignment w:val="auto"/>
            </w:pPr>
            <w:r>
              <w:t>排污许可管理类别判定：本项目国民经济行业类别为C1</w:t>
            </w:r>
            <w:r>
              <w:rPr>
                <w:rFonts w:hint="eastAsia"/>
                <w:lang w:val="en-US" w:eastAsia="zh-CN"/>
              </w:rPr>
              <w:t>522（瓶）罐装饮用水制造及C2926塑料包装箱及容器制造</w:t>
            </w:r>
            <w:r>
              <w:t>，根据《固定污染源排污许可分类管理名录（2019年版）》，本项目属于固定污染源排污许可分类</w:t>
            </w:r>
            <w:r>
              <w:rPr>
                <w:spacing w:val="-2"/>
              </w:rPr>
              <w:t>管理名录表中的</w:t>
            </w:r>
            <w:r>
              <w:rPr>
                <w:rFonts w:hint="eastAsia"/>
                <w:spacing w:val="-2"/>
              </w:rPr>
              <w:t>“</w:t>
            </w:r>
            <w:r>
              <w:rPr>
                <w:rFonts w:hint="eastAsia"/>
                <w:spacing w:val="-2"/>
                <w:lang w:val="en-US" w:eastAsia="zh-CN"/>
              </w:rPr>
              <w:t>十</w:t>
            </w:r>
            <w:r>
              <w:rPr>
                <w:spacing w:val="-2"/>
              </w:rPr>
              <w:t>、</w:t>
            </w:r>
            <w:r>
              <w:rPr>
                <w:rFonts w:hint="eastAsia"/>
                <w:spacing w:val="-2"/>
                <w:lang w:val="en-US" w:eastAsia="zh-CN"/>
              </w:rPr>
              <w:t>酒、饮料和精制茶</w:t>
            </w:r>
            <w:r>
              <w:rPr>
                <w:spacing w:val="-2"/>
              </w:rPr>
              <w:t>制造业1</w:t>
            </w:r>
            <w:r>
              <w:rPr>
                <w:rFonts w:hint="eastAsia"/>
                <w:spacing w:val="-2"/>
                <w:lang w:val="en-US" w:eastAsia="zh-CN"/>
              </w:rPr>
              <w:t>5</w:t>
            </w:r>
            <w:r>
              <w:rPr>
                <w:rFonts w:hint="eastAsia"/>
                <w:spacing w:val="-2"/>
              </w:rPr>
              <w:t>”</w:t>
            </w:r>
            <w:r>
              <w:rPr>
                <w:spacing w:val="-2"/>
              </w:rPr>
              <w:t>中的</w:t>
            </w:r>
            <w:r>
              <w:rPr>
                <w:rFonts w:hint="eastAsia"/>
                <w:spacing w:val="-2"/>
              </w:rPr>
              <w:t>“</w:t>
            </w:r>
            <w:r>
              <w:rPr>
                <w:rFonts w:hint="eastAsia"/>
                <w:spacing w:val="-2"/>
                <w:lang w:val="en-US" w:eastAsia="zh-CN"/>
              </w:rPr>
              <w:t>22饮料</w:t>
            </w:r>
            <w:r>
              <w:rPr>
                <w:spacing w:val="-2"/>
              </w:rPr>
              <w:t>制造1</w:t>
            </w:r>
            <w:r>
              <w:rPr>
                <w:rFonts w:hint="eastAsia"/>
                <w:spacing w:val="-2"/>
                <w:lang w:val="en-US" w:eastAsia="zh-CN"/>
              </w:rPr>
              <w:t>52</w:t>
            </w:r>
            <w:r>
              <w:rPr>
                <w:rFonts w:hint="eastAsia"/>
                <w:spacing w:val="-2"/>
              </w:rPr>
              <w:t>”</w:t>
            </w:r>
            <w:r>
              <w:rPr>
                <w:spacing w:val="-2"/>
              </w:rPr>
              <w:t>中的</w:t>
            </w:r>
            <w:r>
              <w:rPr>
                <w:rFonts w:hint="eastAsia"/>
                <w:spacing w:val="-2"/>
              </w:rPr>
              <w:t>“其他”</w:t>
            </w:r>
            <w:r>
              <w:rPr>
                <w:rFonts w:hint="eastAsia"/>
                <w:spacing w:val="-2"/>
                <w:lang w:eastAsia="zh-CN"/>
              </w:rPr>
              <w:t>，“</w:t>
            </w:r>
            <w:r>
              <w:rPr>
                <w:rFonts w:hint="eastAsia"/>
                <w:spacing w:val="-2"/>
                <w:lang w:val="en-US" w:eastAsia="zh-CN"/>
              </w:rPr>
              <w:t>二十四、橡胶和塑料制品业29</w:t>
            </w:r>
            <w:r>
              <w:rPr>
                <w:rFonts w:hint="eastAsia"/>
                <w:spacing w:val="-2"/>
                <w:lang w:eastAsia="zh-CN"/>
              </w:rPr>
              <w:t>”</w:t>
            </w:r>
            <w:r>
              <w:rPr>
                <w:rFonts w:hint="eastAsia"/>
                <w:spacing w:val="-2"/>
                <w:lang w:val="en-US" w:eastAsia="zh-CN"/>
              </w:rPr>
              <w:t>中的“62塑料制品业292”中的“塑料包装箱及容器制造2926”，</w:t>
            </w:r>
            <w:r>
              <w:rPr>
                <w:spacing w:val="-2"/>
              </w:rPr>
              <w:t>具体分类见下表。</w:t>
            </w:r>
          </w:p>
          <w:p>
            <w:pPr>
              <w:keepNext w:val="0"/>
              <w:keepLines w:val="0"/>
              <w:pageBreakBefore w:val="0"/>
              <w:widowControl w:val="0"/>
              <w:kinsoku/>
              <w:wordWrap/>
              <w:overflowPunct/>
              <w:topLinePunct w:val="0"/>
              <w:bidi w:val="0"/>
              <w:adjustRightInd w:val="0"/>
              <w:snapToGrid w:val="0"/>
              <w:ind w:right="0"/>
              <w:jc w:val="center"/>
              <w:textAlignment w:val="auto"/>
              <w:rPr>
                <w:rFonts w:hint="eastAsia" w:ascii="宋体" w:hAnsi="宋体" w:cs="宋体"/>
                <w:b/>
                <w:bCs/>
                <w:spacing w:val="-2"/>
              </w:rPr>
            </w:pPr>
            <w:r>
              <w:rPr>
                <w:rFonts w:hint="eastAsia" w:ascii="宋体" w:hAnsi="宋体" w:cs="宋体"/>
                <w:b/>
                <w:bCs/>
                <w:spacing w:val="-2"/>
              </w:rPr>
              <w:t>表1-1</w:t>
            </w:r>
            <w:r>
              <w:rPr>
                <w:rFonts w:hint="eastAsia" w:ascii="宋体" w:hAnsi="宋体" w:cs="宋体"/>
                <w:b/>
                <w:bCs/>
                <w:spacing w:val="-2"/>
                <w:lang w:val="en-US" w:eastAsia="zh-CN"/>
              </w:rPr>
              <w:t>1</w:t>
            </w:r>
            <w:r>
              <w:rPr>
                <w:rFonts w:hint="eastAsia" w:ascii="宋体" w:hAnsi="宋体" w:cs="宋体"/>
                <w:b/>
                <w:bCs/>
                <w:spacing w:val="-2"/>
              </w:rPr>
              <w:t xml:space="preserve"> 固定污染源排污许可分类管理名录</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177"/>
              <w:gridCol w:w="1029"/>
              <w:gridCol w:w="4236"/>
              <w:gridCol w:w="8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b/>
                      <w:sz w:val="21"/>
                      <w:szCs w:val="21"/>
                    </w:rPr>
                  </w:pPr>
                  <w:r>
                    <w:rPr>
                      <w:b/>
                      <w:sz w:val="21"/>
                      <w:szCs w:val="21"/>
                    </w:rPr>
                    <w:t>序号</w:t>
                  </w:r>
                </w:p>
              </w:tc>
              <w:tc>
                <w:tcPr>
                  <w:tcW w:w="73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b/>
                      <w:sz w:val="21"/>
                      <w:szCs w:val="21"/>
                    </w:rPr>
                  </w:pPr>
                  <w:r>
                    <w:rPr>
                      <w:b/>
                      <w:sz w:val="21"/>
                      <w:szCs w:val="21"/>
                    </w:rPr>
                    <w:t>行业类别</w:t>
                  </w:r>
                </w:p>
              </w:tc>
              <w:tc>
                <w:tcPr>
                  <w:tcW w:w="63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b/>
                      <w:sz w:val="21"/>
                      <w:szCs w:val="21"/>
                    </w:rPr>
                  </w:pPr>
                  <w:r>
                    <w:rPr>
                      <w:b/>
                      <w:sz w:val="21"/>
                      <w:szCs w:val="21"/>
                    </w:rPr>
                    <w:t>重点</w:t>
                  </w:r>
                </w:p>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b/>
                      <w:sz w:val="21"/>
                      <w:szCs w:val="21"/>
                    </w:rPr>
                  </w:pPr>
                  <w:r>
                    <w:rPr>
                      <w:b/>
                      <w:sz w:val="21"/>
                      <w:szCs w:val="21"/>
                    </w:rPr>
                    <w:t>管理</w:t>
                  </w:r>
                </w:p>
              </w:tc>
              <w:tc>
                <w:tcPr>
                  <w:tcW w:w="262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b/>
                      <w:sz w:val="21"/>
                      <w:szCs w:val="21"/>
                    </w:rPr>
                  </w:pPr>
                  <w:r>
                    <w:rPr>
                      <w:b/>
                      <w:sz w:val="21"/>
                      <w:szCs w:val="21"/>
                    </w:rPr>
                    <w:t>简化管理</w:t>
                  </w:r>
                </w:p>
              </w:tc>
              <w:tc>
                <w:tcPr>
                  <w:tcW w:w="5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b/>
                      <w:sz w:val="21"/>
                      <w:szCs w:val="21"/>
                    </w:rPr>
                  </w:pPr>
                  <w:r>
                    <w:rPr>
                      <w:b/>
                      <w:sz w:val="21"/>
                      <w:szCs w:val="21"/>
                    </w:rPr>
                    <w:t>登记</w:t>
                  </w:r>
                </w:p>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b/>
                      <w:sz w:val="21"/>
                      <w:szCs w:val="21"/>
                    </w:rPr>
                  </w:pPr>
                  <w:r>
                    <w:rPr>
                      <w:b/>
                      <w:sz w:val="21"/>
                      <w:szCs w:val="21"/>
                    </w:rPr>
                    <w:t>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left"/>
                    <w:textAlignment w:val="auto"/>
                    <w:rPr>
                      <w:rFonts w:hint="default" w:eastAsia="宋体"/>
                      <w:sz w:val="21"/>
                      <w:szCs w:val="21"/>
                      <w:lang w:val="en-US" w:eastAsia="zh-CN"/>
                    </w:rPr>
                  </w:pPr>
                  <w:r>
                    <w:rPr>
                      <w:rFonts w:hint="eastAsia"/>
                      <w:sz w:val="21"/>
                      <w:szCs w:val="21"/>
                      <w:lang w:val="en-US" w:eastAsia="zh-CN"/>
                    </w:rPr>
                    <w:t>十</w:t>
                  </w:r>
                  <w:r>
                    <w:rPr>
                      <w:sz w:val="21"/>
                      <w:szCs w:val="21"/>
                    </w:rPr>
                    <w:t>、</w:t>
                  </w:r>
                  <w:r>
                    <w:rPr>
                      <w:rFonts w:hint="eastAsia"/>
                      <w:sz w:val="21"/>
                      <w:szCs w:val="21"/>
                      <w:lang w:val="en-US" w:eastAsia="zh-CN"/>
                    </w:rPr>
                    <w:t>酒、饮料和精制茶制造业15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sz w:val="21"/>
                      <w:szCs w:val="21"/>
                      <w:lang w:val="en-US" w:eastAsia="zh-CN"/>
                    </w:rPr>
                  </w:pPr>
                  <w:r>
                    <w:rPr>
                      <w:rFonts w:hint="eastAsia"/>
                      <w:sz w:val="21"/>
                      <w:szCs w:val="21"/>
                      <w:lang w:val="en-US" w:eastAsia="zh-CN"/>
                    </w:rPr>
                    <w:t>22</w:t>
                  </w:r>
                </w:p>
              </w:tc>
              <w:tc>
                <w:tcPr>
                  <w:tcW w:w="73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sz w:val="21"/>
                      <w:szCs w:val="21"/>
                      <w:lang w:val="en-US" w:eastAsia="zh-CN"/>
                    </w:rPr>
                  </w:pPr>
                  <w:r>
                    <w:rPr>
                      <w:rFonts w:hint="eastAsia"/>
                      <w:sz w:val="21"/>
                      <w:szCs w:val="21"/>
                      <w:lang w:val="en-US" w:eastAsia="zh-CN"/>
                    </w:rPr>
                    <w:t>饮料制造152</w:t>
                  </w:r>
                </w:p>
              </w:tc>
              <w:tc>
                <w:tcPr>
                  <w:tcW w:w="63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sz w:val="21"/>
                      <w:szCs w:val="21"/>
                    </w:rPr>
                    <w:t>/</w:t>
                  </w:r>
                </w:p>
              </w:tc>
              <w:tc>
                <w:tcPr>
                  <w:tcW w:w="2627"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rPr>
                  </w:pPr>
                  <w:r>
                    <w:rPr>
                      <w:rFonts w:hint="eastAsia"/>
                      <w:sz w:val="21"/>
                      <w:szCs w:val="21"/>
                    </w:rPr>
                    <w:t>有发酵工艺或者原汁生产的 *</w:t>
                  </w:r>
                </w:p>
              </w:tc>
              <w:tc>
                <w:tcPr>
                  <w:tcW w:w="540" w:type="pct"/>
                  <w:tcBorders>
                    <w:tl2br w:val="nil"/>
                    <w:tr2bl w:val="nil"/>
                  </w:tcBorders>
                  <w:shd w:val="clear" w:color="auto" w:fill="7F7F7F" w:themeFill="text1" w:themeFillTint="7F"/>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sz w:val="21"/>
                      <w:szCs w:val="21"/>
                    </w:rPr>
                  </w:pPr>
                  <w:r>
                    <w:rPr>
                      <w:sz w:val="21"/>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both"/>
                    <w:textAlignment w:val="auto"/>
                    <w:rPr>
                      <w:rFonts w:hint="default" w:eastAsia="宋体"/>
                      <w:sz w:val="21"/>
                      <w:szCs w:val="21"/>
                      <w:lang w:val="en-US" w:eastAsia="zh-CN"/>
                    </w:rPr>
                  </w:pPr>
                  <w:r>
                    <w:rPr>
                      <w:rFonts w:hint="eastAsia"/>
                      <w:sz w:val="21"/>
                      <w:szCs w:val="21"/>
                      <w:lang w:val="en-US" w:eastAsia="zh-CN"/>
                    </w:rPr>
                    <w:t>二十四、橡胶和塑料制品业29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sz w:val="21"/>
                      <w:szCs w:val="21"/>
                      <w:lang w:val="en-US" w:eastAsia="zh-CN"/>
                    </w:rPr>
                  </w:pPr>
                  <w:r>
                    <w:rPr>
                      <w:rFonts w:hint="eastAsia"/>
                      <w:sz w:val="21"/>
                      <w:szCs w:val="21"/>
                      <w:lang w:val="en-US" w:eastAsia="zh-CN"/>
                    </w:rPr>
                    <w:t>62</w:t>
                  </w:r>
                </w:p>
              </w:tc>
              <w:tc>
                <w:tcPr>
                  <w:tcW w:w="730"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rFonts w:hint="default"/>
                      <w:sz w:val="21"/>
                      <w:szCs w:val="21"/>
                      <w:lang w:val="en-US" w:eastAsia="zh-CN"/>
                    </w:rPr>
                  </w:pPr>
                  <w:r>
                    <w:rPr>
                      <w:rFonts w:hint="eastAsia"/>
                      <w:sz w:val="21"/>
                      <w:szCs w:val="21"/>
                      <w:lang w:val="en-US" w:eastAsia="zh-CN"/>
                    </w:rPr>
                    <w:t>塑料制品业292</w:t>
                  </w:r>
                </w:p>
              </w:tc>
              <w:tc>
                <w:tcPr>
                  <w:tcW w:w="638"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rFonts w:hint="eastAsia"/>
                      <w:sz w:val="21"/>
                      <w:szCs w:val="21"/>
                      <w:lang w:val="en-US" w:eastAsia="zh-CN"/>
                    </w:rPr>
                  </w:pPr>
                  <w:r>
                    <w:rPr>
                      <w:rFonts w:hint="eastAsia"/>
                      <w:sz w:val="21"/>
                      <w:szCs w:val="21"/>
                      <w:lang w:val="en-US" w:eastAsia="zh-CN"/>
                    </w:rPr>
                    <w:t>塑料人造革、合成革制造 2925</w:t>
                  </w:r>
                </w:p>
              </w:tc>
              <w:tc>
                <w:tcPr>
                  <w:tcW w:w="262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eastAsia"/>
                      <w:sz w:val="21"/>
                      <w:szCs w:val="21"/>
                      <w:lang w:val="en-US" w:eastAsia="zh-CN"/>
                    </w:rPr>
                  </w:pPr>
                  <w:r>
                    <w:rPr>
                      <w:rFonts w:hint="eastAsia"/>
                      <w:sz w:val="21"/>
                      <w:szCs w:val="21"/>
                      <w:lang w:val="en-US" w:eastAsia="zh-CN"/>
                    </w:rPr>
                    <w:t>年产1万吨及以上的泡沫塑料制造2924，年产1万吨及以上涉及改性的塑料薄膜制造 2921、塑料板、管、型材制造2922、塑料丝、绳和编织品制造2923、</w:t>
                  </w:r>
                  <w:r>
                    <w:rPr>
                      <w:rFonts w:hint="eastAsia"/>
                      <w:sz w:val="21"/>
                      <w:szCs w:val="21"/>
                      <w:shd w:val="clear" w:fill="7F7F7F" w:themeFill="text1" w:themeFillTint="7F"/>
                      <w:lang w:val="en-US" w:eastAsia="zh-CN"/>
                    </w:rPr>
                    <w:t>塑料包装箱及容器制造2926</w:t>
                  </w:r>
                  <w:r>
                    <w:rPr>
                      <w:rFonts w:hint="eastAsia"/>
                      <w:sz w:val="21"/>
                      <w:szCs w:val="21"/>
                      <w:lang w:val="en-US" w:eastAsia="zh-CN"/>
                    </w:rPr>
                    <w:t>、日用塑料品制造2927、人造草坪制造2928、塑料零件及其他塑料制品制造 2929</w:t>
                  </w:r>
                </w:p>
              </w:tc>
              <w:tc>
                <w:tcPr>
                  <w:tcW w:w="540"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76" w:lineRule="auto"/>
                    <w:ind w:right="0"/>
                    <w:jc w:val="center"/>
                    <w:textAlignment w:val="auto"/>
                    <w:rPr>
                      <w:rFonts w:hint="default"/>
                      <w:sz w:val="21"/>
                      <w:szCs w:val="21"/>
                      <w:lang w:val="en-US" w:eastAsia="zh-CN"/>
                    </w:rPr>
                  </w:pPr>
                  <w:r>
                    <w:rPr>
                      <w:rFonts w:hint="eastAsia"/>
                      <w:sz w:val="21"/>
                      <w:szCs w:val="21"/>
                      <w:lang w:val="en-US" w:eastAsia="zh-CN"/>
                    </w:rPr>
                    <w:t>其他</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72" w:firstLineChars="200"/>
              <w:jc w:val="left"/>
              <w:textAlignment w:val="auto"/>
              <w:rPr>
                <w:rFonts w:ascii="宋体" w:hAnsi="宋体" w:cs="宋体"/>
                <w:kern w:val="0"/>
                <w:szCs w:val="21"/>
              </w:rPr>
            </w:pPr>
            <w:r>
              <w:rPr>
                <w:spacing w:val="-2"/>
              </w:rPr>
              <w:t>本项目主要工艺</w:t>
            </w:r>
            <w:r>
              <w:rPr>
                <w:rFonts w:hint="eastAsia"/>
                <w:spacing w:val="-2"/>
                <w:lang w:val="en-US" w:eastAsia="zh-CN"/>
              </w:rPr>
              <w:t>为</w:t>
            </w:r>
            <w:r>
              <w:rPr>
                <w:color w:val="auto"/>
                <w:spacing w:val="-2"/>
              </w:rPr>
              <w:t>生产</w:t>
            </w:r>
            <w:r>
              <w:rPr>
                <w:rFonts w:hint="eastAsia"/>
                <w:color w:val="auto"/>
                <w:spacing w:val="-2"/>
                <w:lang w:val="en-US" w:eastAsia="zh-CN"/>
              </w:rPr>
              <w:t>瓶装饮用纯净水</w:t>
            </w:r>
            <w:r>
              <w:rPr>
                <w:color w:val="auto"/>
                <w:spacing w:val="-2"/>
              </w:rPr>
              <w:t>，</w:t>
            </w:r>
            <w:r>
              <w:rPr>
                <w:spacing w:val="-2"/>
              </w:rPr>
              <w:t>因此，</w:t>
            </w:r>
            <w:r>
              <w:rPr>
                <w:rFonts w:hint="eastAsia"/>
                <w:spacing w:val="-2"/>
              </w:rPr>
              <w:t>本</w:t>
            </w:r>
            <w:r>
              <w:rPr>
                <w:spacing w:val="-2"/>
              </w:rPr>
              <w:t>项目的排污许可填报</w:t>
            </w:r>
            <w:r>
              <w:rPr>
                <w:rFonts w:hint="eastAsia"/>
                <w:spacing w:val="-2"/>
                <w:lang w:val="en-US" w:eastAsia="zh-CN"/>
              </w:rPr>
              <w:t>对照固定污染源排污许可分类管理名录，根据从严要求，</w:t>
            </w:r>
            <w:r>
              <w:rPr>
                <w:spacing w:val="-2"/>
              </w:rPr>
              <w:t>管理类别应为</w:t>
            </w:r>
            <w:r>
              <w:rPr>
                <w:rFonts w:hint="eastAsia"/>
                <w:spacing w:val="-2"/>
              </w:rPr>
              <w:t>“</w:t>
            </w:r>
            <w:r>
              <w:rPr>
                <w:rFonts w:hint="eastAsia"/>
                <w:spacing w:val="-2"/>
                <w:lang w:val="en-US" w:eastAsia="zh-CN"/>
              </w:rPr>
              <w:t>简化</w:t>
            </w:r>
            <w:r>
              <w:rPr>
                <w:spacing w:val="-2"/>
              </w:rPr>
              <w:t>管理</w:t>
            </w:r>
            <w:r>
              <w:rPr>
                <w:rFonts w:hint="eastAsia"/>
                <w:spacing w:val="-2"/>
              </w:rPr>
              <w:t>”</w:t>
            </w:r>
            <w:r>
              <w:rPr>
                <w:spacing w:val="-2"/>
              </w:rPr>
              <w:t>。</w:t>
            </w:r>
          </w:p>
        </w:tc>
      </w:tr>
    </w:tbl>
    <w:p>
      <w:pPr>
        <w:sectPr>
          <w:headerReference r:id="rId5" w:type="default"/>
          <w:footerReference r:id="rId6" w:type="default"/>
          <w:pgSz w:w="11906" w:h="16838"/>
          <w:pgMar w:top="1134" w:right="1134" w:bottom="1134" w:left="1134" w:header="510"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jc w:val="center"/>
        <w:textAlignment w:val="auto"/>
        <w:rPr>
          <w:b/>
          <w:bCs/>
          <w:sz w:val="32"/>
          <w:szCs w:val="32"/>
        </w:rPr>
      </w:pPr>
      <w:r>
        <w:rPr>
          <w:rFonts w:hint="eastAsia"/>
          <w:b/>
          <w:bCs/>
          <w:sz w:val="32"/>
          <w:szCs w:val="32"/>
        </w:rPr>
        <w:t>二、建设项目工程分析</w:t>
      </w:r>
    </w:p>
    <w:tbl>
      <w:tblPr>
        <w:tblStyle w:val="2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89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26" w:hRule="atLeast"/>
          <w:jc w:val="center"/>
        </w:trPr>
        <w:tc>
          <w:tcPr>
            <w:tcW w:w="457" w:type="pct"/>
            <w:noWrap w:val="0"/>
            <w:vAlign w:val="center"/>
          </w:tcPr>
          <w:p>
            <w:pPr>
              <w:keepNext w:val="0"/>
              <w:keepLines w:val="0"/>
              <w:pageBreakBefore w:val="0"/>
              <w:widowControl w:val="0"/>
              <w:kinsoku/>
              <w:wordWrap/>
              <w:overflowPunct/>
              <w:bidi w:val="0"/>
              <w:adjustRightInd w:val="0"/>
              <w:snapToGrid w:val="0"/>
              <w:jc w:val="center"/>
              <w:rPr>
                <w:rFonts w:cs="宋体"/>
                <w:b/>
                <w:szCs w:val="21"/>
              </w:rPr>
            </w:pPr>
            <w:r>
              <w:rPr>
                <w:rFonts w:hint="eastAsia"/>
                <w:b/>
                <w:bCs/>
              </w:rPr>
              <w:t>建设内容</w:t>
            </w:r>
          </w:p>
        </w:tc>
        <w:tc>
          <w:tcPr>
            <w:tcW w:w="4542"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000000"/>
              </w:rPr>
            </w:pPr>
            <w:r>
              <w:rPr>
                <w:b/>
                <w:color w:val="000000"/>
              </w:rPr>
              <w:t>1、项目概况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rPr>
            </w:pPr>
            <w:r>
              <w:rPr>
                <w:rFonts w:hint="eastAsia"/>
                <w:color w:val="000000"/>
                <w:sz w:val="24"/>
              </w:rPr>
              <w:t>为了顺应市场，满足消费者的需求，今麦郎饮品（淮北）有限公司拟在淮北</w:t>
            </w:r>
            <w:r>
              <w:rPr>
                <w:rFonts w:hint="eastAsia"/>
                <w:color w:val="000000"/>
                <w:sz w:val="24"/>
                <w:lang w:val="en-US" w:eastAsia="zh-CN"/>
              </w:rPr>
              <w:t>相山</w:t>
            </w:r>
            <w:r>
              <w:rPr>
                <w:rFonts w:hint="eastAsia"/>
                <w:color w:val="000000"/>
                <w:sz w:val="24"/>
              </w:rPr>
              <w:t>经济开发区凤冠路20号，投资</w:t>
            </w:r>
            <w:r>
              <w:rPr>
                <w:rFonts w:hint="eastAsia"/>
                <w:color w:val="000000"/>
                <w:sz w:val="24"/>
                <w:lang w:val="en-US" w:eastAsia="zh-CN"/>
              </w:rPr>
              <w:t>7500</w:t>
            </w:r>
            <w:r>
              <w:rPr>
                <w:rFonts w:hint="eastAsia"/>
                <w:color w:val="000000"/>
                <w:sz w:val="24"/>
              </w:rPr>
              <w:t>万元建设</w:t>
            </w:r>
            <w:r>
              <w:rPr>
                <w:rFonts w:hint="eastAsia"/>
                <w:color w:val="000000"/>
                <w:sz w:val="24"/>
                <w:lang w:val="en-US" w:eastAsia="zh-CN"/>
              </w:rPr>
              <w:t>软化纯净水第二生产线凉白开纯净水改造和纯净水新生产线引进</w:t>
            </w:r>
            <w:r>
              <w:rPr>
                <w:rFonts w:hint="eastAsia"/>
                <w:color w:val="000000"/>
                <w:sz w:val="24"/>
              </w:rPr>
              <w:t>项目。该项目建设符合国家发改委颁布的《产业结构调整指导目录》（201</w:t>
            </w:r>
            <w:r>
              <w:rPr>
                <w:rFonts w:hint="eastAsia"/>
                <w:color w:val="000000"/>
                <w:sz w:val="24"/>
                <w:lang w:val="en-US" w:eastAsia="zh-CN"/>
              </w:rPr>
              <w:t>9</w:t>
            </w:r>
            <w:r>
              <w:rPr>
                <w:rFonts w:hint="eastAsia"/>
                <w:color w:val="000000"/>
                <w:sz w:val="24"/>
              </w:rPr>
              <w:t>年本）（20</w:t>
            </w:r>
            <w:r>
              <w:rPr>
                <w:rFonts w:hint="eastAsia"/>
                <w:color w:val="000000"/>
                <w:sz w:val="24"/>
                <w:lang w:val="en-US" w:eastAsia="zh-CN"/>
              </w:rPr>
              <w:t>21</w:t>
            </w:r>
            <w:r>
              <w:rPr>
                <w:rFonts w:hint="eastAsia"/>
                <w:color w:val="000000"/>
                <w:sz w:val="24"/>
              </w:rPr>
              <w:t>年修正）产业政策的要求，</w:t>
            </w:r>
            <w:r>
              <w:rPr>
                <w:rFonts w:hint="eastAsia"/>
                <w:bCs/>
                <w:color w:val="000000"/>
              </w:rPr>
              <w:t>并于2023年</w:t>
            </w:r>
            <w:r>
              <w:rPr>
                <w:rFonts w:hint="eastAsia"/>
                <w:bCs/>
                <w:color w:val="000000"/>
                <w:lang w:val="en-US" w:eastAsia="zh-CN"/>
              </w:rPr>
              <w:t>9</w:t>
            </w:r>
            <w:r>
              <w:rPr>
                <w:rFonts w:hint="eastAsia"/>
                <w:bCs/>
                <w:color w:val="000000"/>
              </w:rPr>
              <w:t>月</w:t>
            </w:r>
            <w:r>
              <w:rPr>
                <w:rFonts w:hint="eastAsia"/>
                <w:bCs/>
                <w:color w:val="000000"/>
                <w:lang w:val="en-US" w:eastAsia="zh-CN"/>
              </w:rPr>
              <w:t>20</w:t>
            </w:r>
            <w:r>
              <w:rPr>
                <w:rFonts w:hint="eastAsia"/>
                <w:bCs/>
                <w:color w:val="000000"/>
              </w:rPr>
              <w:t>日取得淮北相山经济开发区管理委员会《关于今麦郎软化纯净水生产线技术改造升级项目备案申请回复的函》（经开区技改[2023]</w:t>
            </w:r>
            <w:r>
              <w:rPr>
                <w:rFonts w:hint="eastAsia"/>
                <w:bCs/>
                <w:color w:val="000000"/>
                <w:lang w:val="en-US" w:eastAsia="zh-CN"/>
              </w:rPr>
              <w:t>10</w:t>
            </w:r>
            <w:r>
              <w:rPr>
                <w:rFonts w:hint="eastAsia"/>
                <w:bCs/>
                <w:color w:val="000000"/>
              </w:rPr>
              <w:t>号）。同意本项目建设。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000000"/>
                <w:lang w:eastAsia="zh-CN"/>
              </w:rPr>
            </w:pPr>
            <w:r>
              <w:rPr>
                <w:rFonts w:hint="eastAsia"/>
                <w:bCs/>
                <w:color w:val="000000"/>
              </w:rPr>
              <w:t>该项目占地面积：6</w:t>
            </w:r>
            <w:r>
              <w:rPr>
                <w:rFonts w:hint="eastAsia"/>
                <w:bCs/>
                <w:color w:val="000000"/>
                <w:lang w:val="en-US" w:eastAsia="zh-CN"/>
              </w:rPr>
              <w:t>3508.11</w:t>
            </w:r>
            <w:r>
              <w:rPr>
                <w:rFonts w:hint="eastAsia"/>
                <w:bCs/>
                <w:color w:val="000000"/>
              </w:rPr>
              <w:t>m</w:t>
            </w:r>
            <w:r>
              <w:rPr>
                <w:rFonts w:hint="eastAsia"/>
                <w:bCs/>
                <w:color w:val="000000"/>
                <w:vertAlign w:val="superscript"/>
              </w:rPr>
              <w:t>2</w:t>
            </w:r>
            <w:r>
              <w:rPr>
                <w:rFonts w:hint="eastAsia"/>
                <w:bCs/>
                <w:color w:val="000000"/>
              </w:rPr>
              <w:t>。项目建设地点：淮北市相山经济技术开发区凤</w:t>
            </w:r>
            <w:r>
              <w:rPr>
                <w:rFonts w:hint="eastAsia"/>
                <w:bCs/>
                <w:color w:val="000000"/>
                <w:lang w:val="en-US" w:eastAsia="zh-CN"/>
              </w:rPr>
              <w:t>冠</w:t>
            </w:r>
            <w:r>
              <w:rPr>
                <w:rFonts w:hint="eastAsia"/>
                <w:bCs/>
                <w:color w:val="000000"/>
              </w:rPr>
              <w:t>路2</w:t>
            </w:r>
            <w:r>
              <w:rPr>
                <w:rFonts w:hint="eastAsia"/>
                <w:bCs/>
                <w:color w:val="000000"/>
                <w:lang w:val="en-US" w:eastAsia="zh-CN"/>
              </w:rPr>
              <w:t>0</w:t>
            </w:r>
            <w:r>
              <w:rPr>
                <w:rFonts w:hint="eastAsia"/>
                <w:bCs/>
                <w:color w:val="000000"/>
              </w:rPr>
              <w:t>号。项目主要建设内容：</w:t>
            </w:r>
            <w:r>
              <w:rPr>
                <w:rFonts w:hint="eastAsia"/>
                <w:bCs/>
                <w:color w:val="000000"/>
                <w:lang w:val="en-US" w:eastAsia="zh-CN"/>
              </w:rPr>
              <w:t>公司</w:t>
            </w:r>
            <w:r>
              <w:rPr>
                <w:rFonts w:hint="eastAsia"/>
                <w:bCs/>
                <w:color w:val="000000"/>
              </w:rPr>
              <w:t>2023年12月份对现有第二条软化纯净水生产线进行技术改造，改造完成后可生产凉白开纯净水品项</w:t>
            </w:r>
            <w:r>
              <w:rPr>
                <w:rFonts w:hint="eastAsia"/>
                <w:bCs/>
                <w:color w:val="000000"/>
                <w:lang w:eastAsia="zh-CN"/>
              </w:rPr>
              <w:t>。</w:t>
            </w:r>
            <w:r>
              <w:rPr>
                <w:rFonts w:hint="eastAsia"/>
                <w:bCs/>
                <w:color w:val="000000"/>
              </w:rPr>
              <w:t>于2024年1月进行第三条纯净水生产线引进，引进完成后2024年新线可生产软化纯净水和凉白开纯净水。2024年本项目投产后凉白开纯净水产能预计35万吨，软化纯净水产能预估33万吨。软化纯净水第二生产线凉白开纯净水改造和纯净水新生产线引进项目合计预估投资7500万元</w:t>
            </w:r>
            <w:r>
              <w:rPr>
                <w:rFonts w:hint="eastAsia"/>
                <w:bCs/>
                <w:color w:val="000000"/>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auto"/>
                <w:lang w:val="en-US" w:eastAsia="zh-CN"/>
              </w:rPr>
            </w:pPr>
            <w:r>
              <w:rPr>
                <w:color w:val="auto"/>
                <w:sz w:val="24"/>
              </w:rPr>
              <w:t>根据《中华人民共和国环境保护法》</w:t>
            </w:r>
            <w:r>
              <w:rPr>
                <w:rFonts w:hint="eastAsia"/>
                <w:color w:val="auto"/>
                <w:sz w:val="24"/>
                <w:lang w:eastAsia="zh-CN"/>
              </w:rPr>
              <w:t>、</w:t>
            </w:r>
            <w:r>
              <w:rPr>
                <w:color w:val="auto"/>
                <w:sz w:val="24"/>
              </w:rPr>
              <w:t>《中华人民共和国环境影响评价法》</w:t>
            </w:r>
            <w:r>
              <w:rPr>
                <w:rFonts w:hint="eastAsia"/>
                <w:color w:val="auto"/>
                <w:sz w:val="24"/>
                <w:lang w:eastAsia="zh-CN"/>
              </w:rPr>
              <w:t>、</w:t>
            </w:r>
            <w:r>
              <w:rPr>
                <w:color w:val="auto"/>
                <w:sz w:val="24"/>
              </w:rPr>
              <w:t>《建设项目环境保护管理条例》等相关政策法规，建设项目应履行环境影响评价程序。</w:t>
            </w:r>
            <w:r>
              <w:rPr>
                <w:rFonts w:hint="eastAsia"/>
                <w:color w:val="auto"/>
                <w:sz w:val="24"/>
                <w:lang w:val="en-US" w:eastAsia="zh-CN"/>
              </w:rPr>
              <w:t>本项目生产瓶装饮用水，本项目行业</w:t>
            </w:r>
            <w:r>
              <w:rPr>
                <w:rFonts w:hint="eastAsia"/>
                <w:color w:val="auto"/>
                <w:sz w:val="24"/>
              </w:rPr>
              <w:t>属于《国民经济行业分类》（GB/T 4754-2017）及第1号修改单中</w:t>
            </w:r>
            <w:r>
              <w:rPr>
                <w:rFonts w:hint="eastAsia"/>
                <w:color w:val="auto"/>
                <w:sz w:val="24"/>
                <w:lang w:eastAsia="zh-CN"/>
              </w:rPr>
              <w:t>“</w:t>
            </w:r>
            <w:r>
              <w:rPr>
                <w:rFonts w:hint="eastAsia"/>
                <w:color w:val="auto"/>
                <w:sz w:val="24"/>
                <w:lang w:val="en-US" w:eastAsia="zh-CN"/>
              </w:rPr>
              <w:t>C1522瓶（罐装）饮用水制造</w:t>
            </w:r>
            <w:r>
              <w:rPr>
                <w:rFonts w:hint="eastAsia"/>
                <w:color w:val="auto"/>
                <w:sz w:val="24"/>
                <w:lang w:eastAsia="zh-CN"/>
              </w:rPr>
              <w:t>”、“</w:t>
            </w:r>
            <w:r>
              <w:rPr>
                <w:rFonts w:hint="eastAsia"/>
                <w:lang w:val="en-US" w:eastAsia="zh-CN"/>
              </w:rPr>
              <w:t>C2926塑料包装箱及容器制造</w:t>
            </w:r>
            <w:r>
              <w:rPr>
                <w:rFonts w:hint="eastAsia"/>
                <w:color w:val="auto"/>
                <w:sz w:val="24"/>
                <w:lang w:eastAsia="zh-CN"/>
              </w:rPr>
              <w:t>”</w:t>
            </w:r>
            <w:r>
              <w:rPr>
                <w:rFonts w:hint="eastAsia"/>
                <w:bCs/>
                <w:color w:val="auto"/>
              </w:rPr>
              <w:t>对</w:t>
            </w:r>
            <w:r>
              <w:rPr>
                <w:rFonts w:hint="eastAsia"/>
                <w:bCs/>
                <w:color w:val="auto"/>
                <w:lang w:val="en-US" w:eastAsia="zh-CN"/>
              </w:rPr>
              <w:t>照</w:t>
            </w:r>
            <w:r>
              <w:rPr>
                <w:rFonts w:hint="eastAsia"/>
                <w:bCs/>
                <w:color w:val="auto"/>
              </w:rPr>
              <w:t>《建设项目环境影响评价分类管理名录（2021年版）》（部第16号）中的</w:t>
            </w:r>
            <w:r>
              <w:rPr>
                <w:rFonts w:hint="eastAsia"/>
                <w:bCs/>
                <w:color w:val="auto"/>
                <w:lang w:eastAsia="zh-CN"/>
              </w:rPr>
              <w:t>“</w:t>
            </w:r>
            <w:r>
              <w:rPr>
                <w:rFonts w:hint="eastAsia"/>
                <w:bCs/>
                <w:color w:val="auto"/>
                <w:lang w:val="en-US" w:eastAsia="zh-CN"/>
              </w:rPr>
              <w:t>十二、酒、饮料制造业15－26、饮料制造*</w:t>
            </w:r>
            <w:r>
              <w:rPr>
                <w:rFonts w:hint="eastAsia"/>
                <w:bCs/>
                <w:color w:val="auto"/>
                <w:lang w:eastAsia="zh-CN"/>
              </w:rPr>
              <w:t>”</w:t>
            </w:r>
            <w:r>
              <w:rPr>
                <w:rFonts w:hint="eastAsia"/>
                <w:bCs/>
                <w:color w:val="auto"/>
                <w:lang w:val="en-US" w:eastAsia="zh-CN"/>
              </w:rPr>
              <w:t>其中“/”，本项目应填报登记表，对照《名录》中的“二十六、橡胶和塑料制品业29－53、塑料制品业292”其中“其他（年用非溶剂型低VOCs含量涂料10吨以下的除外）”，本项目需编制环境影响评价报告表。根据从严要求，本项目建成前应编制环境影响评价报告表。</w:t>
            </w:r>
          </w:p>
          <w:p>
            <w:pPr>
              <w:keepNext w:val="0"/>
              <w:keepLines w:val="0"/>
              <w:pageBreakBefore w:val="0"/>
              <w:widowControl w:val="0"/>
              <w:kinsoku/>
              <w:wordWrap/>
              <w:overflowPunct/>
              <w:topLinePunct w:val="0"/>
              <w:bidi w:val="0"/>
              <w:adjustRightInd w:val="0"/>
              <w:snapToGrid w:val="0"/>
              <w:spacing w:line="360" w:lineRule="auto"/>
              <w:rPr>
                <w:b/>
                <w:color w:val="000000"/>
              </w:rPr>
            </w:pPr>
            <w:r>
              <w:rPr>
                <w:b/>
                <w:color w:val="000000"/>
              </w:rPr>
              <w:t>2、项目建设内容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本</w:t>
            </w:r>
            <w:r>
              <w:t>项目</w:t>
            </w:r>
            <w:r>
              <w:rPr>
                <w:rFonts w:hint="eastAsia"/>
              </w:rPr>
              <w:t>选址位于淮北市相山经济开发区凤</w:t>
            </w:r>
            <w:r>
              <w:rPr>
                <w:rFonts w:hint="eastAsia"/>
                <w:lang w:val="en-US" w:eastAsia="zh-CN"/>
              </w:rPr>
              <w:t>冠</w:t>
            </w:r>
            <w:r>
              <w:rPr>
                <w:rFonts w:hint="eastAsia"/>
              </w:rPr>
              <w:t>路2</w:t>
            </w:r>
            <w:r>
              <w:rPr>
                <w:rFonts w:hint="eastAsia"/>
                <w:lang w:val="en-US" w:eastAsia="zh-CN"/>
              </w:rPr>
              <w:t>0</w:t>
            </w:r>
            <w:r>
              <w:rPr>
                <w:rFonts w:hint="eastAsia"/>
              </w:rPr>
              <w:t>号</w:t>
            </w:r>
            <w:r>
              <w:rPr>
                <w:rFonts w:hint="eastAsia"/>
                <w:lang w:val="en-US" w:eastAsia="zh-CN"/>
              </w:rPr>
              <w:t>今麦郎饮品</w:t>
            </w:r>
            <w:r>
              <w:rPr>
                <w:rFonts w:hint="eastAsia"/>
              </w:rPr>
              <w:t>生产主厂区内，不新增建设用地，</w:t>
            </w:r>
            <w:r>
              <w:rPr>
                <w:rFonts w:hint="eastAsia"/>
                <w:lang w:val="en-US" w:eastAsia="zh-CN"/>
              </w:rPr>
              <w:t>本次依托现有生产车间进行2#软化纯净水生产线技术改造，增加凉白开纯净水的生产能力，建成后年产凉白开纯净水35万吨。增设3#软化纯净水生产线，建成后年产软化纯净水33万吨。本项目配套设施凉白开</w:t>
            </w:r>
            <w:r>
              <w:rPr>
                <w:rFonts w:hint="eastAsia"/>
              </w:rPr>
              <w:t>PET</w:t>
            </w:r>
            <w:r>
              <w:rPr>
                <w:rFonts w:hint="eastAsia"/>
                <w:lang w:val="en-US" w:eastAsia="zh-CN"/>
              </w:rPr>
              <w:t>瓶坯外购，3#线</w:t>
            </w:r>
            <w:r>
              <w:rPr>
                <w:rFonts w:hint="eastAsia"/>
              </w:rPr>
              <w:t>PET</w:t>
            </w:r>
            <w:r>
              <w:rPr>
                <w:rFonts w:hint="eastAsia"/>
                <w:lang w:val="en-US" w:eastAsia="zh-CN"/>
              </w:rPr>
              <w:t>瓶坯年产6.14亿支。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t>本项目主要建设内容及工程组成见下表。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000000"/>
              </w:rPr>
            </w:pPr>
            <w:r>
              <w:rPr>
                <w:rFonts w:hint="eastAsia" w:ascii="宋体" w:hAnsi="宋体" w:eastAsia="宋体" w:cs="宋体"/>
                <w:b/>
                <w:bCs/>
              </w:rPr>
              <w:t xml:space="preserve">表2-1 </w:t>
            </w:r>
            <w:r>
              <w:rPr>
                <w:rFonts w:hint="eastAsia" w:ascii="宋体" w:hAnsi="宋体" w:eastAsia="宋体" w:cs="宋体"/>
                <w:b/>
                <w:bCs/>
                <w:lang w:val="en-US" w:eastAsia="zh-CN"/>
              </w:rPr>
              <w:t>技改</w:t>
            </w:r>
            <w:r>
              <w:rPr>
                <w:rFonts w:hint="eastAsia" w:ascii="宋体" w:hAnsi="宋体" w:eastAsia="宋体" w:cs="宋体"/>
                <w:b/>
                <w:bCs/>
              </w:rPr>
              <w:t>项目主要建设内容及规</w:t>
            </w:r>
            <w:r>
              <w:rPr>
                <w:rFonts w:hint="eastAsia" w:ascii="宋体" w:hAnsi="宋体" w:eastAsia="宋体" w:cs="宋体"/>
                <w:b/>
                <w:bCs/>
                <w:color w:val="000000"/>
              </w:rPr>
              <w:t>模</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78"/>
              <w:gridCol w:w="685"/>
              <w:gridCol w:w="2709"/>
              <w:gridCol w:w="2786"/>
              <w:gridCol w:w="12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61"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000000"/>
                      <w:sz w:val="21"/>
                      <w:szCs w:val="21"/>
                    </w:rPr>
                  </w:pPr>
                  <w:r>
                    <w:rPr>
                      <w:b/>
                      <w:bCs/>
                      <w:color w:val="000000"/>
                      <w:sz w:val="21"/>
                      <w:szCs w:val="21"/>
                    </w:rPr>
                    <w:t>类别</w:t>
                  </w:r>
                </w:p>
              </w:tc>
              <w:tc>
                <w:tcPr>
                  <w:tcW w:w="503"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000000"/>
                      <w:sz w:val="21"/>
                      <w:szCs w:val="21"/>
                    </w:rPr>
                  </w:pPr>
                  <w:r>
                    <w:rPr>
                      <w:b/>
                      <w:bCs/>
                      <w:color w:val="000000"/>
                      <w:sz w:val="21"/>
                      <w:szCs w:val="21"/>
                    </w:rPr>
                    <w:t>工程</w:t>
                  </w:r>
                </w:p>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000000"/>
                      <w:sz w:val="21"/>
                      <w:szCs w:val="21"/>
                    </w:rPr>
                  </w:pPr>
                  <w:r>
                    <w:rPr>
                      <w:b/>
                      <w:bCs/>
                      <w:color w:val="000000"/>
                      <w:sz w:val="21"/>
                      <w:szCs w:val="21"/>
                    </w:rPr>
                    <w:t>名称</w:t>
                  </w:r>
                </w:p>
              </w:tc>
              <w:tc>
                <w:tcPr>
                  <w:tcW w:w="3538" w:type="pct"/>
                  <w:gridSpan w:val="3"/>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000000"/>
                      <w:sz w:val="21"/>
                      <w:szCs w:val="21"/>
                    </w:rPr>
                  </w:pPr>
                  <w:r>
                    <w:rPr>
                      <w:rFonts w:hint="eastAsia"/>
                      <w:b/>
                      <w:bCs/>
                      <w:color w:val="000000"/>
                      <w:sz w:val="21"/>
                      <w:szCs w:val="21"/>
                    </w:rPr>
                    <w:t>主要</w:t>
                  </w:r>
                  <w:r>
                    <w:rPr>
                      <w:b/>
                      <w:bCs/>
                      <w:color w:val="000000"/>
                      <w:sz w:val="21"/>
                      <w:szCs w:val="21"/>
                    </w:rPr>
                    <w:t>工程内容与规模</w:t>
                  </w:r>
                </w:p>
              </w:tc>
              <w:tc>
                <w:tcPr>
                  <w:tcW w:w="697"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b/>
                      <w:bCs/>
                      <w:color w:val="000000"/>
                      <w:sz w:val="21"/>
                      <w:szCs w:val="21"/>
                    </w:rPr>
                  </w:pPr>
                  <w:r>
                    <w:rPr>
                      <w:rFonts w:hint="eastAsia"/>
                      <w:b/>
                      <w:bCs/>
                      <w:color w:val="000000"/>
                      <w:sz w:val="21"/>
                      <w:szCs w:val="21"/>
                    </w:rPr>
                    <w:t>与现有工程依托</w:t>
                  </w:r>
                </w:p>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000000"/>
                      <w:sz w:val="21"/>
                      <w:szCs w:val="21"/>
                    </w:rPr>
                  </w:pPr>
                  <w:r>
                    <w:rPr>
                      <w:rFonts w:hint="eastAsia"/>
                      <w:b/>
                      <w:bCs/>
                      <w:color w:val="000000"/>
                      <w:sz w:val="21"/>
                      <w:szCs w:val="21"/>
                    </w:rPr>
                    <w:t>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p>
              </w:tc>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000000"/>
                      <w:sz w:val="21"/>
                      <w:szCs w:val="21"/>
                    </w:rPr>
                  </w:pPr>
                  <w:r>
                    <w:rPr>
                      <w:rFonts w:hint="eastAsia"/>
                      <w:b/>
                      <w:bCs/>
                      <w:color w:val="000000"/>
                      <w:sz w:val="21"/>
                      <w:szCs w:val="21"/>
                    </w:rPr>
                    <w:t>技改前</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000000"/>
                      <w:sz w:val="21"/>
                      <w:szCs w:val="21"/>
                    </w:rPr>
                  </w:pPr>
                  <w:r>
                    <w:rPr>
                      <w:rFonts w:hint="eastAsia"/>
                      <w:b/>
                      <w:bCs/>
                      <w:color w:val="000000"/>
                      <w:sz w:val="21"/>
                      <w:szCs w:val="21"/>
                    </w:rPr>
                    <w:t>本次技改</w:t>
                  </w:r>
                </w:p>
              </w:tc>
              <w:tc>
                <w:tcPr>
                  <w:tcW w:w="69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261"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color w:val="000000"/>
                      <w:sz w:val="21"/>
                      <w:szCs w:val="21"/>
                    </w:rPr>
                    <w:t>主体工程</w:t>
                  </w: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sz w:val="21"/>
                      <w:szCs w:val="21"/>
                    </w:rPr>
                  </w:pPr>
                  <w:r>
                    <w:rPr>
                      <w:rFonts w:hint="eastAsia"/>
                      <w:color w:val="000000"/>
                      <w:sz w:val="21"/>
                      <w:szCs w:val="21"/>
                    </w:rPr>
                    <w:t>生产</w:t>
                  </w:r>
                </w:p>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rFonts w:hint="eastAsia"/>
                      <w:color w:val="000000"/>
                      <w:sz w:val="21"/>
                      <w:szCs w:val="21"/>
                    </w:rPr>
                    <w:t>车间</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eastAsia" w:eastAsia="宋体"/>
                      <w:color w:val="auto"/>
                      <w:sz w:val="21"/>
                      <w:szCs w:val="21"/>
                      <w:lang w:val="en-US" w:eastAsia="zh-CN"/>
                    </w:rPr>
                  </w:pPr>
                  <w:r>
                    <w:rPr>
                      <w:color w:val="auto"/>
                      <w:sz w:val="21"/>
                      <w:szCs w:val="21"/>
                    </w:rPr>
                    <w:t>生产车间位于厂区厂房内的东侧，建筑面积约为15150 m</w:t>
                  </w:r>
                  <w:r>
                    <w:rPr>
                      <w:color w:val="auto"/>
                      <w:sz w:val="21"/>
                      <w:szCs w:val="21"/>
                      <w:vertAlign w:val="superscript"/>
                    </w:rPr>
                    <w:t>2</w:t>
                  </w:r>
                  <w:r>
                    <w:rPr>
                      <w:color w:val="auto"/>
                      <w:sz w:val="21"/>
                      <w:szCs w:val="21"/>
                    </w:rPr>
                    <w:t>。生产车间内建设</w:t>
                  </w:r>
                  <w:r>
                    <w:rPr>
                      <w:rFonts w:hint="eastAsia"/>
                      <w:color w:val="auto"/>
                      <w:sz w:val="21"/>
                      <w:szCs w:val="21"/>
                      <w:lang w:val="en-US" w:eastAsia="zh-CN"/>
                    </w:rPr>
                    <w:t>1#、2#软化</w:t>
                  </w:r>
                  <w:r>
                    <w:rPr>
                      <w:color w:val="auto"/>
                      <w:sz w:val="21"/>
                      <w:szCs w:val="21"/>
                    </w:rPr>
                    <w:t>纯净水生产线以及</w:t>
                  </w:r>
                  <w:r>
                    <w:rPr>
                      <w:rFonts w:hint="eastAsia"/>
                      <w:color w:val="auto"/>
                      <w:sz w:val="21"/>
                      <w:szCs w:val="21"/>
                      <w:lang w:val="en-US" w:eastAsia="zh-CN"/>
                    </w:rPr>
                    <w:t>1#、2#</w:t>
                  </w:r>
                  <w:r>
                    <w:rPr>
                      <w:color w:val="auto"/>
                      <w:sz w:val="21"/>
                      <w:szCs w:val="21"/>
                    </w:rPr>
                    <w:t>PET瓶坯</w:t>
                  </w:r>
                  <w:r>
                    <w:rPr>
                      <w:rFonts w:hint="eastAsia"/>
                      <w:color w:val="auto"/>
                      <w:sz w:val="21"/>
                      <w:szCs w:val="21"/>
                      <w:lang w:val="en-US" w:eastAsia="zh-CN"/>
                    </w:rPr>
                    <w:t>吹塑工艺</w:t>
                  </w:r>
                  <w:r>
                    <w:rPr>
                      <w:color w:val="auto"/>
                      <w:sz w:val="21"/>
                      <w:szCs w:val="21"/>
                    </w:rPr>
                    <w:t>生产线。具备年产</w:t>
                  </w:r>
                  <w:r>
                    <w:rPr>
                      <w:rFonts w:hint="eastAsia"/>
                      <w:color w:val="auto"/>
                      <w:sz w:val="21"/>
                      <w:szCs w:val="21"/>
                      <w:lang w:val="en-US" w:eastAsia="zh-CN"/>
                    </w:rPr>
                    <w:t>66</w:t>
                  </w:r>
                  <w:r>
                    <w:rPr>
                      <w:color w:val="auto"/>
                      <w:sz w:val="21"/>
                      <w:szCs w:val="21"/>
                    </w:rPr>
                    <w:t>万吨软化纯净水，以及</w:t>
                  </w:r>
                  <w:r>
                    <w:rPr>
                      <w:rFonts w:hint="eastAsia"/>
                      <w:color w:val="auto"/>
                      <w:sz w:val="21"/>
                      <w:szCs w:val="21"/>
                      <w:lang w:val="en-US" w:eastAsia="zh-CN"/>
                    </w:rPr>
                    <w:t>12.31</w:t>
                  </w:r>
                  <w:r>
                    <w:rPr>
                      <w:color w:val="auto"/>
                      <w:sz w:val="21"/>
                      <w:szCs w:val="21"/>
                    </w:rPr>
                    <w:t>亿支PET瓶坯的生产能力。PET瓶坯经吹瓶充填后全部用于本项目纯净水产品包装</w:t>
                  </w:r>
                  <w:r>
                    <w:rPr>
                      <w:rFonts w:hint="eastAsia"/>
                      <w:color w:val="auto"/>
                      <w:sz w:val="21"/>
                      <w:szCs w:val="21"/>
                      <w:lang w:eastAsia="zh-CN"/>
                    </w:rPr>
                    <w:t>，</w:t>
                  </w:r>
                  <w:r>
                    <w:rPr>
                      <w:color w:val="auto"/>
                      <w:sz w:val="21"/>
                      <w:szCs w:val="21"/>
                    </w:rPr>
                    <w:t>瓶坯不单独出售</w:t>
                  </w:r>
                  <w:r>
                    <w:rPr>
                      <w:rFonts w:hint="eastAsia"/>
                      <w:color w:val="auto"/>
                      <w:sz w:val="21"/>
                      <w:szCs w:val="21"/>
                      <w:lang w:eastAsia="zh-CN"/>
                    </w:rPr>
                    <w:t>。</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eastAsia="宋体"/>
                      <w:color w:val="auto"/>
                      <w:sz w:val="21"/>
                      <w:szCs w:val="21"/>
                      <w:lang w:val="en-US" w:eastAsia="zh-CN"/>
                    </w:rPr>
                  </w:pPr>
                  <w:r>
                    <w:rPr>
                      <w:rFonts w:hint="eastAsia"/>
                      <w:color w:val="auto"/>
                      <w:sz w:val="21"/>
                      <w:szCs w:val="21"/>
                      <w:lang w:val="en-US" w:eastAsia="zh-CN"/>
                    </w:rPr>
                    <w:t>依托现有生产车间，将2#软化纯净水生产线技术改造，增加凉白开纯净水的生产能力。增设3#软化纯净水生产线及3#</w:t>
                  </w:r>
                  <w:r>
                    <w:rPr>
                      <w:color w:val="auto"/>
                      <w:sz w:val="21"/>
                      <w:szCs w:val="21"/>
                    </w:rPr>
                    <w:t>PET瓶坯</w:t>
                  </w:r>
                  <w:r>
                    <w:rPr>
                      <w:rFonts w:hint="eastAsia"/>
                      <w:color w:val="auto"/>
                      <w:sz w:val="21"/>
                      <w:szCs w:val="21"/>
                      <w:lang w:val="en-US" w:eastAsia="zh-CN"/>
                    </w:rPr>
                    <w:t>吹塑工艺</w:t>
                  </w:r>
                  <w:r>
                    <w:rPr>
                      <w:color w:val="auto"/>
                      <w:sz w:val="21"/>
                      <w:szCs w:val="21"/>
                    </w:rPr>
                    <w:t>生产线</w:t>
                  </w:r>
                  <w:r>
                    <w:rPr>
                      <w:rFonts w:hint="eastAsia"/>
                      <w:color w:val="auto"/>
                      <w:sz w:val="21"/>
                      <w:szCs w:val="21"/>
                      <w:lang w:val="en-US" w:eastAsia="zh-CN"/>
                    </w:rPr>
                    <w:t>。年产凉白开纯净水35万吨，软化纯净水33万吨。凉白开</w:t>
                  </w:r>
                  <w:r>
                    <w:rPr>
                      <w:color w:val="auto"/>
                      <w:sz w:val="21"/>
                      <w:szCs w:val="21"/>
                    </w:rPr>
                    <w:t>PET</w:t>
                  </w:r>
                  <w:r>
                    <w:rPr>
                      <w:rFonts w:hint="eastAsia"/>
                      <w:color w:val="auto"/>
                      <w:sz w:val="21"/>
                      <w:szCs w:val="21"/>
                      <w:lang w:val="en-US" w:eastAsia="zh-CN"/>
                    </w:rPr>
                    <w:t>瓶坯外购，3#线</w:t>
                  </w:r>
                  <w:r>
                    <w:rPr>
                      <w:color w:val="auto"/>
                      <w:sz w:val="21"/>
                      <w:szCs w:val="21"/>
                    </w:rPr>
                    <w:t>PET</w:t>
                  </w:r>
                  <w:r>
                    <w:rPr>
                      <w:rFonts w:hint="eastAsia"/>
                      <w:color w:val="auto"/>
                      <w:sz w:val="21"/>
                      <w:szCs w:val="21"/>
                      <w:lang w:val="en-US" w:eastAsia="zh-CN"/>
                    </w:rPr>
                    <w:t>瓶坯年产6.14亿支。</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注塑</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olor w:val="000000"/>
                      <w:sz w:val="21"/>
                      <w:szCs w:val="21"/>
                      <w:lang w:val="en-US" w:eastAsia="zh-CN"/>
                    </w:rPr>
                  </w:pPr>
                  <w:r>
                    <w:rPr>
                      <w:rFonts w:hint="eastAsia"/>
                      <w:color w:val="000000"/>
                      <w:sz w:val="21"/>
                      <w:szCs w:val="21"/>
                      <w:lang w:val="en-US" w:eastAsia="zh-CN"/>
                    </w:rPr>
                    <w:t>车间</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注塑车间位于厂区厂房内东北侧，建筑面积约为200</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lang w:val="en-US" w:eastAsia="zh-CN"/>
                    </w:rPr>
                    <w:t>注塑车间内建设1#、2#</w:t>
                  </w:r>
                  <w:r>
                    <w:rPr>
                      <w:color w:val="auto"/>
                      <w:sz w:val="21"/>
                      <w:szCs w:val="21"/>
                    </w:rPr>
                    <w:t>PET瓶坯</w:t>
                  </w:r>
                  <w:r>
                    <w:rPr>
                      <w:rFonts w:hint="eastAsia"/>
                      <w:color w:val="auto"/>
                      <w:sz w:val="21"/>
                      <w:szCs w:val="21"/>
                      <w:lang w:val="en-US" w:eastAsia="zh-CN"/>
                    </w:rPr>
                    <w:t>熔塑、注塑工艺</w:t>
                  </w:r>
                  <w:r>
                    <w:rPr>
                      <w:color w:val="auto"/>
                      <w:sz w:val="21"/>
                      <w:szCs w:val="21"/>
                    </w:rPr>
                    <w:t>生产线。</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color w:val="auto"/>
                      <w:sz w:val="21"/>
                      <w:szCs w:val="21"/>
                      <w:lang w:val="en-US" w:eastAsia="zh-CN"/>
                    </w:rPr>
                  </w:pPr>
                  <w:r>
                    <w:rPr>
                      <w:rFonts w:hint="eastAsia"/>
                      <w:color w:val="auto"/>
                      <w:sz w:val="21"/>
                      <w:szCs w:val="21"/>
                      <w:lang w:val="en-US" w:eastAsia="zh-CN"/>
                    </w:rPr>
                    <w:t>依托现有注塑车间，增设3#</w:t>
                  </w:r>
                  <w:r>
                    <w:rPr>
                      <w:color w:val="auto"/>
                      <w:sz w:val="21"/>
                      <w:szCs w:val="21"/>
                    </w:rPr>
                    <w:t>PET瓶坯</w:t>
                  </w:r>
                  <w:r>
                    <w:rPr>
                      <w:rFonts w:hint="eastAsia"/>
                      <w:color w:val="auto"/>
                      <w:sz w:val="21"/>
                      <w:szCs w:val="21"/>
                      <w:lang w:val="en-US" w:eastAsia="zh-CN"/>
                    </w:rPr>
                    <w:t>熔塑、注塑工艺</w:t>
                  </w:r>
                  <w:r>
                    <w:rPr>
                      <w:color w:val="auto"/>
                      <w:sz w:val="21"/>
                      <w:szCs w:val="21"/>
                    </w:rPr>
                    <w:t>生产线。</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261"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rPr>
                  </w:pPr>
                  <w:r>
                    <w:rPr>
                      <w:rFonts w:hint="eastAsia"/>
                      <w:sz w:val="21"/>
                      <w:szCs w:val="21"/>
                    </w:rPr>
                    <w:t>辅助</w:t>
                  </w:r>
                </w:p>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rFonts w:hint="eastAsia"/>
                      <w:sz w:val="21"/>
                      <w:szCs w:val="21"/>
                    </w:rPr>
                    <w:t>工程</w:t>
                  </w: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rPr>
                    <w:t>办公</w:t>
                  </w:r>
                  <w:r>
                    <w:rPr>
                      <w:rFonts w:hint="eastAsia"/>
                      <w:sz w:val="21"/>
                      <w:szCs w:val="21"/>
                      <w:lang w:val="en-US" w:eastAsia="zh-CN"/>
                    </w:rPr>
                    <w:t>室</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szCs w:val="21"/>
                    </w:rPr>
                  </w:pPr>
                  <w:r>
                    <w:rPr>
                      <w:rFonts w:hint="eastAsia"/>
                      <w:sz w:val="21"/>
                      <w:szCs w:val="21"/>
                      <w:lang w:val="en-US" w:eastAsia="zh-CN"/>
                    </w:rPr>
                    <w:t>位于厂区厂房内的南侧，</w:t>
                  </w:r>
                  <w:r>
                    <w:rPr>
                      <w:rFonts w:hint="eastAsia"/>
                      <w:sz w:val="21"/>
                      <w:szCs w:val="21"/>
                    </w:rPr>
                    <w:t>办公楼建筑面积</w:t>
                  </w:r>
                  <w:r>
                    <w:rPr>
                      <w:rFonts w:hint="eastAsia"/>
                      <w:sz w:val="21"/>
                      <w:szCs w:val="21"/>
                      <w:lang w:val="en-US" w:eastAsia="zh-CN"/>
                    </w:rPr>
                    <w:t>为868.6</w:t>
                  </w:r>
                  <w:r>
                    <w:rPr>
                      <w:rFonts w:hint="eastAsia"/>
                      <w:sz w:val="21"/>
                      <w:szCs w:val="21"/>
                    </w:rPr>
                    <w:t>m</w:t>
                  </w:r>
                  <w:r>
                    <w:rPr>
                      <w:rFonts w:hint="eastAsia"/>
                      <w:sz w:val="21"/>
                      <w:szCs w:val="21"/>
                      <w:vertAlign w:val="superscript"/>
                    </w:rPr>
                    <w:t>2</w:t>
                  </w:r>
                  <w:r>
                    <w:rPr>
                      <w:rFonts w:hint="eastAsia"/>
                      <w:sz w:val="21"/>
                      <w:szCs w:val="21"/>
                    </w:rPr>
                    <w:t>，</w:t>
                  </w:r>
                  <w:r>
                    <w:rPr>
                      <w:rFonts w:hint="eastAsia"/>
                      <w:sz w:val="21"/>
                      <w:szCs w:val="21"/>
                      <w:lang w:val="en-US" w:eastAsia="zh-CN"/>
                    </w:rPr>
                    <w:t>1层结构，</w:t>
                  </w:r>
                  <w:r>
                    <w:rPr>
                      <w:rFonts w:hint="eastAsia"/>
                      <w:sz w:val="21"/>
                      <w:szCs w:val="21"/>
                    </w:rPr>
                    <w:t>作为公司日常办公和会议等使用。</w:t>
                  </w:r>
                </w:p>
              </w:tc>
              <w:tc>
                <w:tcPr>
                  <w:tcW w:w="1594" w:type="pct"/>
                  <w:tcBorders>
                    <w:tl2br w:val="nil"/>
                    <w:tr2bl w:val="nil"/>
                  </w:tcBorders>
                  <w:noWrap w:val="0"/>
                  <w:vAlign w:val="center"/>
                </w:tcPr>
                <w:p>
                  <w:pPr>
                    <w:pStyle w:val="32"/>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cs="Times New Roman"/>
                      <w:color w:val="auto"/>
                      <w:sz w:val="21"/>
                      <w:szCs w:val="21"/>
                    </w:rPr>
                  </w:pPr>
                  <w:r>
                    <w:rPr>
                      <w:rFonts w:hint="eastAsia" w:ascii="Times New Roman" w:cs="Times New Roman"/>
                      <w:color w:val="auto"/>
                      <w:sz w:val="21"/>
                      <w:szCs w:val="21"/>
                    </w:rPr>
                    <w:t>/</w:t>
                  </w:r>
                </w:p>
              </w:tc>
              <w:tc>
                <w:tcPr>
                  <w:tcW w:w="697" w:type="pct"/>
                  <w:tcBorders>
                    <w:tl2br w:val="nil"/>
                    <w:tr2bl w:val="nil"/>
                  </w:tcBorders>
                  <w:noWrap w:val="0"/>
                  <w:vAlign w:val="center"/>
                </w:tcPr>
                <w:p>
                  <w:pPr>
                    <w:pStyle w:val="32"/>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cs="Times New Roman"/>
                      <w:color w:val="auto"/>
                      <w:sz w:val="21"/>
                      <w:szCs w:val="21"/>
                    </w:rPr>
                  </w:pPr>
                  <w:r>
                    <w:rPr>
                      <w:rFonts w:hint="eastAsia" w:ascii="Times New Roman" w:cs="Times New Roman"/>
                      <w:color w:val="auto"/>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检验室</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eastAsia="宋体"/>
                      <w:szCs w:val="21"/>
                      <w:lang w:val="en-US" w:eastAsia="zh-CN"/>
                    </w:rPr>
                  </w:pPr>
                  <w:r>
                    <w:rPr>
                      <w:sz w:val="21"/>
                      <w:szCs w:val="21"/>
                    </w:rPr>
                    <w:t>位于厂区厂房内的南侧办公区</w:t>
                  </w:r>
                  <w:r>
                    <w:rPr>
                      <w:rFonts w:hint="eastAsia"/>
                      <w:sz w:val="21"/>
                      <w:szCs w:val="21"/>
                      <w:lang w:val="en-US" w:eastAsia="zh-CN"/>
                    </w:rPr>
                    <w:t>旁</w:t>
                  </w:r>
                  <w:r>
                    <w:rPr>
                      <w:sz w:val="21"/>
                      <w:szCs w:val="21"/>
                    </w:rPr>
                    <w:t>，</w:t>
                  </w:r>
                  <w:r>
                    <w:rPr>
                      <w:rFonts w:hint="eastAsia"/>
                      <w:sz w:val="21"/>
                      <w:szCs w:val="21"/>
                      <w:lang w:val="en-US" w:eastAsia="zh-CN"/>
                    </w:rPr>
                    <w:t>建筑面积约120</w:t>
                  </w:r>
                  <w:r>
                    <w:rPr>
                      <w:sz w:val="21"/>
                      <w:szCs w:val="21"/>
                    </w:rPr>
                    <w:t xml:space="preserve"> m</w:t>
                  </w:r>
                  <w:r>
                    <w:rPr>
                      <w:sz w:val="21"/>
                      <w:szCs w:val="21"/>
                      <w:vertAlign w:val="superscript"/>
                    </w:rPr>
                    <w:t>2</w:t>
                  </w:r>
                  <w:r>
                    <w:rPr>
                      <w:rFonts w:hint="eastAsia"/>
                      <w:sz w:val="21"/>
                      <w:szCs w:val="21"/>
                      <w:vertAlign w:val="baseline"/>
                      <w:lang w:eastAsia="zh-CN"/>
                    </w:rPr>
                    <w:t>，</w:t>
                  </w:r>
                  <w:r>
                    <w:rPr>
                      <w:sz w:val="21"/>
                      <w:szCs w:val="21"/>
                    </w:rPr>
                    <w:t>1层结构，用于产品质量检验。主要检验指标为pH 值、色度、浊度、电导率等</w:t>
                  </w:r>
                  <w:r>
                    <w:rPr>
                      <w:rFonts w:hint="eastAsia"/>
                      <w:sz w:val="21"/>
                      <w:szCs w:val="21"/>
                      <w:lang w:eastAsia="zh-CN"/>
                    </w:rPr>
                    <w:t>。</w:t>
                  </w:r>
                </w:p>
              </w:tc>
              <w:tc>
                <w:tcPr>
                  <w:tcW w:w="1594" w:type="pct"/>
                  <w:tcBorders>
                    <w:tl2br w:val="nil"/>
                    <w:tr2bl w:val="nil"/>
                  </w:tcBorders>
                  <w:noWrap w:val="0"/>
                  <w:vAlign w:val="center"/>
                </w:tcPr>
                <w:p>
                  <w:pPr>
                    <w:pStyle w:val="32"/>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eastAsia="宋体" w:cs="Times New Roman"/>
                      <w:color w:val="auto"/>
                      <w:sz w:val="21"/>
                      <w:szCs w:val="21"/>
                      <w:lang w:val="en-US" w:eastAsia="zh-CN"/>
                    </w:rPr>
                  </w:pPr>
                  <w:r>
                    <w:rPr>
                      <w:rFonts w:hint="eastAsia" w:ascii="Times New Roman" w:cs="Times New Roman"/>
                      <w:color w:val="auto"/>
                      <w:sz w:val="21"/>
                      <w:szCs w:val="21"/>
                      <w:lang w:val="en-US"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cs="Times New Roman"/>
                      <w:color w:val="auto"/>
                      <w:sz w:val="21"/>
                      <w:szCs w:val="21"/>
                    </w:rPr>
                  </w:pPr>
                  <w:r>
                    <w:rPr>
                      <w:rFonts w:hint="eastAsia" w:ascii="Times New Roman" w:cs="Times New Roman"/>
                      <w:color w:val="auto"/>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化学</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sz w:val="21"/>
                      <w:szCs w:val="21"/>
                      <w:lang w:val="en-US" w:eastAsia="zh-CN"/>
                    </w:rPr>
                  </w:pPr>
                  <w:r>
                    <w:rPr>
                      <w:rFonts w:hint="eastAsia"/>
                      <w:sz w:val="21"/>
                      <w:szCs w:val="21"/>
                      <w:lang w:val="en-US" w:eastAsia="zh-CN"/>
                    </w:rPr>
                    <w:t>品库</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eastAsia="宋体"/>
                      <w:sz w:val="21"/>
                      <w:szCs w:val="21"/>
                      <w:lang w:val="en-US" w:eastAsia="zh-CN"/>
                    </w:rPr>
                  </w:pPr>
                  <w:r>
                    <w:rPr>
                      <w:rFonts w:hint="eastAsia"/>
                      <w:sz w:val="21"/>
                      <w:szCs w:val="21"/>
                      <w:lang w:val="en-US" w:eastAsia="zh-CN"/>
                    </w:rPr>
                    <w:t>位于厂区北侧，建筑面积100</w:t>
                  </w:r>
                  <w:r>
                    <w:rPr>
                      <w:rFonts w:hint="eastAsia"/>
                      <w:sz w:val="21"/>
                      <w:szCs w:val="21"/>
                    </w:rPr>
                    <w:t>m</w:t>
                  </w:r>
                  <w:r>
                    <w:rPr>
                      <w:rFonts w:hint="eastAsia"/>
                      <w:sz w:val="21"/>
                      <w:szCs w:val="21"/>
                      <w:vertAlign w:val="superscript"/>
                    </w:rPr>
                    <w:t>2</w:t>
                  </w:r>
                  <w:r>
                    <w:rPr>
                      <w:rFonts w:hint="eastAsia"/>
                      <w:sz w:val="21"/>
                      <w:szCs w:val="21"/>
                    </w:rPr>
                    <w:t>，</w:t>
                  </w:r>
                  <w:r>
                    <w:rPr>
                      <w:rFonts w:hint="eastAsia"/>
                      <w:sz w:val="21"/>
                      <w:szCs w:val="21"/>
                      <w:lang w:val="en-US" w:eastAsia="zh-CN"/>
                    </w:rPr>
                    <w:t>用于存放水处理及产线清洗消毒剂。</w:t>
                  </w:r>
                </w:p>
              </w:tc>
              <w:tc>
                <w:tcPr>
                  <w:tcW w:w="1594" w:type="pct"/>
                  <w:tcBorders>
                    <w:tl2br w:val="nil"/>
                    <w:tr2bl w:val="nil"/>
                  </w:tcBorders>
                  <w:noWrap w:val="0"/>
                  <w:vAlign w:val="center"/>
                </w:tcPr>
                <w:p>
                  <w:pPr>
                    <w:pStyle w:val="3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eastAsia="宋体"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sz w:val="21"/>
                      <w:szCs w:val="21"/>
                      <w:lang w:val="en-US" w:eastAsia="zh-CN"/>
                    </w:rPr>
                  </w:pPr>
                  <w:r>
                    <w:rPr>
                      <w:rFonts w:hint="eastAsia"/>
                      <w:sz w:val="21"/>
                      <w:szCs w:val="21"/>
                      <w:lang w:val="en-US" w:eastAsia="zh-CN"/>
                    </w:rPr>
                    <w:t>食堂</w:t>
                  </w:r>
                </w:p>
              </w:tc>
              <w:tc>
                <w:tcPr>
                  <w:tcW w:w="1943" w:type="pct"/>
                  <w:gridSpan w:val="2"/>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spacing w:line="240" w:lineRule="auto"/>
                    <w:textAlignment w:val="auto"/>
                    <w:rPr>
                      <w:rFonts w:hint="eastAsia" w:eastAsia="宋体"/>
                      <w:color w:val="0000FF"/>
                      <w:sz w:val="21"/>
                      <w:szCs w:val="21"/>
                      <w:lang w:eastAsia="zh-CN"/>
                    </w:rPr>
                  </w:pPr>
                  <w:r>
                    <w:rPr>
                      <w:color w:val="auto"/>
                      <w:sz w:val="21"/>
                      <w:szCs w:val="21"/>
                    </w:rPr>
                    <w:t>位于厂区的东南角，建筑面积约为</w:t>
                  </w:r>
                  <w:r>
                    <w:rPr>
                      <w:rFonts w:hint="eastAsia"/>
                      <w:color w:val="auto"/>
                      <w:sz w:val="21"/>
                      <w:szCs w:val="21"/>
                      <w:lang w:val="en-US" w:eastAsia="zh-CN"/>
                    </w:rPr>
                    <w:t>1</w:t>
                  </w:r>
                  <w:r>
                    <w:rPr>
                      <w:color w:val="auto"/>
                      <w:sz w:val="21"/>
                      <w:szCs w:val="21"/>
                    </w:rPr>
                    <w:t>30m</w:t>
                  </w:r>
                  <w:r>
                    <w:rPr>
                      <w:color w:val="auto"/>
                      <w:sz w:val="21"/>
                      <w:szCs w:val="21"/>
                      <w:vertAlign w:val="superscript"/>
                    </w:rPr>
                    <w:t>2</w:t>
                  </w:r>
                  <w:r>
                    <w:rPr>
                      <w:color w:val="auto"/>
                      <w:sz w:val="21"/>
                      <w:szCs w:val="21"/>
                    </w:rPr>
                    <w:t>，1层结构，为员工提供餐饮服务</w:t>
                  </w:r>
                  <w:r>
                    <w:rPr>
                      <w:rFonts w:hint="eastAsia"/>
                      <w:color w:val="auto"/>
                      <w:sz w:val="21"/>
                      <w:szCs w:val="21"/>
                      <w:lang w:eastAsia="zh-CN"/>
                    </w:rPr>
                    <w:t>。</w:t>
                  </w:r>
                </w:p>
              </w:tc>
              <w:tc>
                <w:tcPr>
                  <w:tcW w:w="1594" w:type="pct"/>
                  <w:tcBorders>
                    <w:tl2br w:val="nil"/>
                    <w:tr2bl w:val="nil"/>
                  </w:tcBorders>
                  <w:noWrap w:val="0"/>
                  <w:vAlign w:val="center"/>
                </w:tcPr>
                <w:p>
                  <w:pPr>
                    <w:pStyle w:val="32"/>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eastAsia="宋体" w:cs="Times New Roman"/>
                      <w:color w:val="auto"/>
                      <w:sz w:val="21"/>
                      <w:szCs w:val="21"/>
                      <w:lang w:val="en-US" w:eastAsia="zh-CN"/>
                    </w:rPr>
                  </w:pPr>
                  <w:r>
                    <w:rPr>
                      <w:rFonts w:hint="eastAsia" w:ascii="Times New Roman" w:cs="Times New Roman"/>
                      <w:color w:val="auto"/>
                      <w:sz w:val="21"/>
                      <w:szCs w:val="21"/>
                      <w:lang w:val="en-US"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cs="Times New Roman"/>
                      <w:color w:val="auto"/>
                      <w:sz w:val="21"/>
                      <w:szCs w:val="21"/>
                    </w:rPr>
                  </w:pPr>
                  <w:r>
                    <w:rPr>
                      <w:rFonts w:hint="eastAsia" w:ascii="Times New Roman" w:cs="Times New Roman"/>
                      <w:color w:val="auto"/>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26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sz w:val="21"/>
                      <w:szCs w:val="21"/>
                    </w:rPr>
                  </w:pPr>
                  <w:r>
                    <w:rPr>
                      <w:rFonts w:hint="eastAsia"/>
                      <w:sz w:val="21"/>
                      <w:szCs w:val="21"/>
                    </w:rPr>
                    <w:t>储运工程</w:t>
                  </w: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库房</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eastAsia" w:eastAsia="宋体"/>
                      <w:szCs w:val="21"/>
                      <w:lang w:val="en-US" w:eastAsia="zh-CN"/>
                    </w:rPr>
                  </w:pPr>
                  <w:r>
                    <w:rPr>
                      <w:sz w:val="21"/>
                      <w:szCs w:val="21"/>
                    </w:rPr>
                    <w:t>库房位于厂区厂房内的西侧，主要为原料和成品仓库。建筑面积约为549000m</w:t>
                  </w:r>
                  <w:r>
                    <w:rPr>
                      <w:sz w:val="21"/>
                      <w:szCs w:val="21"/>
                      <w:vertAlign w:val="superscript"/>
                    </w:rPr>
                    <w:t>2</w:t>
                  </w:r>
                  <w:r>
                    <w:rPr>
                      <w:sz w:val="21"/>
                      <w:szCs w:val="21"/>
                    </w:rPr>
                    <w:t>，主要用于原料和成品存储</w:t>
                  </w:r>
                  <w:r>
                    <w:rPr>
                      <w:rFonts w:hint="eastAsia"/>
                      <w:sz w:val="21"/>
                      <w:szCs w:val="21"/>
                      <w:lang w:eastAsia="zh-CN"/>
                    </w:rPr>
                    <w:t>。</w:t>
                  </w:r>
                </w:p>
              </w:tc>
              <w:tc>
                <w:tcPr>
                  <w:tcW w:w="1594" w:type="pct"/>
                  <w:tcBorders>
                    <w:tl2br w:val="nil"/>
                    <w:tr2bl w:val="nil"/>
                  </w:tcBorders>
                  <w:noWrap w:val="0"/>
                  <w:vAlign w:val="center"/>
                </w:tcPr>
                <w:p>
                  <w:pPr>
                    <w:pStyle w:val="3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eastAsia="宋体" w:cs="Times New Roman"/>
                      <w:color w:val="auto"/>
                      <w:sz w:val="21"/>
                      <w:szCs w:val="21"/>
                      <w:lang w:val="en-US" w:eastAsia="zh-CN"/>
                    </w:rPr>
                  </w:pPr>
                  <w:r>
                    <w:rPr>
                      <w:rFonts w:hint="eastAsia" w:ascii="Times New Roman" w:cs="Times New Roman"/>
                      <w:color w:val="auto"/>
                      <w:sz w:val="21"/>
                      <w:szCs w:val="21"/>
                      <w:lang w:val="en-US" w:eastAsia="zh-CN"/>
                    </w:rPr>
                    <w:t>/</w:t>
                  </w:r>
                </w:p>
              </w:tc>
              <w:tc>
                <w:tcPr>
                  <w:tcW w:w="697" w:type="pct"/>
                  <w:tcBorders>
                    <w:tl2br w:val="nil"/>
                    <w:tr2bl w:val="nil"/>
                  </w:tcBorders>
                  <w:noWrap w:val="0"/>
                  <w:vAlign w:val="center"/>
                </w:tcPr>
                <w:p>
                  <w:pPr>
                    <w:pStyle w:val="32"/>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eastAsia="宋体" w:cs="Times New Roman"/>
                      <w:color w:val="auto"/>
                      <w:sz w:val="21"/>
                      <w:szCs w:val="21"/>
                      <w:lang w:val="en-US" w:eastAsia="zh-CN"/>
                    </w:rPr>
                  </w:pPr>
                  <w:r>
                    <w:rPr>
                      <w:rFonts w:hint="eastAsia" w:ascii="Times New Roman" w:cs="Times New Roman"/>
                      <w:color w:val="auto"/>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000000"/>
                      <w:sz w:val="21"/>
                      <w:szCs w:val="21"/>
                    </w:rPr>
                  </w:pPr>
                  <w:r>
                    <w:rPr>
                      <w:color w:val="000000"/>
                      <w:sz w:val="21"/>
                      <w:szCs w:val="21"/>
                    </w:rPr>
                    <w:t>公用工程</w:t>
                  </w: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color w:val="000000"/>
                      <w:sz w:val="21"/>
                      <w:szCs w:val="21"/>
                    </w:rPr>
                    <w:t>给水</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color w:val="000000"/>
                      <w:sz w:val="21"/>
                      <w:szCs w:val="21"/>
                    </w:rPr>
                  </w:pPr>
                  <w:r>
                    <w:rPr>
                      <w:rFonts w:hint="eastAsia"/>
                      <w:color w:val="000000"/>
                      <w:sz w:val="21"/>
                      <w:szCs w:val="21"/>
                    </w:rPr>
                    <w:t>自来水，市政供水管网提供，主要用于</w:t>
                  </w:r>
                  <w:r>
                    <w:rPr>
                      <w:rFonts w:hint="eastAsia"/>
                      <w:color w:val="auto"/>
                      <w:sz w:val="21"/>
                      <w:szCs w:val="21"/>
                    </w:rPr>
                    <w:t>职工办公生活用水、生产用水、</w:t>
                  </w:r>
                  <w:r>
                    <w:rPr>
                      <w:rFonts w:hint="eastAsia"/>
                      <w:color w:val="auto"/>
                      <w:sz w:val="21"/>
                      <w:szCs w:val="21"/>
                      <w:lang w:val="en-US" w:eastAsia="zh-CN"/>
                    </w:rPr>
                    <w:t>车间冲洗</w:t>
                  </w:r>
                  <w:r>
                    <w:rPr>
                      <w:rFonts w:hint="eastAsia"/>
                      <w:color w:val="auto"/>
                      <w:sz w:val="21"/>
                      <w:szCs w:val="21"/>
                    </w:rPr>
                    <w:t>用水、</w:t>
                  </w:r>
                  <w:r>
                    <w:rPr>
                      <w:rFonts w:hint="eastAsia"/>
                      <w:color w:val="auto"/>
                      <w:sz w:val="21"/>
                      <w:szCs w:val="21"/>
                      <w:lang w:val="en-US" w:eastAsia="zh-CN"/>
                    </w:rPr>
                    <w:t>食堂</w:t>
                  </w:r>
                  <w:r>
                    <w:rPr>
                      <w:rFonts w:hint="eastAsia"/>
                      <w:color w:val="auto"/>
                      <w:sz w:val="21"/>
                      <w:szCs w:val="21"/>
                    </w:rPr>
                    <w:t>用水、冷却塔循环补充用水</w:t>
                  </w:r>
                  <w:r>
                    <w:rPr>
                      <w:rFonts w:hint="eastAsia"/>
                      <w:color w:val="000000"/>
                      <w:sz w:val="21"/>
                      <w:szCs w:val="21"/>
                    </w:rPr>
                    <w:t>、绿化用水，用水量为</w:t>
                  </w:r>
                  <w:r>
                    <w:rPr>
                      <w:rFonts w:hint="eastAsia"/>
                      <w:color w:val="000000"/>
                      <w:sz w:val="21"/>
                      <w:szCs w:val="21"/>
                      <w:lang w:val="en-US" w:eastAsia="zh-CN"/>
                    </w:rPr>
                    <w:t>2878.67m</w:t>
                  </w:r>
                  <w:r>
                    <w:rPr>
                      <w:rFonts w:hint="eastAsia"/>
                      <w:color w:val="000000"/>
                      <w:sz w:val="21"/>
                      <w:szCs w:val="21"/>
                      <w:vertAlign w:val="superscript"/>
                      <w:lang w:val="en-US" w:eastAsia="zh-CN"/>
                    </w:rPr>
                    <w:t>3</w:t>
                  </w:r>
                  <w:r>
                    <w:rPr>
                      <w:rFonts w:hint="eastAsia"/>
                      <w:color w:val="000000"/>
                      <w:sz w:val="21"/>
                      <w:szCs w:val="21"/>
                    </w:rPr>
                    <w:t>/</w:t>
                  </w:r>
                  <w:r>
                    <w:rPr>
                      <w:rFonts w:hint="eastAsia"/>
                      <w:color w:val="000000"/>
                      <w:sz w:val="21"/>
                      <w:szCs w:val="21"/>
                      <w:lang w:val="en-US" w:eastAsia="zh-CN"/>
                    </w:rPr>
                    <w:t>d</w:t>
                  </w:r>
                  <w:r>
                    <w:rPr>
                      <w:rFonts w:hint="eastAsia"/>
                      <w:color w:val="000000"/>
                      <w:sz w:val="21"/>
                      <w:szCs w:val="21"/>
                    </w:rPr>
                    <w:t>。</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eastAsia"/>
                      <w:color w:val="auto"/>
                      <w:sz w:val="21"/>
                      <w:szCs w:val="21"/>
                    </w:rPr>
                    <w:t>本项目用水量为</w:t>
                  </w:r>
                </w:p>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FF"/>
                      <w:sz w:val="21"/>
                      <w:szCs w:val="21"/>
                    </w:rPr>
                  </w:pPr>
                  <w:r>
                    <w:rPr>
                      <w:rFonts w:hint="eastAsia" w:cs="Times New Roman"/>
                      <w:color w:val="auto"/>
                      <w:sz w:val="21"/>
                      <w:szCs w:val="21"/>
                      <w:lang w:val="en-US" w:eastAsia="zh-CN"/>
                    </w:rPr>
                    <w:t>2866.90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/d</w:t>
                  </w:r>
                  <w:r>
                    <w:rPr>
                      <w:rFonts w:hint="eastAsia"/>
                      <w:color w:val="auto"/>
                      <w:sz w:val="21"/>
                      <w:szCs w:val="21"/>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sz w:val="21"/>
                      <w:szCs w:val="21"/>
                    </w:rPr>
                  </w:pPr>
                  <w:r>
                    <w:rPr>
                      <w:rFonts w:hint="eastAsia"/>
                      <w:color w:val="000000"/>
                      <w:sz w:val="21"/>
                      <w:szCs w:val="21"/>
                    </w:rPr>
                    <w:t>依托现有</w:t>
                  </w:r>
                </w:p>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rFonts w:hint="eastAsia"/>
                      <w:color w:val="000000"/>
                      <w:sz w:val="21"/>
                      <w:szCs w:val="21"/>
                    </w:rPr>
                    <w:t>给水系统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000000"/>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color w:val="000000"/>
                      <w:sz w:val="21"/>
                      <w:szCs w:val="21"/>
                    </w:rPr>
                    <w:t>排水</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eastAsia"/>
                      <w:sz w:val="21"/>
                      <w:szCs w:val="21"/>
                    </w:rPr>
                  </w:pPr>
                  <w:r>
                    <w:rPr>
                      <w:rFonts w:hint="eastAsia"/>
                      <w:sz w:val="21"/>
                      <w:szCs w:val="21"/>
                      <w:lang w:val="en-US" w:eastAsia="zh-CN"/>
                    </w:rPr>
                    <w:t>雨污分流，</w:t>
                  </w:r>
                  <w:r>
                    <w:rPr>
                      <w:rFonts w:hint="eastAsia"/>
                      <w:sz w:val="21"/>
                      <w:szCs w:val="21"/>
                    </w:rPr>
                    <w:t>项目生活污水</w:t>
                  </w:r>
                  <w:r>
                    <w:rPr>
                      <w:rFonts w:hint="eastAsia"/>
                      <w:sz w:val="21"/>
                      <w:szCs w:val="21"/>
                      <w:lang w:eastAsia="zh-CN"/>
                    </w:rPr>
                    <w:t>、</w:t>
                  </w:r>
                  <w:r>
                    <w:rPr>
                      <w:rFonts w:hint="eastAsia"/>
                      <w:sz w:val="21"/>
                      <w:szCs w:val="21"/>
                      <w:lang w:val="en-US" w:eastAsia="zh-CN"/>
                    </w:rPr>
                    <w:t>食堂废水</w:t>
                  </w:r>
                  <w:r>
                    <w:rPr>
                      <w:rFonts w:hint="eastAsia"/>
                      <w:sz w:val="21"/>
                      <w:szCs w:val="21"/>
                    </w:rPr>
                    <w:t>经</w:t>
                  </w:r>
                  <w:r>
                    <w:rPr>
                      <w:rFonts w:hint="eastAsia"/>
                      <w:sz w:val="21"/>
                      <w:szCs w:val="21"/>
                      <w:lang w:val="en-US" w:eastAsia="zh-CN"/>
                    </w:rPr>
                    <w:t>隔油池</w:t>
                  </w:r>
                  <w:r>
                    <w:rPr>
                      <w:rFonts w:hint="eastAsia"/>
                      <w:sz w:val="21"/>
                      <w:szCs w:val="21"/>
                    </w:rPr>
                    <w:t>预处理后同生产废水接入园区市政污水管网</w:t>
                  </w:r>
                  <w:r>
                    <w:rPr>
                      <w:rFonts w:hint="eastAsia"/>
                      <w:sz w:val="21"/>
                      <w:szCs w:val="21"/>
                      <w:lang w:eastAsia="zh-CN"/>
                    </w:rPr>
                    <w:t>，</w:t>
                  </w:r>
                  <w:r>
                    <w:rPr>
                      <w:rFonts w:hint="eastAsia"/>
                      <w:sz w:val="21"/>
                      <w:szCs w:val="21"/>
                    </w:rPr>
                    <w:t>排入园区污水处理厂深度处理。处理达标后外排至新濉河。污水主要为生活污水、生产废水、</w:t>
                  </w:r>
                  <w:r>
                    <w:rPr>
                      <w:rFonts w:hint="eastAsia"/>
                      <w:sz w:val="21"/>
                      <w:szCs w:val="21"/>
                      <w:lang w:val="en-US" w:eastAsia="zh-CN"/>
                    </w:rPr>
                    <w:t>车间冲洗</w:t>
                  </w:r>
                  <w:r>
                    <w:rPr>
                      <w:rFonts w:hint="eastAsia"/>
                      <w:sz w:val="21"/>
                      <w:szCs w:val="21"/>
                    </w:rPr>
                    <w:t>废水等，排放量为</w:t>
                  </w:r>
                  <w:r>
                    <w:rPr>
                      <w:rFonts w:hint="eastAsia"/>
                      <w:sz w:val="21"/>
                      <w:szCs w:val="21"/>
                      <w:lang w:val="en-US" w:eastAsia="zh-CN"/>
                    </w:rPr>
                    <w:t>638.11</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eastAsia"/>
                      <w:color w:val="auto"/>
                      <w:sz w:val="21"/>
                      <w:szCs w:val="21"/>
                    </w:rPr>
                    <w:t>/</w:t>
                  </w:r>
                  <w:r>
                    <w:rPr>
                      <w:rFonts w:hint="eastAsia"/>
                      <w:color w:val="auto"/>
                      <w:sz w:val="21"/>
                      <w:szCs w:val="21"/>
                      <w:lang w:val="en-US" w:eastAsia="zh-CN"/>
                    </w:rPr>
                    <w:t>d</w:t>
                  </w:r>
                  <w:r>
                    <w:rPr>
                      <w:rFonts w:hint="eastAsia"/>
                      <w:color w:val="auto"/>
                      <w:sz w:val="21"/>
                      <w:szCs w:val="21"/>
                    </w:rPr>
                    <w:t>。</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olor w:val="0000FF"/>
                      <w:sz w:val="21"/>
                      <w:szCs w:val="21"/>
                      <w:lang w:val="en-US" w:eastAsia="zh-CN"/>
                    </w:rPr>
                  </w:pPr>
                  <w:r>
                    <w:rPr>
                      <w:rFonts w:hint="eastAsia"/>
                      <w:color w:val="auto"/>
                      <w:sz w:val="21"/>
                      <w:szCs w:val="21"/>
                    </w:rPr>
                    <w:t>本项目废水排放量为</w:t>
                  </w:r>
                  <w:r>
                    <w:rPr>
                      <w:rFonts w:hint="eastAsia"/>
                      <w:color w:val="auto"/>
                      <w:sz w:val="21"/>
                      <w:szCs w:val="21"/>
                      <w:lang w:val="en-US" w:eastAsia="zh-CN"/>
                    </w:rPr>
                    <w:t>583.96m</w:t>
                  </w:r>
                  <w:r>
                    <w:rPr>
                      <w:rFonts w:hint="eastAsia"/>
                      <w:color w:val="auto"/>
                      <w:sz w:val="21"/>
                      <w:szCs w:val="21"/>
                      <w:vertAlign w:val="superscript"/>
                      <w:lang w:val="en-US" w:eastAsia="zh-CN"/>
                    </w:rPr>
                    <w:t>3</w:t>
                  </w:r>
                  <w:r>
                    <w:rPr>
                      <w:rFonts w:hint="eastAsia"/>
                      <w:color w:val="auto"/>
                      <w:sz w:val="21"/>
                      <w:szCs w:val="21"/>
                      <w:lang w:val="en-US" w:eastAsia="zh-CN"/>
                    </w:rPr>
                    <w:t>/d</w:t>
                  </w:r>
                  <w:r>
                    <w:rPr>
                      <w:rFonts w:hint="eastAsia"/>
                      <w:color w:val="auto"/>
                      <w:sz w:val="21"/>
                      <w:szCs w:val="21"/>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sz w:val="21"/>
                      <w:szCs w:val="21"/>
                    </w:rPr>
                  </w:pPr>
                  <w:r>
                    <w:rPr>
                      <w:rFonts w:hint="eastAsia"/>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000000"/>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color w:val="000000"/>
                      <w:sz w:val="21"/>
                      <w:szCs w:val="21"/>
                    </w:rPr>
                    <w:t>供电</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color w:val="000000"/>
                      <w:sz w:val="21"/>
                      <w:szCs w:val="21"/>
                    </w:rPr>
                  </w:pPr>
                  <w:r>
                    <w:rPr>
                      <w:rFonts w:hint="eastAsia"/>
                      <w:color w:val="000000"/>
                      <w:sz w:val="21"/>
                      <w:szCs w:val="21"/>
                    </w:rPr>
                    <w:t>市政电网接入，经厂区内的配电房后沿厂区道路敷设，供项目区建筑使用，</w:t>
                  </w:r>
                  <w:r>
                    <w:rPr>
                      <w:rFonts w:hint="eastAsia"/>
                      <w:color w:val="000000"/>
                      <w:sz w:val="21"/>
                      <w:szCs w:val="21"/>
                      <w:lang w:val="en-US" w:eastAsia="zh-CN"/>
                    </w:rPr>
                    <w:t>用</w:t>
                  </w:r>
                  <w:r>
                    <w:rPr>
                      <w:rFonts w:hint="eastAsia"/>
                      <w:color w:val="000000"/>
                      <w:sz w:val="21"/>
                      <w:szCs w:val="21"/>
                    </w:rPr>
                    <w:t>电量约</w:t>
                  </w:r>
                  <w:r>
                    <w:rPr>
                      <w:rFonts w:hint="eastAsia"/>
                      <w:color w:val="000000"/>
                      <w:sz w:val="21"/>
                      <w:szCs w:val="21"/>
                      <w:lang w:val="en-US" w:eastAsia="zh-CN"/>
                    </w:rPr>
                    <w:t>884</w:t>
                  </w:r>
                  <w:r>
                    <w:rPr>
                      <w:rFonts w:hint="eastAsia"/>
                      <w:color w:val="000000"/>
                      <w:sz w:val="21"/>
                      <w:szCs w:val="21"/>
                    </w:rPr>
                    <w:t>万kWh/a。</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sz w:val="21"/>
                      <w:szCs w:val="21"/>
                    </w:rPr>
                  </w:pPr>
                  <w:r>
                    <w:rPr>
                      <w:rFonts w:hint="eastAsia"/>
                      <w:color w:val="000000"/>
                      <w:sz w:val="21"/>
                      <w:szCs w:val="21"/>
                    </w:rPr>
                    <w:t>本项目</w:t>
                  </w:r>
                  <w:r>
                    <w:rPr>
                      <w:rFonts w:hint="eastAsia"/>
                      <w:color w:val="000000"/>
                      <w:sz w:val="21"/>
                      <w:szCs w:val="21"/>
                      <w:lang w:val="en-US" w:eastAsia="zh-CN"/>
                    </w:rPr>
                    <w:t>用</w:t>
                  </w:r>
                  <w:r>
                    <w:rPr>
                      <w:rFonts w:hint="eastAsia"/>
                      <w:color w:val="000000"/>
                      <w:sz w:val="21"/>
                      <w:szCs w:val="21"/>
                    </w:rPr>
                    <w:t>电量约</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000000"/>
                      <w:sz w:val="21"/>
                      <w:szCs w:val="21"/>
                      <w:lang w:eastAsia="zh-CN"/>
                    </w:rPr>
                  </w:pPr>
                  <w:r>
                    <w:rPr>
                      <w:rFonts w:hint="eastAsia"/>
                      <w:color w:val="auto"/>
                      <w:sz w:val="21"/>
                      <w:szCs w:val="21"/>
                      <w:lang w:val="en-US" w:eastAsia="zh-CN"/>
                    </w:rPr>
                    <w:t>800</w:t>
                  </w:r>
                  <w:r>
                    <w:rPr>
                      <w:rFonts w:hint="eastAsia"/>
                      <w:color w:val="auto"/>
                      <w:sz w:val="21"/>
                      <w:szCs w:val="21"/>
                    </w:rPr>
                    <w:t>万kWh/a</w:t>
                  </w:r>
                  <w:r>
                    <w:rPr>
                      <w:rFonts w:hint="eastAsia"/>
                      <w:color w:val="auto"/>
                      <w:sz w:val="21"/>
                      <w:szCs w:val="21"/>
                      <w:lang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rFonts w:hint="eastAsia"/>
                      <w:color w:val="00000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000000"/>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000000"/>
                      <w:sz w:val="21"/>
                      <w:szCs w:val="21"/>
                      <w:lang w:eastAsia="zh-CN"/>
                    </w:rPr>
                  </w:pPr>
                  <w:r>
                    <w:rPr>
                      <w:rFonts w:hint="eastAsia"/>
                      <w:color w:val="000000"/>
                      <w:sz w:val="21"/>
                      <w:szCs w:val="21"/>
                      <w:lang w:val="en-US" w:eastAsia="zh-CN"/>
                    </w:rPr>
                    <w:t>供热</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default" w:eastAsia="宋体"/>
                      <w:color w:val="000000"/>
                      <w:sz w:val="21"/>
                      <w:szCs w:val="21"/>
                      <w:lang w:val="en-US" w:eastAsia="zh-CN"/>
                    </w:rPr>
                  </w:pPr>
                  <w:r>
                    <w:rPr>
                      <w:rFonts w:hint="eastAsia"/>
                      <w:color w:val="000000"/>
                      <w:sz w:val="21"/>
                      <w:szCs w:val="21"/>
                      <w:lang w:val="en-US" w:eastAsia="zh-CN"/>
                    </w:rPr>
                    <w:t>采用企业自购电加热炉供热，年蒸汽使用量420吨。</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0000FF"/>
                      <w:sz w:val="21"/>
                      <w:szCs w:val="21"/>
                      <w:lang w:eastAsia="zh-CN"/>
                    </w:rPr>
                  </w:pPr>
                  <w:r>
                    <w:rPr>
                      <w:rFonts w:hint="eastAsia" w:ascii="宋体" w:hAnsi="宋体" w:cs="宋体"/>
                      <w:sz w:val="21"/>
                      <w:szCs w:val="21"/>
                    </w:rPr>
                    <w:t>相山经济开发区蒸汽管网接入</w:t>
                  </w:r>
                  <w:r>
                    <w:rPr>
                      <w:rFonts w:hint="eastAsia" w:ascii="宋体" w:hAnsi="宋体" w:cs="宋体"/>
                      <w:sz w:val="21"/>
                      <w:szCs w:val="21"/>
                      <w:lang w:eastAsia="zh-CN"/>
                    </w:rPr>
                    <w:t>，</w:t>
                  </w:r>
                  <w:r>
                    <w:rPr>
                      <w:rFonts w:hint="eastAsia" w:ascii="宋体" w:hAnsi="宋体" w:cs="宋体"/>
                      <w:sz w:val="21"/>
                      <w:szCs w:val="21"/>
                    </w:rPr>
                    <w:t>蒸汽使用量</w:t>
                  </w:r>
                  <w:r>
                    <w:rPr>
                      <w:rFonts w:hint="eastAsia" w:ascii="宋体" w:hAnsi="宋体" w:cs="宋体"/>
                      <w:sz w:val="21"/>
                      <w:szCs w:val="21"/>
                      <w:lang w:val="en-US" w:eastAsia="zh-CN"/>
                    </w:rPr>
                    <w:t>6780</w:t>
                  </w:r>
                  <w:r>
                    <w:rPr>
                      <w:rFonts w:hint="eastAsia" w:ascii="宋体" w:hAnsi="宋体" w:cs="宋体"/>
                      <w:sz w:val="21"/>
                      <w:szCs w:val="21"/>
                    </w:rPr>
                    <w:t>吨</w:t>
                  </w:r>
                  <w:r>
                    <w:rPr>
                      <w:rFonts w:hint="eastAsia" w:ascii="宋体" w:hAnsi="宋体" w:cs="宋体"/>
                      <w:sz w:val="21"/>
                      <w:szCs w:val="21"/>
                      <w:lang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000000"/>
                      <w:sz w:val="21"/>
                      <w:szCs w:val="21"/>
                      <w:lang w:val="en-US" w:eastAsia="zh-CN"/>
                    </w:rPr>
                  </w:pPr>
                  <w:r>
                    <w:rPr>
                      <w:rFonts w:hint="eastAsia"/>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26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color w:val="auto"/>
                      <w:sz w:val="21"/>
                      <w:szCs w:val="21"/>
                    </w:rPr>
                    <w:t>环保工程</w:t>
                  </w: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1"/>
                      <w:szCs w:val="21"/>
                    </w:rPr>
                  </w:pPr>
                  <w:r>
                    <w:rPr>
                      <w:color w:val="auto"/>
                      <w:sz w:val="21"/>
                      <w:szCs w:val="21"/>
                    </w:rPr>
                    <w:t>废</w:t>
                  </w:r>
                  <w:r>
                    <w:rPr>
                      <w:rFonts w:hint="eastAsia"/>
                      <w:color w:val="auto"/>
                      <w:sz w:val="21"/>
                      <w:szCs w:val="21"/>
                    </w:rPr>
                    <w:t>水</w:t>
                  </w:r>
                </w:p>
                <w:p>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r>
                    <w:rPr>
                      <w:rFonts w:hint="eastAsia"/>
                      <w:color w:val="auto"/>
                      <w:sz w:val="21"/>
                      <w:szCs w:val="21"/>
                    </w:rPr>
                    <w:t>治理</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eastAsia" w:eastAsia="宋体"/>
                      <w:color w:val="auto"/>
                      <w:szCs w:val="21"/>
                      <w:lang w:eastAsia="zh-CN"/>
                    </w:rPr>
                  </w:pPr>
                  <w:r>
                    <w:rPr>
                      <w:color w:val="auto"/>
                      <w:sz w:val="21"/>
                      <w:szCs w:val="21"/>
                    </w:rPr>
                    <w:t>实行雨污分流制。生活污水</w:t>
                  </w:r>
                  <w:r>
                    <w:rPr>
                      <w:rFonts w:hint="eastAsia"/>
                      <w:color w:val="auto"/>
                      <w:sz w:val="21"/>
                      <w:szCs w:val="21"/>
                      <w:lang w:val="en-US" w:eastAsia="zh-CN"/>
                    </w:rPr>
                    <w:t>与经隔油池预处理后的食堂废水，</w:t>
                  </w:r>
                  <w:r>
                    <w:rPr>
                      <w:color w:val="auto"/>
                      <w:sz w:val="21"/>
                      <w:szCs w:val="21"/>
                    </w:rPr>
                    <w:t>与</w:t>
                  </w:r>
                  <w:r>
                    <w:rPr>
                      <w:rFonts w:hint="eastAsia"/>
                      <w:color w:val="auto"/>
                      <w:sz w:val="21"/>
                      <w:szCs w:val="21"/>
                      <w:lang w:val="en-US" w:eastAsia="zh-CN"/>
                    </w:rPr>
                    <w:t>设备清洗废</w:t>
                  </w:r>
                  <w:r>
                    <w:rPr>
                      <w:color w:val="auto"/>
                      <w:sz w:val="21"/>
                      <w:szCs w:val="21"/>
                    </w:rPr>
                    <w:t>水、</w:t>
                  </w:r>
                  <w:r>
                    <w:rPr>
                      <w:rFonts w:hint="eastAsia"/>
                      <w:color w:val="auto"/>
                      <w:sz w:val="21"/>
                      <w:szCs w:val="21"/>
                      <w:lang w:val="en-US" w:eastAsia="zh-CN"/>
                    </w:rPr>
                    <w:t>水处理工艺反</w:t>
                  </w:r>
                  <w:r>
                    <w:rPr>
                      <w:color w:val="auto"/>
                      <w:sz w:val="21"/>
                      <w:szCs w:val="21"/>
                    </w:rPr>
                    <w:t>冲洗废水、车间地面冲洗废水</w:t>
                  </w:r>
                  <w:r>
                    <w:rPr>
                      <w:rFonts w:hint="eastAsia"/>
                      <w:color w:val="auto"/>
                      <w:sz w:val="21"/>
                      <w:szCs w:val="21"/>
                      <w:lang w:val="en-US" w:eastAsia="zh-CN"/>
                    </w:rPr>
                    <w:t>等</w:t>
                  </w:r>
                  <w:r>
                    <w:rPr>
                      <w:color w:val="auto"/>
                      <w:sz w:val="21"/>
                      <w:szCs w:val="21"/>
                    </w:rPr>
                    <w:t>一起排入园区污水管网，经园区污水管网进入</w:t>
                  </w:r>
                  <w:r>
                    <w:rPr>
                      <w:rFonts w:hint="eastAsia"/>
                      <w:color w:val="auto"/>
                      <w:sz w:val="21"/>
                      <w:szCs w:val="21"/>
                      <w:lang w:val="en-US" w:eastAsia="zh-CN"/>
                    </w:rPr>
                    <w:t>园区污水处理厂</w:t>
                  </w:r>
                  <w:r>
                    <w:rPr>
                      <w:color w:val="auto"/>
                      <w:sz w:val="21"/>
                      <w:szCs w:val="21"/>
                    </w:rPr>
                    <w:t>进行深度处理，最终排入</w:t>
                  </w:r>
                  <w:r>
                    <w:rPr>
                      <w:rFonts w:hint="eastAsia"/>
                      <w:color w:val="auto"/>
                      <w:sz w:val="21"/>
                      <w:szCs w:val="21"/>
                      <w:lang w:val="en-US" w:eastAsia="zh-CN"/>
                    </w:rPr>
                    <w:t>新</w:t>
                  </w:r>
                  <w:r>
                    <w:rPr>
                      <w:color w:val="auto"/>
                      <w:sz w:val="21"/>
                      <w:szCs w:val="21"/>
                    </w:rPr>
                    <w:t>濉河</w:t>
                  </w:r>
                  <w:r>
                    <w:rPr>
                      <w:rFonts w:hint="eastAsia"/>
                      <w:color w:val="auto"/>
                      <w:sz w:val="21"/>
                      <w:szCs w:val="21"/>
                      <w:lang w:eastAsia="zh-CN"/>
                    </w:rPr>
                    <w:t>。</w:t>
                  </w:r>
                  <w:r>
                    <w:rPr>
                      <w:color w:val="auto"/>
                      <w:sz w:val="21"/>
                      <w:szCs w:val="21"/>
                    </w:rPr>
                    <w:t>现有工程废水量为</w:t>
                  </w:r>
                  <w:r>
                    <w:rPr>
                      <w:rFonts w:hint="eastAsia"/>
                      <w:color w:val="auto"/>
                      <w:sz w:val="21"/>
                      <w:szCs w:val="21"/>
                      <w:lang w:val="en-US" w:eastAsia="zh-CN"/>
                    </w:rPr>
                    <w:t>638.11</w:t>
                  </w:r>
                  <w:r>
                    <w:rPr>
                      <w:rFonts w:hint="eastAsia"/>
                      <w:color w:val="auto"/>
                      <w:sz w:val="21"/>
                      <w:szCs w:val="21"/>
                    </w:rPr>
                    <w:t>m</w:t>
                  </w:r>
                  <w:r>
                    <w:rPr>
                      <w:rFonts w:hint="eastAsia"/>
                      <w:color w:val="auto"/>
                      <w:sz w:val="21"/>
                      <w:szCs w:val="21"/>
                      <w:vertAlign w:val="superscript"/>
                    </w:rPr>
                    <w:t>3</w:t>
                  </w:r>
                  <w:r>
                    <w:rPr>
                      <w:rFonts w:hint="eastAsia"/>
                      <w:color w:val="auto"/>
                      <w:sz w:val="21"/>
                      <w:szCs w:val="21"/>
                    </w:rPr>
                    <w:t>/d</w:t>
                  </w:r>
                  <w:r>
                    <w:rPr>
                      <w:rFonts w:hint="eastAsia"/>
                      <w:color w:val="auto"/>
                      <w:sz w:val="21"/>
                      <w:szCs w:val="21"/>
                      <w:lang w:eastAsia="zh-CN"/>
                    </w:rPr>
                    <w:t>。</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r>
                    <w:rPr>
                      <w:rFonts w:hint="eastAsia"/>
                      <w:color w:val="auto"/>
                      <w:sz w:val="21"/>
                      <w:szCs w:val="21"/>
                      <w:lang w:val="en-US" w:eastAsia="zh-CN"/>
                    </w:rPr>
                    <w:t>本项目</w:t>
                  </w:r>
                  <w:r>
                    <w:rPr>
                      <w:color w:val="auto"/>
                      <w:sz w:val="21"/>
                      <w:szCs w:val="21"/>
                    </w:rPr>
                    <w:t>废水量</w:t>
                  </w:r>
                  <w:r>
                    <w:rPr>
                      <w:rFonts w:hint="eastAsia"/>
                      <w:color w:val="auto"/>
                      <w:sz w:val="21"/>
                      <w:szCs w:val="21"/>
                      <w:lang w:val="en-US" w:eastAsia="zh-CN"/>
                    </w:rPr>
                    <w:t>583.96</w:t>
                  </w:r>
                  <w:r>
                    <w:rPr>
                      <w:rFonts w:hint="eastAsia"/>
                      <w:color w:val="auto"/>
                      <w:sz w:val="21"/>
                      <w:szCs w:val="21"/>
                    </w:rPr>
                    <w:t>m</w:t>
                  </w:r>
                  <w:r>
                    <w:rPr>
                      <w:rFonts w:hint="eastAsia"/>
                      <w:color w:val="auto"/>
                      <w:sz w:val="21"/>
                      <w:szCs w:val="21"/>
                      <w:vertAlign w:val="superscript"/>
                    </w:rPr>
                    <w:t>3</w:t>
                  </w:r>
                  <w:r>
                    <w:rPr>
                      <w:rFonts w:hint="eastAsia"/>
                      <w:color w:val="auto"/>
                      <w:sz w:val="21"/>
                      <w:szCs w:val="21"/>
                    </w:rPr>
                    <w:t>/d</w:t>
                  </w:r>
                  <w:r>
                    <w:rPr>
                      <w:rFonts w:hint="eastAsia"/>
                      <w:color w:val="auto"/>
                      <w:sz w:val="21"/>
                      <w:szCs w:val="21"/>
                      <w:lang w:eastAsia="zh-CN"/>
                    </w:rPr>
                    <w:t>。</w:t>
                  </w:r>
                  <w:r>
                    <w:rPr>
                      <w:rFonts w:hint="eastAsia"/>
                      <w:color w:val="auto"/>
                      <w:sz w:val="21"/>
                      <w:szCs w:val="21"/>
                      <w:lang w:val="en-US" w:eastAsia="zh-CN"/>
                    </w:rPr>
                    <w:t>该废水为较清洁下水，可直接由园区接管。</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rFonts w:hint="eastAsia"/>
                      <w:color w:val="00000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0"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p>
              </w:tc>
              <w:tc>
                <w:tcPr>
                  <w:tcW w:w="503"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eastAsia"/>
                      <w:color w:val="auto"/>
                      <w:sz w:val="21"/>
                      <w:szCs w:val="21"/>
                    </w:rPr>
                    <w:t>废气</w:t>
                  </w:r>
                </w:p>
                <w:p>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r>
                    <w:rPr>
                      <w:rFonts w:hint="eastAsia"/>
                      <w:color w:val="auto"/>
                      <w:sz w:val="21"/>
                      <w:szCs w:val="21"/>
                    </w:rPr>
                    <w:t>治理</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有机废气</w:t>
                  </w:r>
                </w:p>
              </w:tc>
              <w:tc>
                <w:tcPr>
                  <w:tcW w:w="15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color w:val="auto"/>
                      <w:sz w:val="21"/>
                      <w:szCs w:val="21"/>
                      <w:lang w:eastAsia="zh-CN"/>
                    </w:rPr>
                  </w:pPr>
                  <w:r>
                    <w:rPr>
                      <w:b/>
                      <w:bCs/>
                      <w:color w:val="auto"/>
                      <w:sz w:val="21"/>
                      <w:szCs w:val="21"/>
                    </w:rPr>
                    <w:t>1#生产线</w:t>
                  </w:r>
                  <w:r>
                    <w:rPr>
                      <w:rFonts w:hint="eastAsia"/>
                      <w:b/>
                      <w:bCs/>
                      <w:color w:val="auto"/>
                      <w:sz w:val="21"/>
                      <w:szCs w:val="21"/>
                      <w:lang w:val="en-US" w:eastAsia="zh-CN"/>
                    </w:rPr>
                    <w:t>吹塑</w:t>
                  </w:r>
                  <w:r>
                    <w:rPr>
                      <w:b/>
                      <w:bCs/>
                      <w:color w:val="auto"/>
                      <w:sz w:val="21"/>
                      <w:szCs w:val="21"/>
                    </w:rPr>
                    <w:t>废气</w:t>
                  </w:r>
                  <w:r>
                    <w:rPr>
                      <w:rFonts w:hint="eastAsia"/>
                      <w:b/>
                      <w:bCs/>
                      <w:color w:val="auto"/>
                      <w:sz w:val="21"/>
                      <w:szCs w:val="21"/>
                      <w:lang w:eastAsia="zh-CN"/>
                    </w:rPr>
                    <w:t>：</w:t>
                  </w:r>
                  <w:r>
                    <w:rPr>
                      <w:color w:val="auto"/>
                      <w:sz w:val="21"/>
                      <w:szCs w:val="21"/>
                    </w:rPr>
                    <w:t>经车间集气罩收集后，</w:t>
                  </w:r>
                  <w:r>
                    <w:rPr>
                      <w:rFonts w:hint="eastAsia"/>
                      <w:color w:val="auto"/>
                      <w:sz w:val="21"/>
                      <w:szCs w:val="21"/>
                      <w:lang w:val="en-US" w:eastAsia="zh-CN"/>
                    </w:rPr>
                    <w:t>通过二级</w:t>
                  </w:r>
                  <w:r>
                    <w:rPr>
                      <w:color w:val="auto"/>
                      <w:sz w:val="21"/>
                      <w:szCs w:val="21"/>
                    </w:rPr>
                    <w:t>活性炭吸附装置净化处理，通过</w:t>
                  </w:r>
                  <w:r>
                    <w:rPr>
                      <w:rFonts w:hint="eastAsia"/>
                      <w:color w:val="auto"/>
                      <w:sz w:val="21"/>
                      <w:szCs w:val="21"/>
                      <w:lang w:val="en-US" w:eastAsia="zh-CN"/>
                    </w:rPr>
                    <w:t>20</w:t>
                  </w:r>
                  <w:r>
                    <w:rPr>
                      <w:color w:val="auto"/>
                      <w:sz w:val="21"/>
                      <w:szCs w:val="21"/>
                    </w:rPr>
                    <w:t>m排气筒（</w:t>
                  </w:r>
                  <w:r>
                    <w:rPr>
                      <w:rFonts w:hint="eastAsia"/>
                      <w:color w:val="auto"/>
                      <w:sz w:val="21"/>
                      <w:szCs w:val="21"/>
                      <w:lang w:val="en-US" w:eastAsia="zh-CN"/>
                    </w:rPr>
                    <w:t>DA001</w:t>
                  </w:r>
                  <w:r>
                    <w:rPr>
                      <w:color w:val="auto"/>
                      <w:sz w:val="21"/>
                      <w:szCs w:val="21"/>
                    </w:rPr>
                    <w:t>）排放，已完成验收</w:t>
                  </w:r>
                  <w:r>
                    <w:rPr>
                      <w:rFonts w:hint="eastAsia"/>
                      <w:color w:val="auto"/>
                      <w:sz w:val="21"/>
                      <w:szCs w:val="21"/>
                      <w:lang w:eastAsia="zh-CN"/>
                    </w:rPr>
                    <w:t>。</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color w:val="auto"/>
                      <w:sz w:val="21"/>
                      <w:szCs w:val="21"/>
                      <w:lang w:eastAsia="zh-CN"/>
                    </w:rPr>
                  </w:pPr>
                  <w:r>
                    <w:rPr>
                      <w:b/>
                      <w:bCs/>
                      <w:color w:val="auto"/>
                      <w:sz w:val="21"/>
                      <w:szCs w:val="21"/>
                    </w:rPr>
                    <w:t>2#生产线吹塑废气：</w:t>
                  </w:r>
                  <w:r>
                    <w:rPr>
                      <w:color w:val="auto"/>
                      <w:sz w:val="21"/>
                      <w:szCs w:val="21"/>
                    </w:rPr>
                    <w:t>经集气罩收集+二级活性炭吸附净化+</w:t>
                  </w:r>
                  <w:r>
                    <w:rPr>
                      <w:rFonts w:hint="eastAsia"/>
                      <w:color w:val="auto"/>
                      <w:sz w:val="21"/>
                      <w:szCs w:val="21"/>
                      <w:lang w:val="en-US" w:eastAsia="zh-CN"/>
                    </w:rPr>
                    <w:t>20</w:t>
                  </w:r>
                  <w:r>
                    <w:rPr>
                      <w:color w:val="auto"/>
                      <w:sz w:val="21"/>
                      <w:szCs w:val="21"/>
                    </w:rPr>
                    <w:t>m排气筒（DA002）高空排放</w:t>
                  </w:r>
                  <w:r>
                    <w:rPr>
                      <w:rFonts w:hint="eastAsia"/>
                      <w:color w:val="auto"/>
                      <w:sz w:val="21"/>
                      <w:szCs w:val="21"/>
                      <w:lang w:eastAsia="zh-CN"/>
                    </w:rPr>
                    <w:t>。</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color w:val="auto"/>
                      <w:sz w:val="21"/>
                      <w:szCs w:val="21"/>
                      <w:lang w:eastAsia="zh-CN"/>
                    </w:rPr>
                  </w:pPr>
                  <w:r>
                    <w:rPr>
                      <w:rFonts w:hint="eastAsia"/>
                      <w:b/>
                      <w:bCs/>
                      <w:color w:val="auto"/>
                      <w:sz w:val="21"/>
                      <w:szCs w:val="21"/>
                      <w:lang w:val="en-US" w:eastAsia="zh-CN"/>
                    </w:rPr>
                    <w:t>1#、</w:t>
                  </w:r>
                  <w:r>
                    <w:rPr>
                      <w:b/>
                      <w:bCs/>
                      <w:color w:val="auto"/>
                      <w:sz w:val="21"/>
                      <w:szCs w:val="21"/>
                    </w:rPr>
                    <w:t>2#生产线注塑、熔塑废气：</w:t>
                  </w:r>
                  <w:r>
                    <w:rPr>
                      <w:color w:val="auto"/>
                      <w:sz w:val="21"/>
                      <w:szCs w:val="21"/>
                    </w:rPr>
                    <w:t>经集气罩收集+二级活性炭吸附净化+20m排气筒（DA003）高空排放</w:t>
                  </w:r>
                  <w:r>
                    <w:rPr>
                      <w:rFonts w:hint="eastAsia"/>
                      <w:color w:val="auto"/>
                      <w:sz w:val="21"/>
                      <w:szCs w:val="21"/>
                      <w:lang w:eastAsia="zh-CN"/>
                    </w:rPr>
                    <w:t>。</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color w:val="auto"/>
                      <w:sz w:val="21"/>
                      <w:szCs w:val="21"/>
                      <w:lang w:val="en-US" w:eastAsia="zh-CN"/>
                    </w:rPr>
                  </w:pPr>
                  <w:r>
                    <w:rPr>
                      <w:rFonts w:hint="eastAsia"/>
                      <w:b/>
                      <w:bCs/>
                      <w:color w:val="auto"/>
                      <w:sz w:val="21"/>
                      <w:szCs w:val="21"/>
                      <w:lang w:val="en-US" w:eastAsia="zh-CN"/>
                    </w:rPr>
                    <w:t>食堂油烟废气：</w:t>
                  </w:r>
                  <w:r>
                    <w:rPr>
                      <w:color w:val="auto"/>
                      <w:sz w:val="21"/>
                      <w:szCs w:val="21"/>
                    </w:rPr>
                    <w:t>经集气罩收集+</w:t>
                  </w:r>
                  <w:r>
                    <w:rPr>
                      <w:rFonts w:hint="eastAsia"/>
                      <w:color w:val="auto"/>
                      <w:sz w:val="21"/>
                      <w:szCs w:val="21"/>
                      <w:lang w:val="en-US" w:eastAsia="zh-CN"/>
                    </w:rPr>
                    <w:t>油烟净化器</w:t>
                  </w:r>
                  <w:r>
                    <w:rPr>
                      <w:color w:val="auto"/>
                      <w:sz w:val="21"/>
                      <w:szCs w:val="21"/>
                    </w:rPr>
                    <w:t>+20m排气筒（DA00</w:t>
                  </w:r>
                  <w:r>
                    <w:rPr>
                      <w:rFonts w:hint="eastAsia"/>
                      <w:color w:val="auto"/>
                      <w:sz w:val="21"/>
                      <w:szCs w:val="21"/>
                      <w:lang w:val="en-US" w:eastAsia="zh-CN"/>
                    </w:rPr>
                    <w:t>4</w:t>
                  </w:r>
                  <w:r>
                    <w:rPr>
                      <w:color w:val="auto"/>
                      <w:sz w:val="21"/>
                      <w:szCs w:val="21"/>
                    </w:rPr>
                    <w:t>）排放</w:t>
                  </w:r>
                  <w:r>
                    <w:rPr>
                      <w:rFonts w:hint="eastAsia"/>
                      <w:color w:val="auto"/>
                      <w:sz w:val="21"/>
                      <w:szCs w:val="21"/>
                      <w:lang w:eastAsia="zh-CN"/>
                    </w:rPr>
                    <w:t>。</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default" w:eastAsia="宋体"/>
                      <w:color w:val="auto"/>
                      <w:sz w:val="21"/>
                      <w:szCs w:val="21"/>
                      <w:lang w:val="en-US" w:eastAsia="zh-CN"/>
                    </w:rPr>
                  </w:pPr>
                  <w:r>
                    <w:rPr>
                      <w:rFonts w:hint="eastAsia"/>
                      <w:b/>
                      <w:bCs/>
                      <w:color w:val="auto"/>
                      <w:sz w:val="21"/>
                      <w:szCs w:val="21"/>
                      <w:lang w:val="en-US" w:eastAsia="zh-CN"/>
                    </w:rPr>
                    <w:t>3</w:t>
                  </w:r>
                  <w:r>
                    <w:rPr>
                      <w:b/>
                      <w:bCs/>
                      <w:color w:val="auto"/>
                      <w:sz w:val="21"/>
                      <w:szCs w:val="21"/>
                    </w:rPr>
                    <w:t>#生产线熔塑</w:t>
                  </w:r>
                  <w:r>
                    <w:rPr>
                      <w:rFonts w:hint="eastAsia"/>
                      <w:b/>
                      <w:bCs/>
                      <w:color w:val="auto"/>
                      <w:sz w:val="21"/>
                      <w:szCs w:val="21"/>
                      <w:lang w:eastAsia="zh-CN"/>
                    </w:rPr>
                    <w:t>、</w:t>
                  </w:r>
                  <w:r>
                    <w:rPr>
                      <w:b/>
                      <w:bCs/>
                      <w:color w:val="auto"/>
                      <w:sz w:val="21"/>
                      <w:szCs w:val="21"/>
                    </w:rPr>
                    <w:t>注塑、</w:t>
                  </w:r>
                  <w:r>
                    <w:rPr>
                      <w:rFonts w:hint="eastAsia"/>
                      <w:b/>
                      <w:bCs/>
                      <w:color w:val="auto"/>
                      <w:sz w:val="21"/>
                      <w:szCs w:val="21"/>
                      <w:lang w:val="en-US" w:eastAsia="zh-CN"/>
                    </w:rPr>
                    <w:t>吹塑</w:t>
                  </w:r>
                  <w:r>
                    <w:rPr>
                      <w:b/>
                      <w:bCs/>
                      <w:color w:val="auto"/>
                      <w:sz w:val="21"/>
                      <w:szCs w:val="21"/>
                    </w:rPr>
                    <w:t>废气：</w:t>
                  </w:r>
                  <w:r>
                    <w:rPr>
                      <w:rFonts w:hint="eastAsia"/>
                      <w:b w:val="0"/>
                      <w:bCs w:val="0"/>
                      <w:color w:val="auto"/>
                      <w:sz w:val="21"/>
                      <w:szCs w:val="21"/>
                      <w:lang w:val="en-US" w:eastAsia="zh-CN"/>
                    </w:rPr>
                    <w:t>熔塑、注塑废气</w:t>
                  </w:r>
                  <w:r>
                    <w:rPr>
                      <w:color w:val="auto"/>
                      <w:sz w:val="21"/>
                      <w:szCs w:val="21"/>
                    </w:rPr>
                    <w:t>经</w:t>
                  </w:r>
                  <w:r>
                    <w:rPr>
                      <w:rFonts w:hint="eastAsia"/>
                      <w:color w:val="auto"/>
                      <w:sz w:val="21"/>
                      <w:szCs w:val="21"/>
                      <w:lang w:val="en-US" w:eastAsia="zh-CN"/>
                    </w:rPr>
                    <w:t>催化燃烧装置处理+</w:t>
                  </w:r>
                  <w:r>
                    <w:rPr>
                      <w:color w:val="auto"/>
                      <w:sz w:val="21"/>
                      <w:szCs w:val="21"/>
                    </w:rPr>
                    <w:t>20m排气筒（DA00</w:t>
                  </w:r>
                  <w:r>
                    <w:rPr>
                      <w:rFonts w:hint="eastAsia"/>
                      <w:color w:val="auto"/>
                      <w:sz w:val="21"/>
                      <w:szCs w:val="21"/>
                      <w:lang w:val="en-US" w:eastAsia="zh-CN"/>
                    </w:rPr>
                    <w:t>5</w:t>
                  </w:r>
                  <w:r>
                    <w:rPr>
                      <w:color w:val="auto"/>
                      <w:sz w:val="21"/>
                      <w:szCs w:val="21"/>
                    </w:rPr>
                    <w:t>）高空排放</w:t>
                  </w:r>
                  <w:r>
                    <w:rPr>
                      <w:rFonts w:hint="eastAsia"/>
                      <w:color w:val="auto"/>
                      <w:sz w:val="21"/>
                      <w:szCs w:val="21"/>
                      <w:lang w:eastAsia="zh-CN"/>
                    </w:rPr>
                    <w:t>。</w:t>
                  </w:r>
                  <w:r>
                    <w:rPr>
                      <w:rFonts w:hint="eastAsia"/>
                      <w:color w:val="auto"/>
                      <w:sz w:val="21"/>
                      <w:szCs w:val="21"/>
                      <w:lang w:val="en-US" w:eastAsia="zh-CN"/>
                    </w:rPr>
                    <w:t>吹塑废气</w:t>
                  </w:r>
                  <w:r>
                    <w:rPr>
                      <w:color w:val="auto"/>
                      <w:sz w:val="21"/>
                      <w:szCs w:val="21"/>
                    </w:rPr>
                    <w:t>经</w:t>
                  </w:r>
                  <w:r>
                    <w:rPr>
                      <w:rFonts w:hint="eastAsia"/>
                      <w:color w:val="auto"/>
                      <w:sz w:val="21"/>
                      <w:szCs w:val="21"/>
                      <w:lang w:val="en-US" w:eastAsia="zh-CN"/>
                    </w:rPr>
                    <w:t>催化燃烧装置处理+</w:t>
                  </w:r>
                  <w:r>
                    <w:rPr>
                      <w:color w:val="auto"/>
                      <w:sz w:val="21"/>
                      <w:szCs w:val="21"/>
                    </w:rPr>
                    <w:t>20m排气筒（DA00</w:t>
                  </w:r>
                  <w:r>
                    <w:rPr>
                      <w:rFonts w:hint="eastAsia"/>
                      <w:color w:val="auto"/>
                      <w:sz w:val="21"/>
                      <w:szCs w:val="21"/>
                      <w:lang w:val="en-US" w:eastAsia="zh-CN"/>
                    </w:rPr>
                    <w:t>6</w:t>
                  </w:r>
                  <w:r>
                    <w:rPr>
                      <w:color w:val="auto"/>
                      <w:sz w:val="21"/>
                      <w:szCs w:val="21"/>
                    </w:rPr>
                    <w:t>）高空排放</w:t>
                  </w:r>
                  <w:r>
                    <w:rPr>
                      <w:rFonts w:hint="eastAsia"/>
                      <w:color w:val="auto"/>
                      <w:sz w:val="21"/>
                      <w:szCs w:val="21"/>
                      <w:lang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rFonts w:hint="eastAsia"/>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p>
              </w:tc>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粉尘</w:t>
                  </w:r>
                </w:p>
              </w:tc>
              <w:tc>
                <w:tcPr>
                  <w:tcW w:w="15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eastAsia="宋体"/>
                      <w:color w:val="auto"/>
                      <w:sz w:val="21"/>
                      <w:szCs w:val="21"/>
                      <w:lang w:eastAsia="zh-CN"/>
                    </w:rPr>
                  </w:pPr>
                  <w:r>
                    <w:rPr>
                      <w:color w:val="auto"/>
                      <w:spacing w:val="-2"/>
                      <w:sz w:val="21"/>
                    </w:rPr>
                    <w:t>现</w:t>
                  </w:r>
                  <w:r>
                    <w:rPr>
                      <w:rFonts w:hint="eastAsia"/>
                      <w:color w:val="auto"/>
                      <w:spacing w:val="-2"/>
                      <w:sz w:val="21"/>
                      <w:lang w:val="en-US" w:eastAsia="zh-CN"/>
                    </w:rPr>
                    <w:t>有工程瓶坯</w:t>
                  </w:r>
                  <w:r>
                    <w:rPr>
                      <w:color w:val="auto"/>
                      <w:spacing w:val="-2"/>
                      <w:sz w:val="21"/>
                    </w:rPr>
                    <w:t>不合格</w:t>
                  </w:r>
                  <w:r>
                    <w:rPr>
                      <w:rFonts w:hint="eastAsia"/>
                      <w:color w:val="auto"/>
                      <w:spacing w:val="-2"/>
                      <w:sz w:val="21"/>
                      <w:lang w:val="en-US" w:eastAsia="zh-CN"/>
                    </w:rPr>
                    <w:t>品</w:t>
                  </w:r>
                  <w:r>
                    <w:rPr>
                      <w:color w:val="auto"/>
                      <w:spacing w:val="-2"/>
                      <w:sz w:val="21"/>
                    </w:rPr>
                    <w:t>经厂区集中收集后外售，故不产生破碎</w:t>
                  </w:r>
                  <w:r>
                    <w:rPr>
                      <w:color w:val="auto"/>
                      <w:spacing w:val="-6"/>
                      <w:sz w:val="21"/>
                    </w:rPr>
                    <w:t>粉尘</w:t>
                  </w:r>
                  <w:r>
                    <w:rPr>
                      <w:rFonts w:hint="eastAsia"/>
                      <w:color w:val="auto"/>
                      <w:spacing w:val="-6"/>
                      <w:sz w:val="21"/>
                      <w:lang w:eastAsia="zh-CN"/>
                    </w:rPr>
                    <w:t>。</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color w:val="auto"/>
                      <w:sz w:val="21"/>
                      <w:szCs w:val="21"/>
                    </w:rPr>
                  </w:pPr>
                  <w:r>
                    <w:rPr>
                      <w:rFonts w:hint="eastAsia"/>
                      <w:color w:val="auto"/>
                      <w:spacing w:val="-2"/>
                      <w:sz w:val="21"/>
                      <w:lang w:val="en-US" w:eastAsia="zh-CN"/>
                    </w:rPr>
                    <w:t>本项目瓶坯</w:t>
                  </w:r>
                  <w:r>
                    <w:rPr>
                      <w:color w:val="auto"/>
                      <w:spacing w:val="-2"/>
                      <w:sz w:val="21"/>
                    </w:rPr>
                    <w:t>不合格</w:t>
                  </w:r>
                  <w:r>
                    <w:rPr>
                      <w:rFonts w:hint="eastAsia"/>
                      <w:color w:val="auto"/>
                      <w:spacing w:val="-2"/>
                      <w:sz w:val="21"/>
                      <w:lang w:val="en-US" w:eastAsia="zh-CN"/>
                    </w:rPr>
                    <w:t>品</w:t>
                  </w:r>
                  <w:r>
                    <w:rPr>
                      <w:color w:val="auto"/>
                      <w:spacing w:val="-2"/>
                      <w:sz w:val="21"/>
                    </w:rPr>
                    <w:t>经厂区集中收集后外售，故不产生破碎</w:t>
                  </w:r>
                  <w:r>
                    <w:rPr>
                      <w:color w:val="auto"/>
                      <w:spacing w:val="-6"/>
                      <w:sz w:val="21"/>
                    </w:rPr>
                    <w:t>粉尘</w:t>
                  </w:r>
                  <w:r>
                    <w:rPr>
                      <w:rFonts w:hint="eastAsia"/>
                      <w:color w:val="auto"/>
                      <w:spacing w:val="-6"/>
                      <w:sz w:val="21"/>
                      <w:lang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000000"/>
                      <w:sz w:val="21"/>
                      <w:szCs w:val="21"/>
                      <w:lang w:val="en-US" w:eastAsia="zh-CN"/>
                    </w:rPr>
                  </w:pPr>
                  <w:r>
                    <w:rPr>
                      <w:rFonts w:hint="eastAsia"/>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p>
              </w:tc>
              <w:tc>
                <w:tcPr>
                  <w:tcW w:w="5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1"/>
                      <w:szCs w:val="21"/>
                    </w:rPr>
                  </w:pP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食堂油烟</w:t>
                  </w:r>
                </w:p>
              </w:tc>
              <w:tc>
                <w:tcPr>
                  <w:tcW w:w="1551"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eastAsia="宋体"/>
                      <w:color w:val="auto"/>
                      <w:sz w:val="21"/>
                      <w:szCs w:val="21"/>
                      <w:lang w:eastAsia="zh-CN"/>
                    </w:rPr>
                  </w:pPr>
                  <w:r>
                    <w:rPr>
                      <w:rFonts w:hint="eastAsia"/>
                      <w:color w:val="auto"/>
                      <w:spacing w:val="-2"/>
                      <w:sz w:val="21"/>
                      <w:lang w:val="en-US" w:eastAsia="zh-CN"/>
                    </w:rPr>
                    <w:t>由集气罩收集，</w:t>
                  </w:r>
                  <w:r>
                    <w:rPr>
                      <w:color w:val="auto"/>
                      <w:spacing w:val="-2"/>
                      <w:sz w:val="21"/>
                    </w:rPr>
                    <w:t>经油烟净化设施处</w:t>
                  </w:r>
                  <w:r>
                    <w:rPr>
                      <w:color w:val="auto"/>
                      <w:spacing w:val="-4"/>
                      <w:sz w:val="21"/>
                    </w:rPr>
                    <w:t>理后排放</w:t>
                  </w:r>
                  <w:r>
                    <w:rPr>
                      <w:rFonts w:hint="eastAsia"/>
                      <w:color w:val="auto"/>
                      <w:spacing w:val="-4"/>
                      <w:sz w:val="21"/>
                      <w:lang w:eastAsia="zh-CN"/>
                    </w:rPr>
                    <w:t>。</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color w:val="000000"/>
                      <w:sz w:val="21"/>
                      <w:szCs w:val="21"/>
                      <w:lang w:val="en-US" w:eastAsia="zh-CN"/>
                    </w:rPr>
                  </w:pPr>
                  <w:r>
                    <w:rPr>
                      <w:rFonts w:hint="eastAsia"/>
                      <w:color w:val="000000"/>
                      <w:sz w:val="21"/>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r>
                    <w:rPr>
                      <w:color w:val="auto"/>
                      <w:sz w:val="21"/>
                      <w:szCs w:val="21"/>
                    </w:rPr>
                    <w:t>噪声</w:t>
                  </w:r>
                </w:p>
                <w:p>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r>
                    <w:rPr>
                      <w:color w:val="auto"/>
                      <w:sz w:val="21"/>
                      <w:szCs w:val="21"/>
                    </w:rPr>
                    <w:t>治理</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eastAsia" w:eastAsia="宋体"/>
                      <w:color w:val="auto"/>
                      <w:szCs w:val="21"/>
                      <w:lang w:eastAsia="zh-CN"/>
                    </w:rPr>
                  </w:pPr>
                  <w:r>
                    <w:rPr>
                      <w:rFonts w:hint="eastAsia"/>
                      <w:color w:val="auto"/>
                      <w:sz w:val="21"/>
                      <w:szCs w:val="21"/>
                      <w:lang w:val="en-US" w:eastAsia="zh-CN"/>
                    </w:rPr>
                    <w:t>现有工程</w:t>
                  </w:r>
                  <w:r>
                    <w:rPr>
                      <w:color w:val="auto"/>
                      <w:sz w:val="21"/>
                      <w:szCs w:val="21"/>
                    </w:rPr>
                    <w:t>配备低噪声设备，对配备的设备合理布局，采取基础减振、隔声、距离衰减等措施降低噪声影响</w:t>
                  </w:r>
                  <w:r>
                    <w:rPr>
                      <w:rFonts w:hint="eastAsia"/>
                      <w:color w:val="auto"/>
                      <w:sz w:val="21"/>
                      <w:szCs w:val="21"/>
                      <w:lang w:eastAsia="zh-CN"/>
                    </w:rPr>
                    <w:t>。</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r>
                    <w:rPr>
                      <w:color w:val="auto"/>
                      <w:sz w:val="21"/>
                      <w:szCs w:val="21"/>
                    </w:rPr>
                    <w:t>产噪设备分别采取消声、</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auto"/>
                      <w:sz w:val="21"/>
                      <w:szCs w:val="21"/>
                      <w:lang w:eastAsia="zh-CN"/>
                    </w:rPr>
                  </w:pPr>
                  <w:r>
                    <w:rPr>
                      <w:color w:val="auto"/>
                      <w:sz w:val="21"/>
                      <w:szCs w:val="21"/>
                    </w:rPr>
                    <w:t>减振、隔声等措施</w:t>
                  </w:r>
                  <w:r>
                    <w:rPr>
                      <w:rFonts w:hint="eastAsia"/>
                      <w:color w:val="auto"/>
                      <w:sz w:val="21"/>
                      <w:szCs w:val="21"/>
                      <w:lang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sz w:val="21"/>
                      <w:szCs w:val="21"/>
                    </w:rPr>
                  </w:pPr>
                  <w:r>
                    <w:rPr>
                      <w:rFonts w:hint="eastAsia"/>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eastAsia"/>
                      <w:color w:val="auto"/>
                      <w:sz w:val="21"/>
                      <w:szCs w:val="21"/>
                    </w:rPr>
                    <w:t>绿化</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eastAsia"/>
                      <w:color w:val="auto"/>
                      <w:sz w:val="21"/>
                      <w:szCs w:val="21"/>
                    </w:rPr>
                    <w:t>种植各类绿色植物和景观绿化。</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auto"/>
                      <w:sz w:val="21"/>
                      <w:szCs w:val="21"/>
                    </w:rPr>
                  </w:pPr>
                  <w:r>
                    <w:rPr>
                      <w:rFonts w:hint="eastAsia"/>
                      <w:color w:val="auto"/>
                      <w:sz w:val="21"/>
                      <w:szCs w:val="21"/>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color w:val="000000"/>
                      <w:sz w:val="21"/>
                      <w:szCs w:val="21"/>
                    </w:rPr>
                  </w:pPr>
                  <w:r>
                    <w:rPr>
                      <w:rFonts w:hint="eastAsia"/>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1" w:hRule="atLeast"/>
                <w:jc w:val="center"/>
              </w:trPr>
              <w:tc>
                <w:tcPr>
                  <w:tcW w:w="26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r>
                    <w:rPr>
                      <w:color w:val="auto"/>
                      <w:sz w:val="21"/>
                      <w:szCs w:val="21"/>
                    </w:rPr>
                    <w:t>固废</w:t>
                  </w:r>
                </w:p>
                <w:p>
                  <w:pPr>
                    <w:keepNext w:val="0"/>
                    <w:keepLines w:val="0"/>
                    <w:pageBreakBefore w:val="0"/>
                    <w:widowControl w:val="0"/>
                    <w:kinsoku/>
                    <w:wordWrap/>
                    <w:overflowPunct/>
                    <w:topLinePunct w:val="0"/>
                    <w:bidi w:val="0"/>
                    <w:adjustRightInd w:val="0"/>
                    <w:snapToGrid w:val="0"/>
                    <w:spacing w:line="240" w:lineRule="auto"/>
                    <w:jc w:val="center"/>
                    <w:textAlignment w:val="auto"/>
                    <w:rPr>
                      <w:color w:val="auto"/>
                      <w:sz w:val="21"/>
                      <w:szCs w:val="21"/>
                    </w:rPr>
                  </w:pPr>
                  <w:r>
                    <w:rPr>
                      <w:color w:val="auto"/>
                      <w:sz w:val="21"/>
                      <w:szCs w:val="21"/>
                    </w:rPr>
                    <w:t>治理</w:t>
                  </w:r>
                </w:p>
              </w:tc>
              <w:tc>
                <w:tcPr>
                  <w:tcW w:w="1943" w:type="pct"/>
                  <w:gridSpan w:val="2"/>
                  <w:tcBorders>
                    <w:tl2br w:val="nil"/>
                    <w:tr2bl w:val="nil"/>
                  </w:tcBorders>
                  <w:noWrap w:val="0"/>
                  <w:vAlign w:val="top"/>
                </w:tcPr>
                <w:p>
                  <w:pPr>
                    <w:keepNext w:val="0"/>
                    <w:keepLines w:val="0"/>
                    <w:pageBreakBefore w:val="0"/>
                    <w:widowControl w:val="0"/>
                    <w:kinsoku/>
                    <w:wordWrap/>
                    <w:overflowPunct/>
                    <w:topLinePunct w:val="0"/>
                    <w:bidi w:val="0"/>
                    <w:adjustRightInd w:val="0"/>
                    <w:snapToGrid w:val="0"/>
                    <w:spacing w:line="240" w:lineRule="auto"/>
                    <w:textAlignment w:val="auto"/>
                    <w:rPr>
                      <w:color w:val="auto"/>
                      <w:sz w:val="21"/>
                      <w:szCs w:val="21"/>
                    </w:rPr>
                  </w:pPr>
                  <w:r>
                    <w:rPr>
                      <w:b/>
                      <w:bCs/>
                      <w:color w:val="auto"/>
                      <w:sz w:val="21"/>
                      <w:szCs w:val="21"/>
                    </w:rPr>
                    <w:t>一般工业固体废物</w:t>
                  </w:r>
                  <w:r>
                    <w:rPr>
                      <w:color w:val="auto"/>
                      <w:sz w:val="21"/>
                      <w:szCs w:val="21"/>
                    </w:rPr>
                    <w:t>：</w:t>
                  </w:r>
                  <w:r>
                    <w:rPr>
                      <w:rFonts w:hint="eastAsia"/>
                      <w:color w:val="auto"/>
                      <w:sz w:val="21"/>
                      <w:szCs w:val="21"/>
                    </w:rPr>
                    <w:t>项目</w:t>
                  </w:r>
                  <w:r>
                    <w:rPr>
                      <w:rFonts w:hint="eastAsia"/>
                      <w:color w:val="auto"/>
                      <w:sz w:val="21"/>
                      <w:szCs w:val="21"/>
                      <w:lang w:val="en-US" w:eastAsia="zh-CN"/>
                    </w:rPr>
                    <w:t>库房内</w:t>
                  </w:r>
                  <w:r>
                    <w:rPr>
                      <w:rFonts w:hint="eastAsia"/>
                      <w:color w:val="auto"/>
                      <w:sz w:val="21"/>
                      <w:szCs w:val="21"/>
                    </w:rPr>
                    <w:t>设置一间占地面积约</w:t>
                  </w:r>
                  <w:r>
                    <w:rPr>
                      <w:rFonts w:hint="eastAsia"/>
                      <w:color w:val="auto"/>
                      <w:sz w:val="21"/>
                      <w:szCs w:val="21"/>
                      <w:lang w:val="en-US" w:eastAsia="zh-CN"/>
                    </w:rPr>
                    <w:t>5</w:t>
                  </w:r>
                  <w:r>
                    <w:rPr>
                      <w:rFonts w:hint="eastAsia"/>
                      <w:color w:val="auto"/>
                      <w:sz w:val="21"/>
                      <w:szCs w:val="21"/>
                    </w:rPr>
                    <w:t>0m</w:t>
                  </w:r>
                  <w:r>
                    <w:rPr>
                      <w:rFonts w:hint="eastAsia"/>
                      <w:color w:val="auto"/>
                      <w:sz w:val="21"/>
                      <w:szCs w:val="21"/>
                      <w:vertAlign w:val="superscript"/>
                    </w:rPr>
                    <w:t>2</w:t>
                  </w:r>
                  <w:r>
                    <w:rPr>
                      <w:rFonts w:hint="eastAsia"/>
                      <w:color w:val="auto"/>
                      <w:sz w:val="21"/>
                      <w:szCs w:val="21"/>
                    </w:rPr>
                    <w:t>的一般固废暂存间。废包装材料</w:t>
                  </w:r>
                  <w:r>
                    <w:rPr>
                      <w:rFonts w:hint="eastAsia"/>
                      <w:color w:val="auto"/>
                      <w:sz w:val="21"/>
                      <w:szCs w:val="21"/>
                      <w:lang w:eastAsia="zh-CN"/>
                    </w:rPr>
                    <w:t>、</w:t>
                  </w:r>
                  <w:r>
                    <w:rPr>
                      <w:rFonts w:hint="eastAsia"/>
                      <w:color w:val="auto"/>
                      <w:sz w:val="21"/>
                      <w:szCs w:val="21"/>
                      <w:lang w:val="en-US" w:eastAsia="zh-CN"/>
                    </w:rPr>
                    <w:t>不合格品、化学品库废物、</w:t>
                  </w:r>
                  <w:r>
                    <w:rPr>
                      <w:rFonts w:hint="eastAsia"/>
                      <w:color w:val="auto"/>
                      <w:sz w:val="21"/>
                      <w:szCs w:val="21"/>
                    </w:rPr>
                    <w:t>收集后储存于一般固废暂存间，定期外售综合利用；</w:t>
                  </w:r>
                  <w:r>
                    <w:rPr>
                      <w:color w:val="auto"/>
                      <w:sz w:val="21"/>
                      <w:szCs w:val="21"/>
                    </w:rPr>
                    <w:t>水处理生产线更换产生的废过滤器</w:t>
                  </w:r>
                  <w:r>
                    <w:rPr>
                      <w:rFonts w:hint="eastAsia"/>
                      <w:color w:val="auto"/>
                      <w:sz w:val="21"/>
                      <w:szCs w:val="21"/>
                      <w:lang w:eastAsia="zh-CN"/>
                    </w:rPr>
                    <w:t>、</w:t>
                  </w:r>
                  <w:r>
                    <w:rPr>
                      <w:rFonts w:hint="eastAsia"/>
                      <w:color w:val="auto"/>
                      <w:sz w:val="21"/>
                      <w:szCs w:val="21"/>
                      <w:lang w:val="en-US" w:eastAsia="zh-CN"/>
                    </w:rPr>
                    <w:t>废活性炭、废反渗透膜暂存后</w:t>
                  </w:r>
                  <w:r>
                    <w:rPr>
                      <w:color w:val="auto"/>
                      <w:sz w:val="21"/>
                      <w:szCs w:val="21"/>
                    </w:rPr>
                    <w:t>由供应厂家进行回收。</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color w:val="auto"/>
                      <w:sz w:val="21"/>
                      <w:szCs w:val="21"/>
                      <w:lang w:eastAsia="zh-CN"/>
                    </w:rPr>
                  </w:pPr>
                  <w:r>
                    <w:rPr>
                      <w:b/>
                      <w:bCs/>
                      <w:color w:val="auto"/>
                      <w:sz w:val="21"/>
                      <w:szCs w:val="21"/>
                    </w:rPr>
                    <w:t>危险废物：</w:t>
                  </w:r>
                  <w:r>
                    <w:rPr>
                      <w:rFonts w:hint="eastAsia"/>
                      <w:color w:val="auto"/>
                      <w:sz w:val="21"/>
                      <w:szCs w:val="21"/>
                    </w:rPr>
                    <w:t>项目设置一间占地面积约</w:t>
                  </w:r>
                  <w:r>
                    <w:rPr>
                      <w:rFonts w:hint="eastAsia"/>
                      <w:color w:val="auto"/>
                      <w:sz w:val="21"/>
                      <w:szCs w:val="21"/>
                      <w:lang w:val="en-US" w:eastAsia="zh-CN"/>
                    </w:rPr>
                    <w:t>5</w:t>
                  </w:r>
                  <w:r>
                    <w:rPr>
                      <w:rFonts w:hint="eastAsia"/>
                      <w:color w:val="auto"/>
                      <w:sz w:val="21"/>
                      <w:szCs w:val="21"/>
                    </w:rPr>
                    <w:t>0m</w:t>
                  </w:r>
                  <w:r>
                    <w:rPr>
                      <w:rFonts w:hint="eastAsia"/>
                      <w:color w:val="auto"/>
                      <w:sz w:val="21"/>
                      <w:szCs w:val="21"/>
                      <w:vertAlign w:val="superscript"/>
                    </w:rPr>
                    <w:t>2</w:t>
                  </w:r>
                  <w:r>
                    <w:rPr>
                      <w:rFonts w:hint="eastAsia"/>
                      <w:color w:val="auto"/>
                      <w:sz w:val="21"/>
                      <w:szCs w:val="21"/>
                    </w:rPr>
                    <w:t>的危废暂存间，用以</w:t>
                  </w:r>
                  <w:r>
                    <w:rPr>
                      <w:rFonts w:hint="eastAsia"/>
                      <w:color w:val="auto"/>
                      <w:sz w:val="21"/>
                      <w:szCs w:val="21"/>
                      <w:lang w:val="en-US" w:eastAsia="zh-CN"/>
                    </w:rPr>
                    <w:t>暂</w:t>
                  </w:r>
                  <w:r>
                    <w:rPr>
                      <w:rFonts w:hint="eastAsia"/>
                      <w:color w:val="auto"/>
                      <w:sz w:val="21"/>
                      <w:szCs w:val="21"/>
                    </w:rPr>
                    <w:t>存</w:t>
                  </w:r>
                  <w:r>
                    <w:rPr>
                      <w:rFonts w:hint="eastAsia"/>
                      <w:color w:val="auto"/>
                      <w:sz w:val="21"/>
                      <w:szCs w:val="21"/>
                      <w:lang w:val="en-US" w:eastAsia="zh-CN"/>
                    </w:rPr>
                    <w:t>检验</w:t>
                  </w:r>
                  <w:r>
                    <w:rPr>
                      <w:color w:val="auto"/>
                      <w:spacing w:val="-2"/>
                      <w:sz w:val="21"/>
                    </w:rPr>
                    <w:t>室废液、废试剂瓶</w:t>
                  </w:r>
                  <w:r>
                    <w:rPr>
                      <w:rFonts w:hint="eastAsia"/>
                      <w:color w:val="auto"/>
                      <w:spacing w:val="-2"/>
                      <w:sz w:val="21"/>
                      <w:lang w:eastAsia="zh-CN"/>
                    </w:rPr>
                    <w:t>、</w:t>
                  </w:r>
                  <w:r>
                    <w:rPr>
                      <w:color w:val="auto"/>
                      <w:spacing w:val="-2"/>
                      <w:sz w:val="21"/>
                    </w:rPr>
                    <w:t>废矿物油桶</w:t>
                  </w:r>
                  <w:r>
                    <w:rPr>
                      <w:rFonts w:hint="eastAsia"/>
                      <w:color w:val="auto"/>
                      <w:spacing w:val="-2"/>
                      <w:sz w:val="21"/>
                      <w:lang w:eastAsia="zh-CN"/>
                    </w:rPr>
                    <w:t>、</w:t>
                  </w:r>
                  <w:r>
                    <w:rPr>
                      <w:rFonts w:hint="eastAsia"/>
                      <w:color w:val="auto"/>
                      <w:spacing w:val="-2"/>
                      <w:sz w:val="21"/>
                      <w:lang w:val="en-US" w:eastAsia="zh-CN"/>
                    </w:rPr>
                    <w:t>废叉车电池</w:t>
                  </w:r>
                  <w:r>
                    <w:rPr>
                      <w:rFonts w:hint="eastAsia"/>
                      <w:color w:val="auto"/>
                      <w:sz w:val="21"/>
                      <w:szCs w:val="21"/>
                    </w:rPr>
                    <w:t>，</w:t>
                  </w:r>
                  <w:r>
                    <w:rPr>
                      <w:color w:val="auto"/>
                      <w:sz w:val="21"/>
                      <w:szCs w:val="21"/>
                    </w:rPr>
                    <w:t>废气治理措施产生的废活性炭</w:t>
                  </w:r>
                  <w:r>
                    <w:rPr>
                      <w:rFonts w:hint="eastAsia"/>
                      <w:color w:val="auto"/>
                      <w:sz w:val="21"/>
                      <w:szCs w:val="21"/>
                      <w:lang w:eastAsia="zh-CN"/>
                    </w:rPr>
                    <w:t>、</w:t>
                  </w:r>
                  <w:r>
                    <w:rPr>
                      <w:rFonts w:hint="eastAsia"/>
                      <w:color w:val="auto"/>
                      <w:sz w:val="21"/>
                      <w:szCs w:val="21"/>
                      <w:lang w:val="en-US" w:eastAsia="zh-CN"/>
                    </w:rPr>
                    <w:t>废过滤棉</w:t>
                  </w:r>
                  <w:r>
                    <w:rPr>
                      <w:color w:val="auto"/>
                      <w:sz w:val="21"/>
                      <w:szCs w:val="21"/>
                    </w:rPr>
                    <w:t>以及生产过程中产生的废油墨</w:t>
                  </w:r>
                  <w:r>
                    <w:rPr>
                      <w:rFonts w:hint="eastAsia"/>
                      <w:color w:val="auto"/>
                      <w:sz w:val="21"/>
                      <w:szCs w:val="21"/>
                      <w:lang w:val="en-US" w:eastAsia="zh-CN"/>
                    </w:rPr>
                    <w:t>瓶</w:t>
                  </w:r>
                  <w:r>
                    <w:rPr>
                      <w:color w:val="auto"/>
                      <w:sz w:val="21"/>
                      <w:szCs w:val="21"/>
                    </w:rPr>
                    <w:t>和设备保养后所产生的废矿物油（废机油、废液压油）</w:t>
                  </w:r>
                  <w:r>
                    <w:rPr>
                      <w:rFonts w:hint="eastAsia"/>
                      <w:color w:val="auto"/>
                      <w:sz w:val="21"/>
                      <w:szCs w:val="21"/>
                      <w:lang w:eastAsia="zh-CN"/>
                    </w:rPr>
                    <w:t>，</w:t>
                  </w:r>
                  <w:r>
                    <w:rPr>
                      <w:rFonts w:hint="eastAsia"/>
                      <w:color w:val="auto"/>
                      <w:sz w:val="21"/>
                      <w:szCs w:val="21"/>
                      <w:lang w:val="en-US" w:eastAsia="zh-CN"/>
                    </w:rPr>
                    <w:t>厂区美化产生的废油漆桶等废弃包装物，</w:t>
                  </w:r>
                  <w:r>
                    <w:rPr>
                      <w:rFonts w:hint="eastAsia"/>
                      <w:color w:val="auto"/>
                      <w:sz w:val="21"/>
                      <w:szCs w:val="21"/>
                    </w:rPr>
                    <w:t>定期交由有资质的单位处理</w:t>
                  </w:r>
                  <w:r>
                    <w:rPr>
                      <w:rFonts w:hint="eastAsia"/>
                      <w:color w:val="auto"/>
                      <w:sz w:val="21"/>
                      <w:szCs w:val="21"/>
                      <w:lang w:eastAsia="zh-CN"/>
                    </w:rPr>
                    <w:t>。</w:t>
                  </w:r>
                </w:p>
                <w:p>
                  <w:pPr>
                    <w:keepNext w:val="0"/>
                    <w:keepLines w:val="0"/>
                    <w:pageBreakBefore w:val="0"/>
                    <w:widowControl w:val="0"/>
                    <w:kinsoku/>
                    <w:wordWrap/>
                    <w:overflowPunct/>
                    <w:topLinePunct w:val="0"/>
                    <w:bidi w:val="0"/>
                    <w:adjustRightInd w:val="0"/>
                    <w:snapToGrid w:val="0"/>
                    <w:spacing w:line="240" w:lineRule="auto"/>
                    <w:textAlignment w:val="auto"/>
                    <w:rPr>
                      <w:rFonts w:hint="default"/>
                      <w:color w:val="auto"/>
                      <w:szCs w:val="21"/>
                      <w:lang w:val="en-US" w:eastAsia="zh-CN"/>
                    </w:rPr>
                  </w:pPr>
                  <w:r>
                    <w:rPr>
                      <w:rFonts w:hint="eastAsia"/>
                      <w:b/>
                      <w:bCs/>
                      <w:color w:val="auto"/>
                      <w:sz w:val="21"/>
                      <w:szCs w:val="21"/>
                      <w:lang w:val="en-US" w:eastAsia="zh-CN"/>
                    </w:rPr>
                    <w:t>生活垃圾：</w:t>
                  </w:r>
                  <w:r>
                    <w:rPr>
                      <w:rFonts w:hint="eastAsia"/>
                      <w:b w:val="0"/>
                      <w:bCs w:val="0"/>
                      <w:color w:val="auto"/>
                      <w:sz w:val="21"/>
                      <w:szCs w:val="21"/>
                      <w:lang w:val="en-US" w:eastAsia="zh-CN"/>
                    </w:rPr>
                    <w:t>生活垃圾和餐厨垃圾分类存放，</w:t>
                  </w:r>
                  <w:r>
                    <w:rPr>
                      <w:rFonts w:hint="eastAsia"/>
                      <w:color w:val="auto"/>
                      <w:sz w:val="21"/>
                      <w:szCs w:val="21"/>
                    </w:rPr>
                    <w:t>收集后由环卫部门清运</w:t>
                  </w:r>
                  <w:r>
                    <w:rPr>
                      <w:rFonts w:hint="eastAsia"/>
                      <w:color w:val="auto"/>
                      <w:sz w:val="21"/>
                      <w:szCs w:val="21"/>
                      <w:lang w:eastAsia="zh-CN"/>
                    </w:rPr>
                    <w:t>。</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eastAsia" w:eastAsia="宋体"/>
                      <w:color w:val="auto"/>
                      <w:sz w:val="21"/>
                      <w:szCs w:val="21"/>
                      <w:lang w:eastAsia="zh-CN"/>
                    </w:rPr>
                  </w:pPr>
                  <w:r>
                    <w:rPr>
                      <w:b/>
                      <w:color w:val="auto"/>
                      <w:sz w:val="21"/>
                      <w:szCs w:val="21"/>
                    </w:rPr>
                    <w:t>一般工业固体废物</w:t>
                  </w:r>
                  <w:r>
                    <w:rPr>
                      <w:color w:val="auto"/>
                      <w:sz w:val="21"/>
                      <w:szCs w:val="21"/>
                    </w:rPr>
                    <w:t>：</w:t>
                  </w:r>
                  <w:r>
                    <w:rPr>
                      <w:rFonts w:hint="eastAsia"/>
                      <w:color w:val="auto"/>
                      <w:sz w:val="21"/>
                      <w:szCs w:val="21"/>
                      <w:lang w:val="en-US" w:eastAsia="zh-CN"/>
                    </w:rPr>
                    <w:t>依托现有</w:t>
                  </w:r>
                  <w:r>
                    <w:rPr>
                      <w:rFonts w:hint="eastAsia"/>
                      <w:color w:val="auto"/>
                      <w:sz w:val="21"/>
                      <w:szCs w:val="21"/>
                    </w:rPr>
                    <w:t>一般固废暂存间。废包装材料</w:t>
                  </w:r>
                  <w:r>
                    <w:rPr>
                      <w:rFonts w:hint="eastAsia"/>
                      <w:color w:val="auto"/>
                      <w:sz w:val="21"/>
                      <w:szCs w:val="21"/>
                      <w:lang w:eastAsia="zh-CN"/>
                    </w:rPr>
                    <w:t>、</w:t>
                  </w:r>
                  <w:r>
                    <w:rPr>
                      <w:rFonts w:hint="eastAsia"/>
                      <w:color w:val="auto"/>
                      <w:sz w:val="21"/>
                      <w:szCs w:val="21"/>
                      <w:lang w:val="en-US" w:eastAsia="zh-CN"/>
                    </w:rPr>
                    <w:t>不合格品、化学品库废物</w:t>
                  </w:r>
                  <w:r>
                    <w:rPr>
                      <w:rFonts w:hint="eastAsia"/>
                      <w:color w:val="auto"/>
                      <w:sz w:val="21"/>
                      <w:szCs w:val="21"/>
                    </w:rPr>
                    <w:t>收集后储存于一般固废暂存间，定期外售综合利用；</w:t>
                  </w:r>
                  <w:r>
                    <w:rPr>
                      <w:color w:val="auto"/>
                      <w:sz w:val="21"/>
                      <w:szCs w:val="21"/>
                    </w:rPr>
                    <w:t>水处理生产线更换产生的废过滤器</w:t>
                  </w:r>
                  <w:r>
                    <w:rPr>
                      <w:rFonts w:hint="eastAsia"/>
                      <w:color w:val="auto"/>
                      <w:sz w:val="21"/>
                      <w:szCs w:val="21"/>
                      <w:lang w:eastAsia="zh-CN"/>
                    </w:rPr>
                    <w:t>、</w:t>
                  </w:r>
                  <w:r>
                    <w:rPr>
                      <w:rFonts w:hint="eastAsia"/>
                      <w:color w:val="auto"/>
                      <w:sz w:val="21"/>
                      <w:szCs w:val="21"/>
                      <w:lang w:val="en-US" w:eastAsia="zh-CN"/>
                    </w:rPr>
                    <w:t>废活性炭、废反渗透膜暂存后</w:t>
                  </w:r>
                  <w:r>
                    <w:rPr>
                      <w:color w:val="auto"/>
                      <w:sz w:val="21"/>
                      <w:szCs w:val="21"/>
                    </w:rPr>
                    <w:t>由供应厂家进行回收。</w:t>
                  </w:r>
                </w:p>
                <w:p>
                  <w:pPr>
                    <w:keepNext w:val="0"/>
                    <w:keepLines w:val="0"/>
                    <w:pageBreakBefore w:val="0"/>
                    <w:widowControl w:val="0"/>
                    <w:kinsoku/>
                    <w:wordWrap/>
                    <w:overflowPunct/>
                    <w:topLinePunct w:val="0"/>
                    <w:bidi w:val="0"/>
                    <w:adjustRightInd w:val="0"/>
                    <w:snapToGrid w:val="0"/>
                    <w:spacing w:line="240" w:lineRule="auto"/>
                    <w:textAlignment w:val="auto"/>
                    <w:rPr>
                      <w:rFonts w:hint="eastAsia"/>
                      <w:color w:val="auto"/>
                      <w:sz w:val="21"/>
                      <w:szCs w:val="21"/>
                      <w:lang w:eastAsia="zh-CN"/>
                    </w:rPr>
                  </w:pPr>
                  <w:r>
                    <w:rPr>
                      <w:b/>
                      <w:color w:val="auto"/>
                      <w:sz w:val="21"/>
                      <w:szCs w:val="21"/>
                    </w:rPr>
                    <w:t>危险废物：</w:t>
                  </w:r>
                  <w:r>
                    <w:rPr>
                      <w:rFonts w:hint="eastAsia"/>
                      <w:b w:val="0"/>
                      <w:bCs/>
                      <w:color w:val="auto"/>
                      <w:sz w:val="21"/>
                      <w:szCs w:val="21"/>
                      <w:lang w:val="en-US" w:eastAsia="zh-CN"/>
                    </w:rPr>
                    <w:t>依托现有</w:t>
                  </w:r>
                  <w:r>
                    <w:rPr>
                      <w:rFonts w:hint="eastAsia"/>
                      <w:color w:val="auto"/>
                      <w:sz w:val="21"/>
                      <w:szCs w:val="21"/>
                    </w:rPr>
                    <w:t>危废暂存间，用以</w:t>
                  </w:r>
                  <w:r>
                    <w:rPr>
                      <w:rFonts w:hint="eastAsia"/>
                      <w:color w:val="auto"/>
                      <w:sz w:val="21"/>
                      <w:szCs w:val="21"/>
                      <w:lang w:val="en-US" w:eastAsia="zh-CN"/>
                    </w:rPr>
                    <w:t>暂</w:t>
                  </w:r>
                  <w:r>
                    <w:rPr>
                      <w:rFonts w:hint="eastAsia"/>
                      <w:color w:val="auto"/>
                      <w:sz w:val="21"/>
                      <w:szCs w:val="21"/>
                    </w:rPr>
                    <w:t>存</w:t>
                  </w:r>
                  <w:r>
                    <w:rPr>
                      <w:color w:val="auto"/>
                      <w:sz w:val="21"/>
                      <w:szCs w:val="21"/>
                    </w:rPr>
                    <w:t>设备保养后所产生的废矿物油（废机油、废液压油）</w:t>
                  </w:r>
                  <w:r>
                    <w:rPr>
                      <w:rFonts w:hint="eastAsia"/>
                      <w:color w:val="auto"/>
                      <w:sz w:val="21"/>
                      <w:szCs w:val="21"/>
                      <w:lang w:eastAsia="zh-CN"/>
                    </w:rPr>
                    <w:t>，</w:t>
                  </w:r>
                  <w:r>
                    <w:rPr>
                      <w:color w:val="auto"/>
                      <w:spacing w:val="-2"/>
                      <w:sz w:val="21"/>
                    </w:rPr>
                    <w:t>废矿物油桶</w:t>
                  </w:r>
                  <w:r>
                    <w:rPr>
                      <w:rFonts w:hint="eastAsia"/>
                      <w:color w:val="auto"/>
                      <w:sz w:val="21"/>
                      <w:szCs w:val="21"/>
                    </w:rPr>
                    <w:t>，</w:t>
                  </w:r>
                  <w:r>
                    <w:rPr>
                      <w:rFonts w:hint="eastAsia"/>
                      <w:color w:val="auto"/>
                      <w:sz w:val="21"/>
                      <w:szCs w:val="21"/>
                      <w:lang w:val="en-US" w:eastAsia="zh-CN"/>
                    </w:rPr>
                    <w:t>废油墨瓶等废弃包装物，</w:t>
                  </w:r>
                  <w:r>
                    <w:rPr>
                      <w:rFonts w:hint="eastAsia"/>
                      <w:color w:val="auto"/>
                      <w:sz w:val="21"/>
                      <w:szCs w:val="21"/>
                    </w:rPr>
                    <w:t>定期交由有资质的单位处理</w:t>
                  </w:r>
                  <w:r>
                    <w:rPr>
                      <w:rFonts w:hint="eastAsia"/>
                      <w:color w:val="auto"/>
                      <w:sz w:val="21"/>
                      <w:szCs w:val="21"/>
                      <w:lang w:eastAsia="zh-CN"/>
                    </w:rPr>
                    <w:t>。</w:t>
                  </w:r>
                </w:p>
                <w:p>
                  <w:pPr>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color w:val="auto"/>
                      <w:sz w:val="21"/>
                      <w:szCs w:val="21"/>
                      <w:lang w:eastAsia="zh-CN"/>
                    </w:rPr>
                  </w:pPr>
                  <w:r>
                    <w:rPr>
                      <w:rFonts w:hint="eastAsia"/>
                      <w:b/>
                      <w:bCs/>
                      <w:color w:val="auto"/>
                      <w:sz w:val="21"/>
                      <w:szCs w:val="21"/>
                      <w:lang w:val="en-US" w:eastAsia="zh-CN"/>
                    </w:rPr>
                    <w:t>生活垃圾：</w:t>
                  </w:r>
                  <w:r>
                    <w:rPr>
                      <w:rFonts w:hint="eastAsia"/>
                      <w:b w:val="0"/>
                      <w:bCs w:val="0"/>
                      <w:color w:val="auto"/>
                      <w:sz w:val="21"/>
                      <w:szCs w:val="21"/>
                      <w:lang w:val="en-US" w:eastAsia="zh-CN"/>
                    </w:rPr>
                    <w:t>生活垃圾和餐厨垃圾分类存放，</w:t>
                  </w:r>
                  <w:r>
                    <w:rPr>
                      <w:rFonts w:hint="eastAsia"/>
                      <w:color w:val="auto"/>
                      <w:sz w:val="21"/>
                      <w:szCs w:val="21"/>
                    </w:rPr>
                    <w:t>收集后由环卫部门清运</w:t>
                  </w:r>
                  <w:r>
                    <w:rPr>
                      <w:rFonts w:hint="eastAsia"/>
                      <w:color w:val="auto"/>
                      <w:sz w:val="21"/>
                      <w:szCs w:val="21"/>
                      <w:lang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rPr>
                  </w:pPr>
                  <w:r>
                    <w:rPr>
                      <w:rFonts w:hint="eastAsia"/>
                      <w:color w:val="00000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26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000000"/>
                      <w:sz w:val="21"/>
                      <w:szCs w:val="21"/>
                    </w:rPr>
                  </w:pPr>
                </w:p>
              </w:tc>
              <w:tc>
                <w:tcPr>
                  <w:tcW w:w="5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color w:val="000000"/>
                      <w:sz w:val="21"/>
                      <w:szCs w:val="21"/>
                      <w:lang w:val="en-US" w:eastAsia="zh-CN"/>
                    </w:rPr>
                  </w:pPr>
                  <w:r>
                    <w:rPr>
                      <w:rFonts w:hint="eastAsia"/>
                      <w:color w:val="000000"/>
                      <w:sz w:val="21"/>
                      <w:szCs w:val="21"/>
                    </w:rPr>
                    <w:t>地下水与土壤防护措施</w:t>
                  </w:r>
                </w:p>
              </w:tc>
              <w:tc>
                <w:tcPr>
                  <w:tcW w:w="1943"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000000"/>
                      <w:sz w:val="21"/>
                      <w:szCs w:val="21"/>
                      <w:lang w:val="en-US" w:eastAsia="zh-CN"/>
                    </w:rPr>
                  </w:pPr>
                  <w:r>
                    <w:rPr>
                      <w:rFonts w:hint="eastAsia"/>
                      <w:color w:val="000000"/>
                      <w:sz w:val="21"/>
                      <w:szCs w:val="21"/>
                    </w:rPr>
                    <w:t>进行分区防渗。危废暂存间</w:t>
                  </w:r>
                  <w:r>
                    <w:rPr>
                      <w:rFonts w:hint="eastAsia"/>
                      <w:color w:val="000000"/>
                      <w:sz w:val="21"/>
                      <w:szCs w:val="21"/>
                      <w:lang w:eastAsia="zh-CN"/>
                    </w:rPr>
                    <w:t>、</w:t>
                  </w:r>
                  <w:r>
                    <w:rPr>
                      <w:rFonts w:hint="eastAsia"/>
                      <w:color w:val="000000"/>
                      <w:sz w:val="21"/>
                      <w:szCs w:val="21"/>
                      <w:lang w:val="en-US" w:eastAsia="zh-CN"/>
                    </w:rPr>
                    <w:t>隔油池等</w:t>
                  </w:r>
                  <w:r>
                    <w:rPr>
                      <w:rFonts w:hint="eastAsia"/>
                      <w:color w:val="000000"/>
                      <w:sz w:val="21"/>
                      <w:szCs w:val="21"/>
                    </w:rPr>
                    <w:t>属于重点防渗区，进行重点防渗。生产车间、库房</w:t>
                  </w:r>
                  <w:r>
                    <w:rPr>
                      <w:rFonts w:hint="eastAsia"/>
                      <w:color w:val="000000"/>
                      <w:sz w:val="21"/>
                      <w:szCs w:val="21"/>
                      <w:lang w:eastAsia="zh-CN"/>
                    </w:rPr>
                    <w:t>、</w:t>
                  </w:r>
                  <w:r>
                    <w:rPr>
                      <w:rFonts w:hint="eastAsia"/>
                      <w:color w:val="000000"/>
                      <w:sz w:val="21"/>
                      <w:szCs w:val="21"/>
                      <w:lang w:val="en-US" w:eastAsia="zh-CN"/>
                    </w:rPr>
                    <w:t>一般固废间</w:t>
                  </w:r>
                  <w:r>
                    <w:rPr>
                      <w:rFonts w:hint="eastAsia"/>
                      <w:color w:val="000000"/>
                      <w:sz w:val="21"/>
                      <w:szCs w:val="21"/>
                    </w:rPr>
                    <w:t>属于一般防渗区，进行</w:t>
                  </w:r>
                  <w:r>
                    <w:rPr>
                      <w:rFonts w:hint="eastAsia"/>
                      <w:color w:val="000000"/>
                      <w:sz w:val="21"/>
                      <w:szCs w:val="21"/>
                      <w:lang w:val="en-US" w:eastAsia="zh-CN"/>
                    </w:rPr>
                    <w:t>一般</w:t>
                  </w:r>
                  <w:r>
                    <w:rPr>
                      <w:rFonts w:hint="eastAsia"/>
                      <w:color w:val="000000"/>
                      <w:sz w:val="21"/>
                      <w:szCs w:val="21"/>
                    </w:rPr>
                    <w:t>防渗</w:t>
                  </w:r>
                  <w:r>
                    <w:rPr>
                      <w:rFonts w:hint="eastAsia"/>
                      <w:color w:val="000000"/>
                      <w:sz w:val="21"/>
                      <w:szCs w:val="21"/>
                      <w:lang w:eastAsia="zh-CN"/>
                    </w:rPr>
                    <w:t>。</w:t>
                  </w:r>
                </w:p>
              </w:tc>
              <w:tc>
                <w:tcPr>
                  <w:tcW w:w="159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b/>
                      <w:bCs/>
                      <w:sz w:val="21"/>
                      <w:szCs w:val="21"/>
                      <w:lang w:val="en-US" w:eastAsia="zh-CN"/>
                    </w:rPr>
                  </w:pPr>
                  <w:r>
                    <w:rPr>
                      <w:rFonts w:hint="eastAsia"/>
                      <w:b/>
                      <w:bCs/>
                      <w:sz w:val="21"/>
                      <w:szCs w:val="21"/>
                      <w:lang w:val="en-US" w:eastAsia="zh-CN"/>
                    </w:rPr>
                    <w:t>/</w:t>
                  </w:r>
                </w:p>
              </w:tc>
              <w:tc>
                <w:tcPr>
                  <w:tcW w:w="69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color w:val="000000"/>
                      <w:sz w:val="21"/>
                      <w:szCs w:val="21"/>
                      <w:lang w:val="en-US" w:eastAsia="zh-CN"/>
                    </w:rPr>
                  </w:pPr>
                  <w:r>
                    <w:rPr>
                      <w:rFonts w:hint="eastAsia"/>
                      <w:color w:val="000000"/>
                      <w:sz w:val="21"/>
                      <w:szCs w:val="21"/>
                      <w:lang w:val="en-US" w:eastAsia="zh-CN"/>
                    </w:rPr>
                    <w:t>依托</w:t>
                  </w:r>
                </w:p>
              </w:tc>
            </w:tr>
          </w:tbl>
          <w:p>
            <w:pPr>
              <w:keepNext w:val="0"/>
              <w:keepLines w:val="0"/>
              <w:pageBreakBefore w:val="0"/>
              <w:widowControl w:val="0"/>
              <w:kinsoku/>
              <w:wordWrap/>
              <w:topLinePunct w:val="0"/>
              <w:bidi w:val="0"/>
              <w:spacing w:before="120" w:beforeLines="50" w:line="360" w:lineRule="auto"/>
              <w:rPr>
                <w:b/>
              </w:rPr>
            </w:pPr>
            <w:r>
              <w:rPr>
                <w:rFonts w:hint="eastAsia"/>
                <w:b/>
              </w:rPr>
              <w:t>3、依托现有工程可行性分析</w:t>
            </w:r>
          </w:p>
          <w:p>
            <w:pPr>
              <w:keepNext w:val="0"/>
              <w:keepLines w:val="0"/>
              <w:pageBreakBefore w:val="0"/>
              <w:widowControl w:val="0"/>
              <w:kinsoku/>
              <w:wordWrap/>
              <w:topLinePunct w:val="0"/>
              <w:bidi w:val="0"/>
              <w:jc w:val="center"/>
              <w:rPr>
                <w:b/>
                <w:bCs/>
                <w:color w:val="auto"/>
              </w:rPr>
            </w:pPr>
            <w:r>
              <w:rPr>
                <w:b/>
                <w:bCs/>
                <w:color w:val="auto"/>
              </w:rPr>
              <w:t>表</w:t>
            </w:r>
            <w:r>
              <w:rPr>
                <w:rFonts w:hint="eastAsia"/>
                <w:b/>
                <w:bCs/>
                <w:color w:val="auto"/>
              </w:rPr>
              <w:t>2-2 依托现有工程可行性分析</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7"/>
              <w:gridCol w:w="1429"/>
              <w:gridCol w:w="5484"/>
              <w:gridCol w:w="5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731" w:type="pct"/>
                  <w:tcBorders>
                    <w:tl2br w:val="nil"/>
                    <w:tr2bl w:val="nil"/>
                  </w:tcBorders>
                  <w:noWrap w:val="0"/>
                  <w:vAlign w:val="center"/>
                </w:tcPr>
                <w:p>
                  <w:pPr>
                    <w:keepNext w:val="0"/>
                    <w:keepLines w:val="0"/>
                    <w:pageBreakBefore w:val="0"/>
                    <w:widowControl w:val="0"/>
                    <w:kinsoku/>
                    <w:wordWrap/>
                    <w:topLinePunct w:val="0"/>
                    <w:bidi w:val="0"/>
                    <w:jc w:val="center"/>
                    <w:rPr>
                      <w:rFonts w:ascii="Calibri" w:hAnsi="Calibri"/>
                      <w:b/>
                      <w:sz w:val="21"/>
                      <w:szCs w:val="21"/>
                    </w:rPr>
                  </w:pPr>
                  <w:r>
                    <w:rPr>
                      <w:rFonts w:hint="eastAsia" w:ascii="Calibri" w:hAnsi="Calibri"/>
                      <w:b/>
                      <w:sz w:val="21"/>
                      <w:szCs w:val="21"/>
                    </w:rPr>
                    <w:t>依托工程</w:t>
                  </w:r>
                </w:p>
                <w:p>
                  <w:pPr>
                    <w:keepNext w:val="0"/>
                    <w:keepLines w:val="0"/>
                    <w:pageBreakBefore w:val="0"/>
                    <w:widowControl w:val="0"/>
                    <w:kinsoku/>
                    <w:wordWrap/>
                    <w:topLinePunct w:val="0"/>
                    <w:bidi w:val="0"/>
                    <w:jc w:val="center"/>
                    <w:rPr>
                      <w:rFonts w:ascii="Calibri" w:hAnsi="Calibri"/>
                      <w:b/>
                      <w:sz w:val="21"/>
                      <w:szCs w:val="21"/>
                    </w:rPr>
                  </w:pPr>
                  <w:r>
                    <w:rPr>
                      <w:rFonts w:hint="eastAsia" w:ascii="Calibri" w:hAnsi="Calibri"/>
                      <w:b/>
                      <w:sz w:val="21"/>
                      <w:szCs w:val="21"/>
                    </w:rPr>
                    <w:t>类别</w:t>
                  </w:r>
                </w:p>
              </w:tc>
              <w:tc>
                <w:tcPr>
                  <w:tcW w:w="818" w:type="pct"/>
                  <w:tcBorders>
                    <w:tl2br w:val="nil"/>
                    <w:tr2bl w:val="nil"/>
                  </w:tcBorders>
                  <w:noWrap w:val="0"/>
                  <w:vAlign w:val="center"/>
                </w:tcPr>
                <w:p>
                  <w:pPr>
                    <w:keepNext w:val="0"/>
                    <w:keepLines w:val="0"/>
                    <w:pageBreakBefore w:val="0"/>
                    <w:widowControl w:val="0"/>
                    <w:kinsoku/>
                    <w:wordWrap/>
                    <w:topLinePunct w:val="0"/>
                    <w:bidi w:val="0"/>
                    <w:jc w:val="center"/>
                    <w:rPr>
                      <w:rFonts w:ascii="Calibri" w:hAnsi="Calibri"/>
                      <w:b/>
                      <w:sz w:val="21"/>
                      <w:szCs w:val="21"/>
                    </w:rPr>
                  </w:pPr>
                  <w:r>
                    <w:rPr>
                      <w:rFonts w:hint="eastAsia" w:ascii="Calibri" w:hAnsi="Calibri"/>
                      <w:b/>
                      <w:sz w:val="21"/>
                      <w:szCs w:val="21"/>
                    </w:rPr>
                    <w:t>依托内容</w:t>
                  </w:r>
                </w:p>
              </w:tc>
              <w:tc>
                <w:tcPr>
                  <w:tcW w:w="3139" w:type="pct"/>
                  <w:tcBorders>
                    <w:tl2br w:val="nil"/>
                    <w:tr2bl w:val="nil"/>
                  </w:tcBorders>
                  <w:noWrap w:val="0"/>
                  <w:vAlign w:val="center"/>
                </w:tcPr>
                <w:p>
                  <w:pPr>
                    <w:keepNext w:val="0"/>
                    <w:keepLines w:val="0"/>
                    <w:pageBreakBefore w:val="0"/>
                    <w:widowControl w:val="0"/>
                    <w:kinsoku/>
                    <w:wordWrap/>
                    <w:topLinePunct w:val="0"/>
                    <w:bidi w:val="0"/>
                    <w:jc w:val="center"/>
                    <w:rPr>
                      <w:rFonts w:ascii="Calibri" w:hAnsi="Calibri"/>
                      <w:b/>
                      <w:sz w:val="21"/>
                      <w:szCs w:val="21"/>
                    </w:rPr>
                  </w:pPr>
                  <w:r>
                    <w:rPr>
                      <w:rFonts w:hint="eastAsia" w:ascii="Calibri" w:hAnsi="Calibri"/>
                      <w:b/>
                      <w:sz w:val="21"/>
                      <w:szCs w:val="21"/>
                    </w:rPr>
                    <w:t>可行性分析</w:t>
                  </w:r>
                </w:p>
              </w:tc>
              <w:tc>
                <w:tcPr>
                  <w:tcW w:w="310" w:type="pct"/>
                  <w:tcBorders>
                    <w:tl2br w:val="nil"/>
                    <w:tr2bl w:val="nil"/>
                  </w:tcBorders>
                  <w:noWrap w:val="0"/>
                  <w:vAlign w:val="center"/>
                </w:tcPr>
                <w:p>
                  <w:pPr>
                    <w:keepNext w:val="0"/>
                    <w:keepLines w:val="0"/>
                    <w:pageBreakBefore w:val="0"/>
                    <w:widowControl w:val="0"/>
                    <w:kinsoku/>
                    <w:wordWrap/>
                    <w:topLinePunct w:val="0"/>
                    <w:bidi w:val="0"/>
                    <w:jc w:val="center"/>
                    <w:rPr>
                      <w:rFonts w:ascii="Calibri" w:hAnsi="Calibri"/>
                      <w:b/>
                      <w:color w:val="auto"/>
                      <w:sz w:val="21"/>
                      <w:szCs w:val="21"/>
                    </w:rPr>
                  </w:pPr>
                  <w:r>
                    <w:rPr>
                      <w:rFonts w:hint="eastAsia" w:ascii="Calibri" w:hAnsi="Calibri"/>
                      <w:b/>
                      <w:color w:val="auto"/>
                      <w:sz w:val="21"/>
                      <w:szCs w:val="21"/>
                    </w:rPr>
                    <w:t>结论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3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环保</w:t>
                  </w:r>
                  <w:r>
                    <w:rPr>
                      <w:sz w:val="21"/>
                      <w:szCs w:val="21"/>
                    </w:rPr>
                    <w:t>工程</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危废暂存间</w:t>
                  </w:r>
                </w:p>
              </w:tc>
              <w:tc>
                <w:tcPr>
                  <w:tcW w:w="31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eastAsia="宋体"/>
                      <w:sz w:val="21"/>
                      <w:szCs w:val="21"/>
                      <w:vertAlign w:val="baseline"/>
                      <w:lang w:val="en-US" w:eastAsia="zh-CN"/>
                    </w:rPr>
                  </w:pPr>
                  <w:r>
                    <w:rPr>
                      <w:rFonts w:hint="eastAsia"/>
                      <w:sz w:val="21"/>
                      <w:szCs w:val="21"/>
                      <w:lang w:val="en-US" w:eastAsia="zh-CN"/>
                    </w:rPr>
                    <w:t>现有项目设置一间面积50</w:t>
                  </w:r>
                  <w:r>
                    <w:rPr>
                      <w:rFonts w:hint="eastAsia"/>
                      <w:sz w:val="21"/>
                      <w:szCs w:val="21"/>
                    </w:rPr>
                    <w:t>m</w:t>
                  </w:r>
                  <w:r>
                    <w:rPr>
                      <w:rFonts w:hint="eastAsia"/>
                      <w:sz w:val="21"/>
                      <w:szCs w:val="21"/>
                      <w:vertAlign w:val="superscript"/>
                    </w:rPr>
                    <w:t>2</w:t>
                  </w:r>
                  <w:r>
                    <w:rPr>
                      <w:rFonts w:hint="eastAsia"/>
                      <w:sz w:val="21"/>
                      <w:szCs w:val="21"/>
                      <w:vertAlign w:val="baseline"/>
                      <w:lang w:val="en-US" w:eastAsia="zh-CN"/>
                    </w:rPr>
                    <w:t>的危废暂存间</w:t>
                  </w:r>
                  <w:r>
                    <w:rPr>
                      <w:rFonts w:hint="eastAsia"/>
                      <w:sz w:val="21"/>
                      <w:szCs w:val="21"/>
                      <w:vertAlign w:val="baseline"/>
                      <w:lang w:eastAsia="zh-CN"/>
                    </w:rPr>
                    <w:t>，</w:t>
                  </w:r>
                  <w:r>
                    <w:rPr>
                      <w:rFonts w:hint="eastAsia"/>
                      <w:sz w:val="21"/>
                      <w:szCs w:val="21"/>
                      <w:vertAlign w:val="baseline"/>
                      <w:lang w:val="en-US" w:eastAsia="zh-CN"/>
                    </w:rPr>
                    <w:t>可以满足本项目与现有工程危废的储存需求。</w:t>
                  </w:r>
                </w:p>
              </w:tc>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可行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lang w:val="en-US" w:eastAsia="zh-CN"/>
                    </w:rPr>
                  </w:pPr>
                  <w:r>
                    <w:rPr>
                      <w:rFonts w:hint="eastAsia"/>
                      <w:sz w:val="21"/>
                      <w:szCs w:val="21"/>
                      <w:lang w:val="en-US" w:eastAsia="zh-CN"/>
                    </w:rPr>
                    <w:t>一般固废间</w:t>
                  </w:r>
                </w:p>
              </w:tc>
              <w:tc>
                <w:tcPr>
                  <w:tcW w:w="31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sz w:val="21"/>
                      <w:szCs w:val="21"/>
                      <w:lang w:val="en-US" w:eastAsia="zh-CN"/>
                    </w:rPr>
                  </w:pPr>
                  <w:r>
                    <w:rPr>
                      <w:rFonts w:hint="eastAsia"/>
                      <w:sz w:val="21"/>
                      <w:szCs w:val="21"/>
                      <w:lang w:val="en-US" w:eastAsia="zh-CN"/>
                    </w:rPr>
                    <w:t>现有项目设置一间面积50</w:t>
                  </w:r>
                  <w:r>
                    <w:rPr>
                      <w:rFonts w:hint="eastAsia"/>
                      <w:sz w:val="21"/>
                      <w:szCs w:val="21"/>
                    </w:rPr>
                    <w:t>m</w:t>
                  </w:r>
                  <w:r>
                    <w:rPr>
                      <w:rFonts w:hint="eastAsia"/>
                      <w:sz w:val="21"/>
                      <w:szCs w:val="21"/>
                      <w:vertAlign w:val="superscript"/>
                    </w:rPr>
                    <w:t>2</w:t>
                  </w:r>
                  <w:r>
                    <w:rPr>
                      <w:rFonts w:hint="eastAsia"/>
                      <w:sz w:val="21"/>
                      <w:szCs w:val="21"/>
                      <w:vertAlign w:val="baseline"/>
                      <w:lang w:val="en-US" w:eastAsia="zh-CN"/>
                    </w:rPr>
                    <w:t>的一般固废间</w:t>
                  </w:r>
                  <w:r>
                    <w:rPr>
                      <w:rFonts w:hint="eastAsia"/>
                      <w:sz w:val="21"/>
                      <w:szCs w:val="21"/>
                      <w:vertAlign w:val="baseline"/>
                      <w:lang w:eastAsia="zh-CN"/>
                    </w:rPr>
                    <w:t>，</w:t>
                  </w:r>
                  <w:r>
                    <w:rPr>
                      <w:rFonts w:hint="eastAsia"/>
                      <w:sz w:val="21"/>
                      <w:szCs w:val="21"/>
                      <w:vertAlign w:val="baseline"/>
                      <w:lang w:val="en-US" w:eastAsia="zh-CN"/>
                    </w:rPr>
                    <w:t>可以满足本项目与现有工程一般废物的储存需求。</w:t>
                  </w:r>
                </w:p>
              </w:tc>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lang w:val="en-US" w:eastAsia="zh-CN"/>
                    </w:rPr>
                  </w:pPr>
                  <w:r>
                    <w:rPr>
                      <w:rFonts w:hint="eastAsia"/>
                      <w:sz w:val="21"/>
                      <w:szCs w:val="21"/>
                      <w:lang w:val="en-US" w:eastAsia="zh-CN"/>
                    </w:rPr>
                    <w:t>可行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31" w:type="pct"/>
                  <w:tcBorders>
                    <w:tl2br w:val="nil"/>
                    <w:tr2bl w:val="nil"/>
                  </w:tcBorders>
                  <w:noWrap w:val="0"/>
                  <w:vAlign w:val="center"/>
                </w:tcPr>
                <w:p>
                  <w:pPr>
                    <w:keepNext w:val="0"/>
                    <w:keepLines w:val="0"/>
                    <w:pageBreakBefore w:val="0"/>
                    <w:widowControl w:val="0"/>
                    <w:kinsoku/>
                    <w:wordWrap/>
                    <w:topLinePunct w:val="0"/>
                    <w:bidi w:val="0"/>
                    <w:spacing w:line="276" w:lineRule="auto"/>
                    <w:jc w:val="center"/>
                    <w:rPr>
                      <w:rFonts w:hint="default"/>
                      <w:sz w:val="21"/>
                      <w:szCs w:val="21"/>
                      <w:lang w:val="en-US" w:eastAsia="zh-CN"/>
                    </w:rPr>
                  </w:pPr>
                  <w:r>
                    <w:rPr>
                      <w:rFonts w:hint="eastAsia"/>
                      <w:sz w:val="21"/>
                      <w:szCs w:val="21"/>
                      <w:lang w:val="en-US" w:eastAsia="zh-CN"/>
                    </w:rPr>
                    <w:t>辅助工程</w:t>
                  </w:r>
                </w:p>
              </w:tc>
              <w:tc>
                <w:tcPr>
                  <w:tcW w:w="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lang w:val="en-US" w:eastAsia="zh-CN"/>
                    </w:rPr>
                  </w:pPr>
                  <w:r>
                    <w:rPr>
                      <w:rFonts w:hint="eastAsia"/>
                      <w:sz w:val="21"/>
                      <w:szCs w:val="21"/>
                      <w:lang w:val="en-US" w:eastAsia="zh-CN"/>
                    </w:rPr>
                    <w:t>食堂</w:t>
                  </w:r>
                </w:p>
              </w:tc>
              <w:tc>
                <w:tcPr>
                  <w:tcW w:w="31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sz w:val="21"/>
                      <w:szCs w:val="21"/>
                      <w:lang w:val="en-US" w:eastAsia="zh-CN"/>
                    </w:rPr>
                  </w:pPr>
                  <w:r>
                    <w:rPr>
                      <w:rFonts w:hint="eastAsia"/>
                      <w:sz w:val="21"/>
                      <w:szCs w:val="21"/>
                      <w:lang w:val="en-US" w:eastAsia="zh-CN"/>
                    </w:rPr>
                    <w:t>现有项目食堂设置集气罩和油烟净化处理设备，本项目依托现有食堂，油烟废气可以满足《饮食业油烟排放标准（试行）》（GB18483-2001）标准限值要求。</w:t>
                  </w:r>
                </w:p>
              </w:tc>
              <w:tc>
                <w:tcPr>
                  <w:tcW w:w="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可行</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iCs/>
                <w:color w:val="000000"/>
              </w:rPr>
            </w:pPr>
            <w:r>
              <w:rPr>
                <w:rFonts w:hint="eastAsia"/>
                <w:b/>
                <w:iCs/>
                <w:color w:val="000000"/>
              </w:rPr>
              <w:t>4</w:t>
            </w:r>
            <w:r>
              <w:rPr>
                <w:b/>
                <w:iCs/>
                <w:color w:val="000000"/>
              </w:rPr>
              <w:t>、</w:t>
            </w:r>
            <w:r>
              <w:rPr>
                <w:rFonts w:hint="eastAsia"/>
                <w:b/>
                <w:iCs/>
                <w:color w:val="000000"/>
              </w:rPr>
              <w:t>生产规模</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color w:val="000000"/>
                <w:sz w:val="24"/>
                <w:szCs w:val="20"/>
              </w:rPr>
            </w:pPr>
            <w:r>
              <w:rPr>
                <w:rFonts w:hint="eastAsia"/>
                <w:color w:val="000000"/>
                <w:sz w:val="24"/>
              </w:rPr>
              <w:t>本项目主要生产软化纯净水</w:t>
            </w:r>
            <w:r>
              <w:rPr>
                <w:rFonts w:hint="eastAsia"/>
                <w:color w:val="000000"/>
                <w:sz w:val="24"/>
                <w:lang w:eastAsia="zh-CN"/>
              </w:rPr>
              <w:t>、</w:t>
            </w:r>
            <w:r>
              <w:rPr>
                <w:rFonts w:hint="eastAsia"/>
                <w:color w:val="000000"/>
                <w:sz w:val="24"/>
                <w:lang w:val="en-US" w:eastAsia="zh-CN"/>
              </w:rPr>
              <w:t>凉白开</w:t>
            </w:r>
            <w:r>
              <w:rPr>
                <w:rFonts w:hint="eastAsia"/>
                <w:color w:val="000000"/>
                <w:sz w:val="24"/>
              </w:rPr>
              <w:t>。本项目采用纳米过滤、纯物理软化，去除掉了水中的钙镁等离子。产品中离子含量低、硬度低，入口口感绵软味甘。项目达产后，可实现年产</w:t>
            </w:r>
            <w:r>
              <w:rPr>
                <w:rFonts w:hint="eastAsia"/>
                <w:color w:val="000000"/>
                <w:sz w:val="24"/>
                <w:lang w:val="en-US" w:eastAsia="zh-CN"/>
              </w:rPr>
              <w:t>33</w:t>
            </w:r>
            <w:r>
              <w:rPr>
                <w:rFonts w:hint="eastAsia"/>
                <w:color w:val="000000"/>
                <w:sz w:val="24"/>
              </w:rPr>
              <w:t>万吨软化纯净水</w:t>
            </w:r>
            <w:r>
              <w:rPr>
                <w:rFonts w:hint="eastAsia"/>
                <w:color w:val="000000"/>
                <w:sz w:val="24"/>
                <w:lang w:eastAsia="zh-CN"/>
              </w:rPr>
              <w:t>，</w:t>
            </w:r>
            <w:r>
              <w:rPr>
                <w:rFonts w:hint="eastAsia"/>
                <w:color w:val="000000"/>
                <w:sz w:val="24"/>
                <w:lang w:val="en-US" w:eastAsia="zh-CN"/>
              </w:rPr>
              <w:t>35万吨凉白开纯净水</w:t>
            </w:r>
            <w:r>
              <w:rPr>
                <w:rFonts w:hint="eastAsia"/>
                <w:color w:val="000000"/>
                <w:sz w:val="24"/>
              </w:rPr>
              <w:t>。项目</w:t>
            </w:r>
            <w:r>
              <w:rPr>
                <w:rFonts w:hint="eastAsia"/>
                <w:color w:val="000000"/>
                <w:sz w:val="24"/>
                <w:lang w:val="en-US" w:eastAsia="zh-CN"/>
              </w:rPr>
              <w:t>生产规模</w:t>
            </w:r>
            <w:r>
              <w:rPr>
                <w:rFonts w:hint="eastAsia"/>
                <w:color w:val="000000"/>
                <w:sz w:val="24"/>
              </w:rPr>
              <w:t>详见下表</w:t>
            </w:r>
            <w:r>
              <w:rPr>
                <w:rFonts w:hint="eastAsia"/>
                <w:color w:val="000000"/>
                <w:sz w:val="24"/>
                <w:szCs w:val="20"/>
              </w:rPr>
              <w:t>：</w:t>
            </w:r>
          </w:p>
          <w:p>
            <w:pPr>
              <w:keepNext w:val="0"/>
              <w:keepLines w:val="0"/>
              <w:pageBreakBefore w:val="0"/>
              <w:widowControl w:val="0"/>
              <w:kinsoku/>
              <w:wordWrap/>
              <w:overflowPunct/>
              <w:bidi w:val="0"/>
              <w:adjustRightInd w:val="0"/>
              <w:snapToGrid w:val="0"/>
              <w:jc w:val="center"/>
              <w:rPr>
                <w:b/>
                <w:color w:val="000000"/>
              </w:rPr>
            </w:pPr>
            <w:r>
              <w:rPr>
                <w:rFonts w:cs="宋体"/>
                <w:b/>
                <w:color w:val="000000"/>
                <w:szCs w:val="21"/>
              </w:rPr>
              <w:t>表2-</w:t>
            </w:r>
            <w:r>
              <w:rPr>
                <w:rFonts w:hint="eastAsia" w:cs="宋体"/>
                <w:b/>
                <w:color w:val="000000"/>
                <w:szCs w:val="21"/>
              </w:rPr>
              <w:t xml:space="preserve">3 </w:t>
            </w:r>
            <w:r>
              <w:rPr>
                <w:rFonts w:hint="eastAsia" w:cs="宋体"/>
                <w:b/>
                <w:color w:val="000000"/>
                <w:szCs w:val="21"/>
                <w:lang w:val="en-US" w:eastAsia="zh-CN"/>
              </w:rPr>
              <w:t>本</w:t>
            </w:r>
            <w:r>
              <w:rPr>
                <w:b/>
              </w:rPr>
              <w:t>项目</w:t>
            </w:r>
            <w:r>
              <w:rPr>
                <w:rFonts w:hint="eastAsia"/>
                <w:b/>
              </w:rPr>
              <w:t>生产规模</w:t>
            </w:r>
            <w:r>
              <w:rPr>
                <w:b/>
                <w:color w:val="000000"/>
              </w:rPr>
              <w:t>一览表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70"/>
              <w:gridCol w:w="1387"/>
              <w:gridCol w:w="2591"/>
              <w:gridCol w:w="30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956" w:type="pct"/>
                  <w:noWrap w:val="0"/>
                  <w:vAlign w:val="center"/>
                </w:tcPr>
                <w:p>
                  <w:pPr>
                    <w:keepNext w:val="0"/>
                    <w:keepLines w:val="0"/>
                    <w:pageBreakBefore w:val="0"/>
                    <w:widowControl w:val="0"/>
                    <w:kinsoku/>
                    <w:wordWrap/>
                    <w:bidi w:val="0"/>
                    <w:jc w:val="center"/>
                    <w:rPr>
                      <w:b/>
                      <w:bCs/>
                      <w:color w:val="auto"/>
                      <w:sz w:val="21"/>
                      <w:szCs w:val="18"/>
                      <w:shd w:val="clear" w:color="auto" w:fill="FFFFFF"/>
                    </w:rPr>
                  </w:pPr>
                  <w:r>
                    <w:rPr>
                      <w:b/>
                      <w:bCs/>
                      <w:color w:val="auto"/>
                      <w:sz w:val="21"/>
                      <w:szCs w:val="18"/>
                      <w:shd w:val="clear" w:color="auto" w:fill="FFFFFF"/>
                    </w:rPr>
                    <w:t>产品名称</w:t>
                  </w:r>
                </w:p>
              </w:tc>
              <w:tc>
                <w:tcPr>
                  <w:tcW w:w="794" w:type="pct"/>
                  <w:noWrap w:val="0"/>
                  <w:vAlign w:val="center"/>
                </w:tcPr>
                <w:p>
                  <w:pPr>
                    <w:keepNext w:val="0"/>
                    <w:keepLines w:val="0"/>
                    <w:pageBreakBefore w:val="0"/>
                    <w:widowControl w:val="0"/>
                    <w:kinsoku/>
                    <w:wordWrap/>
                    <w:bidi w:val="0"/>
                    <w:jc w:val="center"/>
                    <w:rPr>
                      <w:rFonts w:hint="eastAsia" w:eastAsia="宋体"/>
                      <w:b/>
                      <w:bCs/>
                      <w:color w:val="auto"/>
                      <w:sz w:val="21"/>
                      <w:szCs w:val="18"/>
                      <w:shd w:val="clear" w:color="auto" w:fill="FFFFFF"/>
                      <w:lang w:val="en-US" w:eastAsia="zh-CN"/>
                    </w:rPr>
                  </w:pPr>
                  <w:r>
                    <w:rPr>
                      <w:rFonts w:hint="eastAsia"/>
                      <w:b/>
                      <w:bCs/>
                      <w:color w:val="auto"/>
                      <w:sz w:val="21"/>
                      <w:szCs w:val="18"/>
                      <w:shd w:val="clear" w:color="auto" w:fill="FFFFFF"/>
                      <w:lang w:val="en-US" w:eastAsia="zh-CN"/>
                    </w:rPr>
                    <w:t>规格</w:t>
                  </w:r>
                </w:p>
              </w:tc>
              <w:tc>
                <w:tcPr>
                  <w:tcW w:w="1483" w:type="pct"/>
                  <w:noWrap w:val="0"/>
                  <w:vAlign w:val="center"/>
                </w:tcPr>
                <w:p>
                  <w:pPr>
                    <w:keepNext w:val="0"/>
                    <w:keepLines w:val="0"/>
                    <w:pageBreakBefore w:val="0"/>
                    <w:widowControl w:val="0"/>
                    <w:kinsoku/>
                    <w:wordWrap/>
                    <w:bidi w:val="0"/>
                    <w:jc w:val="center"/>
                    <w:rPr>
                      <w:b/>
                      <w:bCs/>
                      <w:color w:val="auto"/>
                      <w:sz w:val="21"/>
                      <w:szCs w:val="18"/>
                      <w:shd w:val="clear" w:color="auto" w:fill="FFFFFF"/>
                    </w:rPr>
                  </w:pPr>
                  <w:r>
                    <w:rPr>
                      <w:b/>
                      <w:bCs/>
                      <w:color w:val="auto"/>
                      <w:sz w:val="21"/>
                      <w:szCs w:val="18"/>
                      <w:shd w:val="clear" w:color="auto" w:fill="FFFFFF"/>
                    </w:rPr>
                    <w:t>年产量</w:t>
                  </w:r>
                </w:p>
              </w:tc>
              <w:tc>
                <w:tcPr>
                  <w:tcW w:w="1765" w:type="pct"/>
                  <w:noWrap w:val="0"/>
                  <w:vAlign w:val="center"/>
                </w:tcPr>
                <w:p>
                  <w:pPr>
                    <w:keepNext w:val="0"/>
                    <w:keepLines w:val="0"/>
                    <w:pageBreakBefore w:val="0"/>
                    <w:widowControl w:val="0"/>
                    <w:kinsoku/>
                    <w:wordWrap/>
                    <w:bidi w:val="0"/>
                    <w:jc w:val="center"/>
                    <w:rPr>
                      <w:b/>
                      <w:bCs/>
                      <w:color w:val="auto"/>
                      <w:sz w:val="21"/>
                      <w:szCs w:val="18"/>
                      <w:shd w:val="clear" w:color="auto" w:fill="FFFFFF"/>
                    </w:rPr>
                  </w:pPr>
                  <w:r>
                    <w:rPr>
                      <w:rFonts w:hint="eastAsia"/>
                      <w:b/>
                      <w:bCs/>
                      <w:color w:val="auto"/>
                      <w:sz w:val="21"/>
                      <w:szCs w:val="18"/>
                      <w:shd w:val="clear" w:color="auto" w:fill="FFFFFF"/>
                    </w:rPr>
                    <w:t>产品标准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956" w:type="pct"/>
                  <w:noWrap w:val="0"/>
                  <w:vAlign w:val="center"/>
                </w:tcPr>
                <w:p>
                  <w:pPr>
                    <w:keepNext w:val="0"/>
                    <w:keepLines w:val="0"/>
                    <w:pageBreakBefore w:val="0"/>
                    <w:widowControl w:val="0"/>
                    <w:kinsoku/>
                    <w:wordWrap/>
                    <w:bidi w:val="0"/>
                    <w:jc w:val="center"/>
                    <w:rPr>
                      <w:color w:val="auto"/>
                      <w:sz w:val="21"/>
                      <w:szCs w:val="18"/>
                      <w:shd w:val="clear" w:color="auto" w:fill="FFFFFF"/>
                    </w:rPr>
                  </w:pPr>
                  <w:r>
                    <w:rPr>
                      <w:rFonts w:hint="eastAsia"/>
                      <w:color w:val="auto"/>
                      <w:sz w:val="21"/>
                      <w:szCs w:val="18"/>
                    </w:rPr>
                    <w:t>软化纯净水</w:t>
                  </w:r>
                </w:p>
              </w:tc>
              <w:tc>
                <w:tcPr>
                  <w:tcW w:w="794" w:type="pct"/>
                  <w:noWrap w:val="0"/>
                  <w:vAlign w:val="center"/>
                </w:tcPr>
                <w:p>
                  <w:pPr>
                    <w:keepNext w:val="0"/>
                    <w:keepLines w:val="0"/>
                    <w:pageBreakBefore w:val="0"/>
                    <w:widowControl w:val="0"/>
                    <w:kinsoku/>
                    <w:wordWrap/>
                    <w:bidi w:val="0"/>
                    <w:jc w:val="center"/>
                    <w:rPr>
                      <w:rFonts w:hint="default" w:eastAsia="宋体"/>
                      <w:color w:val="auto"/>
                      <w:sz w:val="21"/>
                      <w:szCs w:val="18"/>
                      <w:lang w:val="en-US" w:eastAsia="zh-CN"/>
                    </w:rPr>
                  </w:pPr>
                  <w:r>
                    <w:rPr>
                      <w:rFonts w:hint="eastAsia"/>
                      <w:color w:val="auto"/>
                      <w:sz w:val="21"/>
                      <w:szCs w:val="18"/>
                      <w:lang w:val="en-US" w:eastAsia="zh-CN"/>
                    </w:rPr>
                    <w:t>550ml/瓶</w:t>
                  </w:r>
                </w:p>
              </w:tc>
              <w:tc>
                <w:tcPr>
                  <w:tcW w:w="1483" w:type="pct"/>
                  <w:noWrap w:val="0"/>
                  <w:vAlign w:val="center"/>
                </w:tcPr>
                <w:p>
                  <w:pPr>
                    <w:keepNext w:val="0"/>
                    <w:keepLines w:val="0"/>
                    <w:pageBreakBefore w:val="0"/>
                    <w:widowControl w:val="0"/>
                    <w:kinsoku/>
                    <w:wordWrap/>
                    <w:bidi w:val="0"/>
                    <w:jc w:val="center"/>
                    <w:rPr>
                      <w:color w:val="auto"/>
                      <w:sz w:val="21"/>
                      <w:szCs w:val="18"/>
                      <w:shd w:val="clear" w:color="auto" w:fill="FFFFFF"/>
                    </w:rPr>
                  </w:pPr>
                  <w:r>
                    <w:rPr>
                      <w:rFonts w:hint="eastAsia"/>
                      <w:color w:val="auto"/>
                      <w:sz w:val="21"/>
                      <w:szCs w:val="18"/>
                      <w:lang w:val="en-US" w:eastAsia="zh-CN"/>
                    </w:rPr>
                    <w:t>33</w:t>
                  </w:r>
                  <w:r>
                    <w:rPr>
                      <w:rFonts w:hint="eastAsia"/>
                      <w:color w:val="auto"/>
                      <w:sz w:val="21"/>
                      <w:szCs w:val="18"/>
                    </w:rPr>
                    <w:t>万吨</w:t>
                  </w:r>
                </w:p>
              </w:tc>
              <w:tc>
                <w:tcPr>
                  <w:tcW w:w="1765" w:type="pct"/>
                  <w:vMerge w:val="restart"/>
                  <w:noWrap w:val="0"/>
                  <w:vAlign w:val="center"/>
                </w:tcPr>
                <w:p>
                  <w:pPr>
                    <w:keepNext w:val="0"/>
                    <w:keepLines w:val="0"/>
                    <w:pageBreakBefore w:val="0"/>
                    <w:widowControl w:val="0"/>
                    <w:kinsoku/>
                    <w:wordWrap/>
                    <w:bidi w:val="0"/>
                    <w:jc w:val="center"/>
                    <w:rPr>
                      <w:rFonts w:hint="eastAsia"/>
                      <w:color w:val="auto"/>
                      <w:sz w:val="21"/>
                      <w:szCs w:val="18"/>
                    </w:rPr>
                  </w:pPr>
                  <w:r>
                    <w:rPr>
                      <w:rFonts w:hint="eastAsia"/>
                      <w:color w:val="auto"/>
                      <w:sz w:val="21"/>
                      <w:szCs w:val="18"/>
                    </w:rPr>
                    <w:t>《瓶（桶）装饮用纯净水卫生标准》（GB17324-2003）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Pr>
              <w:tc>
                <w:tcPr>
                  <w:tcW w:w="956" w:type="pct"/>
                  <w:noWrap w:val="0"/>
                  <w:vAlign w:val="center"/>
                </w:tcPr>
                <w:p>
                  <w:pPr>
                    <w:keepNext w:val="0"/>
                    <w:keepLines w:val="0"/>
                    <w:pageBreakBefore w:val="0"/>
                    <w:widowControl w:val="0"/>
                    <w:kinsoku/>
                    <w:wordWrap/>
                    <w:bidi w:val="0"/>
                    <w:jc w:val="center"/>
                    <w:rPr>
                      <w:rFonts w:hint="eastAsia"/>
                      <w:color w:val="auto"/>
                      <w:sz w:val="21"/>
                      <w:szCs w:val="18"/>
                    </w:rPr>
                  </w:pPr>
                  <w:r>
                    <w:rPr>
                      <w:rFonts w:hint="eastAsia"/>
                      <w:color w:val="auto"/>
                      <w:sz w:val="21"/>
                      <w:szCs w:val="18"/>
                      <w:lang w:val="en-US" w:eastAsia="zh-CN"/>
                    </w:rPr>
                    <w:t>凉白开</w:t>
                  </w:r>
                  <w:r>
                    <w:rPr>
                      <w:rFonts w:hint="eastAsia"/>
                      <w:color w:val="auto"/>
                      <w:sz w:val="21"/>
                      <w:szCs w:val="18"/>
                    </w:rPr>
                    <w:t>纯净水</w:t>
                  </w:r>
                </w:p>
              </w:tc>
              <w:tc>
                <w:tcPr>
                  <w:tcW w:w="794" w:type="pct"/>
                  <w:noWrap w:val="0"/>
                  <w:vAlign w:val="center"/>
                </w:tcPr>
                <w:p>
                  <w:pPr>
                    <w:keepNext w:val="0"/>
                    <w:keepLines w:val="0"/>
                    <w:pageBreakBefore w:val="0"/>
                    <w:widowControl w:val="0"/>
                    <w:kinsoku/>
                    <w:wordWrap/>
                    <w:bidi w:val="0"/>
                    <w:jc w:val="center"/>
                    <w:rPr>
                      <w:rFonts w:hint="default"/>
                      <w:color w:val="auto"/>
                      <w:sz w:val="21"/>
                      <w:szCs w:val="18"/>
                      <w:lang w:val="en-US" w:eastAsia="zh-CN"/>
                    </w:rPr>
                  </w:pPr>
                  <w:r>
                    <w:rPr>
                      <w:rFonts w:hint="eastAsia"/>
                      <w:color w:val="auto"/>
                      <w:sz w:val="21"/>
                      <w:szCs w:val="18"/>
                      <w:lang w:val="en-US" w:eastAsia="zh-CN"/>
                    </w:rPr>
                    <w:t>550ml/瓶</w:t>
                  </w:r>
                </w:p>
              </w:tc>
              <w:tc>
                <w:tcPr>
                  <w:tcW w:w="1483" w:type="pct"/>
                  <w:noWrap w:val="0"/>
                  <w:vAlign w:val="center"/>
                </w:tcPr>
                <w:p>
                  <w:pPr>
                    <w:keepNext w:val="0"/>
                    <w:keepLines w:val="0"/>
                    <w:pageBreakBefore w:val="0"/>
                    <w:widowControl w:val="0"/>
                    <w:kinsoku/>
                    <w:wordWrap/>
                    <w:bidi w:val="0"/>
                    <w:jc w:val="center"/>
                    <w:rPr>
                      <w:color w:val="auto"/>
                      <w:sz w:val="21"/>
                      <w:szCs w:val="18"/>
                    </w:rPr>
                  </w:pPr>
                  <w:r>
                    <w:rPr>
                      <w:rFonts w:hint="eastAsia"/>
                      <w:color w:val="auto"/>
                      <w:sz w:val="21"/>
                      <w:szCs w:val="18"/>
                      <w:lang w:val="en-US" w:eastAsia="zh-CN"/>
                    </w:rPr>
                    <w:t>35</w:t>
                  </w:r>
                  <w:r>
                    <w:rPr>
                      <w:rFonts w:hint="eastAsia"/>
                      <w:color w:val="auto"/>
                      <w:sz w:val="21"/>
                      <w:szCs w:val="18"/>
                    </w:rPr>
                    <w:t>万吨</w:t>
                  </w:r>
                </w:p>
              </w:tc>
              <w:tc>
                <w:tcPr>
                  <w:tcW w:w="1765" w:type="pct"/>
                  <w:vMerge w:val="continue"/>
                  <w:noWrap w:val="0"/>
                  <w:vAlign w:val="center"/>
                </w:tcPr>
                <w:p>
                  <w:pPr>
                    <w:keepNext w:val="0"/>
                    <w:keepLines w:val="0"/>
                    <w:pageBreakBefore w:val="0"/>
                    <w:widowControl w:val="0"/>
                    <w:kinsoku/>
                    <w:wordWrap/>
                    <w:bidi w:val="0"/>
                    <w:jc w:val="center"/>
                    <w:rPr>
                      <w:rFonts w:hint="eastAsia"/>
                      <w:color w:val="auto"/>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70" w:firstLineChars="196"/>
              <w:textAlignment w:val="auto"/>
              <w:rPr>
                <w:rFonts w:hint="eastAsia"/>
                <w:color w:val="000000"/>
                <w:sz w:val="24"/>
              </w:rPr>
            </w:pPr>
            <w:r>
              <w:rPr>
                <w:rFonts w:hint="eastAsia"/>
                <w:color w:val="000000"/>
                <w:sz w:val="24"/>
              </w:rPr>
              <w:t>此外，本项目厂区自制</w:t>
            </w:r>
            <w:r>
              <w:rPr>
                <w:rFonts w:hint="eastAsia"/>
                <w:color w:val="000000"/>
                <w:sz w:val="24"/>
                <w:lang w:val="en-US" w:eastAsia="zh-CN"/>
              </w:rPr>
              <w:t>软化纯净水</w:t>
            </w:r>
            <w:r>
              <w:rPr>
                <w:rFonts w:hint="eastAsia"/>
                <w:color w:val="000000"/>
                <w:sz w:val="24"/>
              </w:rPr>
              <w:t>PET瓶</w:t>
            </w:r>
            <w:r>
              <w:rPr>
                <w:rFonts w:hint="eastAsia"/>
                <w:color w:val="000000"/>
                <w:sz w:val="24"/>
                <w:lang w:eastAsia="zh-CN"/>
              </w:rPr>
              <w:t>坯</w:t>
            </w:r>
            <w:r>
              <w:rPr>
                <w:rFonts w:hint="eastAsia"/>
                <w:color w:val="000000"/>
                <w:sz w:val="24"/>
                <w:lang w:val="en-US" w:eastAsia="zh-CN"/>
              </w:rPr>
              <w:t>（凉白开纯净水</w:t>
            </w:r>
            <w:r>
              <w:rPr>
                <w:rFonts w:hint="eastAsia"/>
                <w:color w:val="000000"/>
                <w:sz w:val="24"/>
              </w:rPr>
              <w:t>PET瓶</w:t>
            </w:r>
            <w:r>
              <w:rPr>
                <w:rFonts w:hint="eastAsia"/>
                <w:color w:val="000000"/>
                <w:sz w:val="24"/>
                <w:lang w:eastAsia="zh-CN"/>
              </w:rPr>
              <w:t>坯</w:t>
            </w:r>
            <w:r>
              <w:rPr>
                <w:rFonts w:hint="eastAsia"/>
                <w:color w:val="000000"/>
                <w:sz w:val="24"/>
                <w:lang w:val="en-US" w:eastAsia="zh-CN"/>
              </w:rPr>
              <w:t>外购）</w:t>
            </w:r>
            <w:r>
              <w:rPr>
                <w:rFonts w:hint="eastAsia"/>
                <w:color w:val="000000"/>
                <w:sz w:val="24"/>
              </w:rPr>
              <w:t>，经吹瓶充填后全部用于本项目纯净水产品包装，不单独外售。本项目PET瓶</w:t>
            </w:r>
            <w:r>
              <w:rPr>
                <w:rFonts w:hint="eastAsia"/>
                <w:color w:val="000000"/>
                <w:sz w:val="24"/>
                <w:lang w:eastAsia="zh-CN"/>
              </w:rPr>
              <w:t>坯</w:t>
            </w:r>
            <w:r>
              <w:rPr>
                <w:rFonts w:hint="eastAsia"/>
                <w:color w:val="000000"/>
                <w:sz w:val="24"/>
              </w:rPr>
              <w:t>产量如下：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000000"/>
                <w:sz w:val="24"/>
              </w:rPr>
            </w:pPr>
            <w:r>
              <w:rPr>
                <w:rFonts w:hint="eastAsia"/>
                <w:b/>
                <w:iCs/>
                <w:color w:val="000000"/>
                <w:sz w:val="24"/>
              </w:rPr>
              <w:t>表</w:t>
            </w:r>
            <w:r>
              <w:rPr>
                <w:rFonts w:hint="eastAsia"/>
                <w:b/>
                <w:iCs/>
                <w:color w:val="000000"/>
                <w:sz w:val="24"/>
                <w:lang w:val="en-US" w:eastAsia="zh-CN"/>
              </w:rPr>
              <w:t>2</w:t>
            </w:r>
            <w:r>
              <w:rPr>
                <w:rFonts w:hint="eastAsia"/>
                <w:b/>
                <w:iCs/>
                <w:color w:val="000000"/>
                <w:sz w:val="24"/>
              </w:rPr>
              <w:t>-</w:t>
            </w:r>
            <w:r>
              <w:rPr>
                <w:rFonts w:hint="eastAsia"/>
                <w:b/>
                <w:iCs/>
                <w:color w:val="000000"/>
                <w:sz w:val="24"/>
                <w:lang w:val="en-US" w:eastAsia="zh-CN"/>
              </w:rPr>
              <w:t>4</w:t>
            </w:r>
            <w:r>
              <w:rPr>
                <w:rFonts w:hint="eastAsia"/>
                <w:b/>
                <w:iCs/>
                <w:color w:val="000000"/>
                <w:sz w:val="24"/>
              </w:rPr>
              <w:t xml:space="preserve"> </w:t>
            </w:r>
            <w:r>
              <w:rPr>
                <w:rFonts w:hint="eastAsia"/>
                <w:b/>
                <w:iCs/>
                <w:color w:val="000000"/>
                <w:sz w:val="24"/>
                <w:lang w:val="en-US" w:eastAsia="zh-CN"/>
              </w:rPr>
              <w:t xml:space="preserve"> </w:t>
            </w:r>
            <w:r>
              <w:rPr>
                <w:rFonts w:hint="eastAsia"/>
                <w:b/>
                <w:color w:val="000000"/>
                <w:sz w:val="24"/>
              </w:rPr>
              <w:t>PET瓶</w:t>
            </w:r>
            <w:r>
              <w:rPr>
                <w:rFonts w:hint="eastAsia"/>
                <w:b/>
                <w:color w:val="000000"/>
                <w:sz w:val="24"/>
                <w:lang w:eastAsia="zh-CN"/>
              </w:rPr>
              <w:t>坯</w:t>
            </w:r>
            <w:r>
              <w:rPr>
                <w:rFonts w:hint="eastAsia"/>
                <w:b/>
                <w:color w:val="000000"/>
                <w:sz w:val="24"/>
              </w:rPr>
              <w:t>产量一览表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824"/>
              <w:gridCol w:w="2320"/>
              <w:gridCol w:w="3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 w:val="21"/>
                      <w:szCs w:val="18"/>
                    </w:rPr>
                  </w:pPr>
                  <w:r>
                    <w:rPr>
                      <w:rFonts w:hint="eastAsia"/>
                      <w:b/>
                      <w:bCs/>
                      <w:color w:val="auto"/>
                      <w:sz w:val="21"/>
                      <w:szCs w:val="18"/>
                    </w:rPr>
                    <w:t>序号</w:t>
                  </w:r>
                </w:p>
              </w:tc>
              <w:tc>
                <w:tcPr>
                  <w:tcW w:w="10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 w:val="21"/>
                      <w:szCs w:val="18"/>
                    </w:rPr>
                  </w:pPr>
                  <w:r>
                    <w:rPr>
                      <w:rFonts w:hint="eastAsia"/>
                      <w:b/>
                      <w:bCs/>
                      <w:color w:val="auto"/>
                      <w:sz w:val="21"/>
                      <w:szCs w:val="18"/>
                    </w:rPr>
                    <w:t>产品名称</w:t>
                  </w:r>
                </w:p>
              </w:tc>
              <w:tc>
                <w:tcPr>
                  <w:tcW w:w="132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 w:val="21"/>
                      <w:szCs w:val="18"/>
                    </w:rPr>
                  </w:pPr>
                  <w:r>
                    <w:rPr>
                      <w:rFonts w:hint="eastAsia"/>
                      <w:b/>
                      <w:bCs/>
                      <w:color w:val="auto"/>
                      <w:sz w:val="21"/>
                      <w:szCs w:val="18"/>
                    </w:rPr>
                    <w:t>年产量（个）</w:t>
                  </w:r>
                </w:p>
              </w:tc>
              <w:tc>
                <w:tcPr>
                  <w:tcW w:w="208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 w:val="21"/>
                      <w:szCs w:val="18"/>
                    </w:rPr>
                  </w:pPr>
                  <w:r>
                    <w:rPr>
                      <w:rFonts w:hint="eastAsia"/>
                      <w:b/>
                      <w:bCs/>
                      <w:color w:val="auto"/>
                      <w:sz w:val="21"/>
                      <w:szCs w:val="18"/>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4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18"/>
                    </w:rPr>
                  </w:pPr>
                  <w:r>
                    <w:rPr>
                      <w:rFonts w:hint="eastAsia"/>
                      <w:color w:val="auto"/>
                      <w:sz w:val="21"/>
                      <w:szCs w:val="18"/>
                    </w:rPr>
                    <w:t>1</w:t>
                  </w:r>
                </w:p>
              </w:tc>
              <w:tc>
                <w:tcPr>
                  <w:tcW w:w="10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18"/>
                    </w:rPr>
                  </w:pPr>
                  <w:r>
                    <w:rPr>
                      <w:rFonts w:hint="eastAsia"/>
                      <w:color w:val="auto"/>
                      <w:sz w:val="21"/>
                      <w:szCs w:val="18"/>
                    </w:rPr>
                    <w:t>PET瓶坯</w:t>
                  </w:r>
                </w:p>
              </w:tc>
              <w:tc>
                <w:tcPr>
                  <w:tcW w:w="1328"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18"/>
                    </w:rPr>
                  </w:pPr>
                  <w:r>
                    <w:rPr>
                      <w:rFonts w:hint="eastAsia"/>
                      <w:color w:val="auto"/>
                      <w:sz w:val="21"/>
                      <w:szCs w:val="18"/>
                      <w:lang w:val="en-US" w:eastAsia="zh-CN"/>
                    </w:rPr>
                    <w:t>6</w:t>
                  </w:r>
                  <w:r>
                    <w:rPr>
                      <w:rFonts w:hint="eastAsia"/>
                      <w:color w:val="auto"/>
                      <w:sz w:val="21"/>
                      <w:szCs w:val="18"/>
                    </w:rPr>
                    <w:t>.</w:t>
                  </w:r>
                  <w:r>
                    <w:rPr>
                      <w:rFonts w:hint="eastAsia"/>
                      <w:color w:val="auto"/>
                      <w:sz w:val="21"/>
                      <w:szCs w:val="18"/>
                      <w:lang w:val="en-US" w:eastAsia="zh-CN"/>
                    </w:rPr>
                    <w:t>14</w:t>
                  </w:r>
                  <w:r>
                    <w:rPr>
                      <w:rFonts w:hint="eastAsia"/>
                      <w:color w:val="auto"/>
                      <w:sz w:val="21"/>
                      <w:szCs w:val="18"/>
                    </w:rPr>
                    <w:t>亿支/年</w:t>
                  </w:r>
                </w:p>
              </w:tc>
              <w:tc>
                <w:tcPr>
                  <w:tcW w:w="208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18"/>
                    </w:rPr>
                  </w:pPr>
                  <w:r>
                    <w:rPr>
                      <w:rFonts w:hint="eastAsia"/>
                      <w:color w:val="auto"/>
                      <w:sz w:val="21"/>
                      <w:szCs w:val="18"/>
                    </w:rPr>
                    <w:t>全部用于本项目软化纯净水产品的</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18"/>
                    </w:rPr>
                  </w:pPr>
                  <w:r>
                    <w:rPr>
                      <w:rFonts w:hint="eastAsia"/>
                      <w:color w:val="auto"/>
                      <w:sz w:val="21"/>
                      <w:szCs w:val="18"/>
                    </w:rPr>
                    <w:t>包装，不单独外售</w:t>
                  </w:r>
                </w:p>
              </w:tc>
            </w:tr>
          </w:tbl>
          <w:p>
            <w:pPr>
              <w:keepNext w:val="0"/>
              <w:keepLines w:val="0"/>
              <w:pageBreakBefore w:val="0"/>
              <w:widowControl w:val="0"/>
              <w:kinsoku/>
              <w:wordWrap/>
              <w:topLinePunct w:val="0"/>
              <w:bidi w:val="0"/>
              <w:spacing w:before="120" w:beforeLines="50" w:line="360" w:lineRule="auto"/>
              <w:rPr>
                <w:b/>
                <w:iCs/>
                <w:color w:val="000000"/>
              </w:rPr>
            </w:pPr>
            <w:r>
              <w:rPr>
                <w:rFonts w:hint="eastAsia"/>
                <w:b/>
                <w:iCs/>
                <w:color w:val="000000"/>
              </w:rPr>
              <w:t>5</w:t>
            </w:r>
            <w:r>
              <w:rPr>
                <w:b/>
                <w:iCs/>
                <w:color w:val="000000"/>
              </w:rPr>
              <w:t>、原辅材料及能源消耗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snapToGrid w:val="0"/>
                <w:color w:val="000000"/>
                <w:kern w:val="0"/>
                <w:sz w:val="24"/>
              </w:rPr>
            </w:pPr>
            <w:r>
              <w:rPr>
                <w:rFonts w:hint="eastAsia" w:cs="Times New Roman"/>
                <w:kern w:val="2"/>
                <w:sz w:val="24"/>
                <w:szCs w:val="24"/>
                <w:lang w:val="en-US" w:eastAsia="zh-CN" w:bidi="ar-SA"/>
              </w:rPr>
              <w:t>5.1</w:t>
            </w:r>
            <w:r>
              <w:rPr>
                <w:snapToGrid w:val="0"/>
                <w:color w:val="000000"/>
                <w:kern w:val="0"/>
                <w:sz w:val="24"/>
              </w:rPr>
              <w:t>原辅材料消耗</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color w:val="000000"/>
                <w:sz w:val="24"/>
              </w:rPr>
            </w:pPr>
            <w:r>
              <w:rPr>
                <w:rFonts w:hint="eastAsia"/>
                <w:b/>
                <w:iCs/>
                <w:color w:val="000000"/>
                <w:sz w:val="24"/>
              </w:rPr>
              <w:t>表</w:t>
            </w:r>
            <w:r>
              <w:rPr>
                <w:rFonts w:hint="eastAsia"/>
                <w:b/>
                <w:iCs/>
                <w:color w:val="000000"/>
                <w:sz w:val="24"/>
                <w:lang w:val="en-US" w:eastAsia="zh-CN"/>
              </w:rPr>
              <w:t>2</w:t>
            </w:r>
            <w:r>
              <w:rPr>
                <w:rFonts w:hint="eastAsia"/>
                <w:b/>
                <w:iCs/>
                <w:color w:val="000000"/>
                <w:sz w:val="24"/>
              </w:rPr>
              <w:t>-</w:t>
            </w:r>
            <w:r>
              <w:rPr>
                <w:rFonts w:hint="eastAsia"/>
                <w:b/>
                <w:iCs/>
                <w:color w:val="000000"/>
                <w:sz w:val="24"/>
                <w:lang w:val="en-US" w:eastAsia="zh-CN"/>
              </w:rPr>
              <w:t>5</w:t>
            </w:r>
            <w:r>
              <w:rPr>
                <w:rFonts w:hint="eastAsia"/>
                <w:b/>
                <w:iCs/>
                <w:color w:val="000000"/>
                <w:sz w:val="24"/>
              </w:rPr>
              <w:t xml:space="preserve"> </w:t>
            </w:r>
            <w:r>
              <w:rPr>
                <w:b/>
                <w:color w:val="000000"/>
                <w:sz w:val="24"/>
              </w:rPr>
              <w:t>主要原材料消耗</w:t>
            </w:r>
            <w:r>
              <w:rPr>
                <w:rFonts w:hint="eastAsia"/>
                <w:b/>
                <w:color w:val="000000"/>
                <w:sz w:val="24"/>
              </w:rPr>
              <w:t>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728"/>
              <w:gridCol w:w="1089"/>
              <w:gridCol w:w="1232"/>
              <w:gridCol w:w="1181"/>
              <w:gridCol w:w="1059"/>
              <w:gridCol w:w="1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000000"/>
                      <w:sz w:val="21"/>
                      <w:szCs w:val="21"/>
                    </w:rPr>
                  </w:pPr>
                  <w:r>
                    <w:rPr>
                      <w:rFonts w:hint="eastAsia"/>
                      <w:b/>
                      <w:bCs/>
                      <w:color w:val="000000"/>
                      <w:sz w:val="21"/>
                      <w:szCs w:val="21"/>
                    </w:rPr>
                    <w:t>序号</w:t>
                  </w:r>
                </w:p>
              </w:tc>
              <w:tc>
                <w:tcPr>
                  <w:tcW w:w="9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000000"/>
                      <w:sz w:val="21"/>
                      <w:szCs w:val="21"/>
                    </w:rPr>
                  </w:pPr>
                  <w:r>
                    <w:rPr>
                      <w:rFonts w:hint="eastAsia"/>
                      <w:b/>
                      <w:bCs/>
                      <w:color w:val="000000"/>
                      <w:sz w:val="21"/>
                      <w:szCs w:val="21"/>
                    </w:rPr>
                    <w:t>名称</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000000"/>
                      <w:sz w:val="21"/>
                      <w:szCs w:val="21"/>
                    </w:rPr>
                  </w:pPr>
                  <w:r>
                    <w:rPr>
                      <w:rFonts w:hint="eastAsia"/>
                      <w:b/>
                      <w:bCs/>
                      <w:color w:val="000000"/>
                      <w:sz w:val="21"/>
                      <w:szCs w:val="21"/>
                    </w:rPr>
                    <w:t>成分</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000000"/>
                      <w:sz w:val="21"/>
                      <w:szCs w:val="21"/>
                    </w:rPr>
                  </w:pPr>
                  <w:r>
                    <w:rPr>
                      <w:rFonts w:hint="eastAsia"/>
                      <w:b/>
                      <w:bCs/>
                      <w:color w:val="000000"/>
                      <w:sz w:val="21"/>
                      <w:szCs w:val="21"/>
                    </w:rPr>
                    <w:t>消耗量</w:t>
                  </w:r>
                </w:p>
              </w:tc>
              <w:tc>
                <w:tcPr>
                  <w:tcW w:w="6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 w:val="21"/>
                      <w:szCs w:val="21"/>
                    </w:rPr>
                  </w:pPr>
                  <w:r>
                    <w:rPr>
                      <w:rFonts w:hint="eastAsia"/>
                      <w:b/>
                      <w:bCs/>
                      <w:color w:val="auto"/>
                      <w:sz w:val="21"/>
                      <w:szCs w:val="21"/>
                    </w:rPr>
                    <w:t>厂内</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auto"/>
                      <w:sz w:val="21"/>
                      <w:szCs w:val="21"/>
                    </w:rPr>
                  </w:pPr>
                  <w:r>
                    <w:rPr>
                      <w:rFonts w:hint="eastAsia"/>
                      <w:b/>
                      <w:bCs/>
                      <w:color w:val="auto"/>
                      <w:sz w:val="21"/>
                      <w:szCs w:val="21"/>
                    </w:rPr>
                    <w:t>最大</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000000"/>
                      <w:sz w:val="21"/>
                      <w:szCs w:val="21"/>
                    </w:rPr>
                  </w:pPr>
                  <w:r>
                    <w:rPr>
                      <w:rFonts w:hint="eastAsia"/>
                      <w:b/>
                      <w:bCs/>
                      <w:color w:val="auto"/>
                      <w:sz w:val="21"/>
                      <w:szCs w:val="21"/>
                    </w:rPr>
                    <w:t>储存量</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000000"/>
                      <w:sz w:val="21"/>
                      <w:szCs w:val="21"/>
                      <w:lang w:val="en-US" w:eastAsia="zh-CN"/>
                    </w:rPr>
                  </w:pPr>
                  <w:r>
                    <w:rPr>
                      <w:rFonts w:hint="eastAsia"/>
                      <w:b/>
                      <w:bCs/>
                      <w:color w:val="000000"/>
                      <w:sz w:val="21"/>
                      <w:szCs w:val="21"/>
                      <w:lang w:val="en-US" w:eastAsia="zh-CN"/>
                    </w:rPr>
                    <w:t>包装</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bCs/>
                      <w:color w:val="000000"/>
                      <w:sz w:val="21"/>
                      <w:szCs w:val="21"/>
                      <w:lang w:val="en-US" w:eastAsia="zh-CN"/>
                    </w:rPr>
                  </w:pPr>
                  <w:r>
                    <w:rPr>
                      <w:rFonts w:hint="eastAsia"/>
                      <w:b/>
                      <w:bCs/>
                      <w:color w:val="000000"/>
                      <w:sz w:val="21"/>
                      <w:szCs w:val="21"/>
                      <w:lang w:val="en-US" w:eastAsia="zh-CN"/>
                    </w:rPr>
                    <w:t>方式</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000000"/>
                      <w:sz w:val="21"/>
                      <w:szCs w:val="21"/>
                    </w:rPr>
                  </w:pPr>
                  <w:r>
                    <w:rPr>
                      <w:rFonts w:hint="eastAsia"/>
                      <w:b/>
                      <w:bCs/>
                      <w:color w:val="000000"/>
                      <w:sz w:val="21"/>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1</w:t>
                  </w:r>
                </w:p>
              </w:tc>
              <w:tc>
                <w:tcPr>
                  <w:tcW w:w="9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自来</w:t>
                  </w:r>
                  <w:r>
                    <w:rPr>
                      <w:rFonts w:hint="eastAsia"/>
                      <w:color w:val="auto"/>
                      <w:sz w:val="21"/>
                      <w:szCs w:val="21"/>
                    </w:rPr>
                    <w:t>水</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新鲜水</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FF"/>
                      <w:sz w:val="21"/>
                      <w:szCs w:val="21"/>
                    </w:rPr>
                  </w:pPr>
                  <w:r>
                    <w:rPr>
                      <w:rFonts w:hint="eastAsia"/>
                      <w:color w:val="auto"/>
                      <w:sz w:val="21"/>
                      <w:szCs w:val="21"/>
                      <w:lang w:val="en-US" w:eastAsia="zh-CN"/>
                    </w:rPr>
                    <w:t>84.43</w:t>
                  </w:r>
                  <w:r>
                    <w:rPr>
                      <w:rFonts w:hint="eastAsia"/>
                      <w:color w:val="auto"/>
                      <w:sz w:val="21"/>
                      <w:szCs w:val="21"/>
                    </w:rPr>
                    <w:t>万吨/年</w:t>
                  </w:r>
                </w:p>
              </w:tc>
              <w:tc>
                <w:tcPr>
                  <w:tcW w:w="6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auto"/>
                      <w:sz w:val="21"/>
                      <w:szCs w:val="21"/>
                      <w:lang w:val="en-US" w:eastAsia="zh-CN"/>
                    </w:rPr>
                  </w:pPr>
                  <w:r>
                    <w:rPr>
                      <w:rFonts w:hint="eastAsia"/>
                      <w:bCs/>
                      <w:color w:val="auto"/>
                      <w:sz w:val="21"/>
                      <w:szCs w:val="21"/>
                      <w:lang w:val="en-US" w:eastAsia="zh-CN"/>
                    </w:rPr>
                    <w:t>自来水</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sz w:val="21"/>
                      <w:szCs w:val="21"/>
                      <w:lang w:val="en-US" w:eastAsia="zh-CN"/>
                    </w:rPr>
                  </w:pPr>
                  <w:r>
                    <w:rPr>
                      <w:rFonts w:hint="eastAsia"/>
                      <w:bCs/>
                      <w:color w:val="auto"/>
                      <w:sz w:val="21"/>
                      <w:szCs w:val="21"/>
                      <w:lang w:val="en-US" w:eastAsia="zh-CN"/>
                    </w:rPr>
                    <w:t>管网提供</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bCs/>
                      <w:color w:val="auto"/>
                      <w:sz w:val="21"/>
                      <w:szCs w:val="21"/>
                    </w:rPr>
                    <w:t>来自园区供水管网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2</w:t>
                  </w:r>
                </w:p>
              </w:tc>
              <w:tc>
                <w:tcPr>
                  <w:tcW w:w="9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次氯酸钠</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10%</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次氯酸钠</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3</w:t>
                  </w:r>
                  <w:r>
                    <w:rPr>
                      <w:rFonts w:hint="eastAsia"/>
                      <w:color w:val="auto"/>
                      <w:sz w:val="21"/>
                      <w:szCs w:val="21"/>
                    </w:rPr>
                    <w:t>.0吨/年</w:t>
                  </w:r>
                </w:p>
              </w:tc>
              <w:tc>
                <w:tcPr>
                  <w:tcW w:w="6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3.0吨</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桶装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auto"/>
                      <w:sz w:val="21"/>
                      <w:szCs w:val="21"/>
                    </w:rPr>
                  </w:pPr>
                  <w:r>
                    <w:rPr>
                      <w:rFonts w:hint="eastAsia"/>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3</w:t>
                  </w:r>
                </w:p>
              </w:tc>
              <w:tc>
                <w:tcPr>
                  <w:tcW w:w="9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PET瓶坯</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塑料</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6.14</w:t>
                  </w:r>
                  <w:r>
                    <w:rPr>
                      <w:rFonts w:hint="eastAsia"/>
                      <w:color w:val="auto"/>
                      <w:sz w:val="21"/>
                      <w:szCs w:val="21"/>
                    </w:rPr>
                    <w:t>亿支</w:t>
                  </w:r>
                </w:p>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/年</w:t>
                  </w:r>
                </w:p>
              </w:tc>
              <w:tc>
                <w:tcPr>
                  <w:tcW w:w="6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lang w:eastAsia="zh-CN"/>
                    </w:rPr>
                  </w:pPr>
                  <w:r>
                    <w:rPr>
                      <w:rFonts w:hint="eastAsia"/>
                      <w:color w:val="auto"/>
                      <w:sz w:val="21"/>
                      <w:szCs w:val="21"/>
                    </w:rPr>
                    <w:t>厂区自制</w:t>
                  </w:r>
                  <w:r>
                    <w:rPr>
                      <w:rFonts w:hint="eastAsia"/>
                      <w:color w:val="auto"/>
                      <w:sz w:val="21"/>
                      <w:szCs w:val="21"/>
                      <w:lang w:eastAsia="zh-CN"/>
                    </w:rPr>
                    <w:t>（</w:t>
                  </w:r>
                  <w:r>
                    <w:rPr>
                      <w:rFonts w:hint="eastAsia"/>
                      <w:color w:val="auto"/>
                      <w:sz w:val="21"/>
                      <w:szCs w:val="21"/>
                      <w:lang w:val="en-US" w:eastAsia="zh-CN"/>
                    </w:rPr>
                    <w:t>凉白开瓶坯外购</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4</w:t>
                  </w:r>
                </w:p>
              </w:tc>
              <w:tc>
                <w:tcPr>
                  <w:tcW w:w="9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油墨</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0.004吨/年</w:t>
                  </w:r>
                </w:p>
              </w:tc>
              <w:tc>
                <w:tcPr>
                  <w:tcW w:w="6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rPr>
                    <w:t>/</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瓶装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5</w:t>
                  </w:r>
                </w:p>
              </w:tc>
              <w:tc>
                <w:tcPr>
                  <w:tcW w:w="9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瓶盖</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塑料</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6.14</w:t>
                  </w:r>
                  <w:r>
                    <w:rPr>
                      <w:rFonts w:hint="eastAsia"/>
                      <w:color w:val="auto"/>
                      <w:sz w:val="21"/>
                      <w:szCs w:val="21"/>
                    </w:rPr>
                    <w:t>亿个</w:t>
                  </w:r>
                </w:p>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/年</w:t>
                  </w:r>
                </w:p>
              </w:tc>
              <w:tc>
                <w:tcPr>
                  <w:tcW w:w="6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纸箱装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6</w:t>
                  </w:r>
                </w:p>
              </w:tc>
              <w:tc>
                <w:tcPr>
                  <w:tcW w:w="9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标签</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塑料</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6.14</w:t>
                  </w:r>
                  <w:r>
                    <w:rPr>
                      <w:rFonts w:hint="eastAsia"/>
                      <w:color w:val="auto"/>
                      <w:sz w:val="21"/>
                      <w:szCs w:val="21"/>
                    </w:rPr>
                    <w:t>亿张</w:t>
                  </w:r>
                </w:p>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rPr>
                    <w:t>/年</w:t>
                  </w:r>
                </w:p>
              </w:tc>
              <w:tc>
                <w:tcPr>
                  <w:tcW w:w="6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纸箱装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7</w:t>
                  </w:r>
                </w:p>
              </w:tc>
              <w:tc>
                <w:tcPr>
                  <w:tcW w:w="9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PE膜</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塑料</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3</w:t>
                  </w:r>
                  <w:r>
                    <w:rPr>
                      <w:rFonts w:hint="eastAsia"/>
                      <w:color w:val="auto"/>
                      <w:sz w:val="21"/>
                      <w:szCs w:val="21"/>
                    </w:rPr>
                    <w:t>00吨/年</w:t>
                  </w:r>
                </w:p>
              </w:tc>
              <w:tc>
                <w:tcPr>
                  <w:tcW w:w="6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纸箱装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000000"/>
                      <w:sz w:val="21"/>
                      <w:szCs w:val="21"/>
                      <w:lang w:val="en-US" w:eastAsia="zh-CN"/>
                    </w:rPr>
                  </w:pPr>
                  <w:r>
                    <w:rPr>
                      <w:rFonts w:hint="eastAsia"/>
                      <w:color w:val="000000"/>
                      <w:sz w:val="21"/>
                      <w:szCs w:val="21"/>
                      <w:lang w:val="en-US" w:eastAsia="zh-CN"/>
                    </w:rPr>
                    <w:t>8</w:t>
                  </w:r>
                </w:p>
              </w:tc>
              <w:tc>
                <w:tcPr>
                  <w:tcW w:w="9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rPr>
                    <w:t>PET塑料粒子</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rPr>
                    <w:t>塑料</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6200</w:t>
                  </w:r>
                  <w:r>
                    <w:rPr>
                      <w:rFonts w:hint="eastAsia"/>
                      <w:color w:val="auto"/>
                      <w:sz w:val="21"/>
                      <w:szCs w:val="21"/>
                    </w:rPr>
                    <w:t>吨/年</w:t>
                  </w:r>
                </w:p>
              </w:tc>
              <w:tc>
                <w:tcPr>
                  <w:tcW w:w="6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auto"/>
                      <w:sz w:val="21"/>
                      <w:szCs w:val="21"/>
                    </w:rPr>
                    <w:t>/</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auto"/>
                      <w:sz w:val="21"/>
                      <w:szCs w:val="21"/>
                      <w:lang w:val="en-US" w:eastAsia="zh-CN"/>
                    </w:rPr>
                    <w:t>纸箱装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9</w:t>
                  </w:r>
                </w:p>
              </w:tc>
              <w:tc>
                <w:tcPr>
                  <w:tcW w:w="989"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rPr>
                  </w:pPr>
                  <w:r>
                    <w:rPr>
                      <w:rFonts w:hint="eastAsia"/>
                      <w:color w:val="000000"/>
                      <w:sz w:val="21"/>
                      <w:szCs w:val="21"/>
                      <w:lang w:val="en-US" w:eastAsia="zh-CN"/>
                    </w:rPr>
                    <w:t>润滑剂</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000000"/>
                      <w:sz w:val="21"/>
                      <w:szCs w:val="21"/>
                      <w:lang w:val="en-US" w:eastAsia="zh-CN"/>
                    </w:rPr>
                  </w:pPr>
                  <w:r>
                    <w:rPr>
                      <w:rFonts w:hint="eastAsia"/>
                      <w:color w:val="000000"/>
                      <w:sz w:val="21"/>
                      <w:szCs w:val="21"/>
                      <w:lang w:val="en-US" w:eastAsia="zh-CN"/>
                    </w:rPr>
                    <w:t>/</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8.6</w:t>
                  </w:r>
                  <w:r>
                    <w:rPr>
                      <w:rFonts w:hint="eastAsia"/>
                      <w:color w:val="auto"/>
                      <w:sz w:val="21"/>
                      <w:szCs w:val="21"/>
                    </w:rPr>
                    <w:t>吨/年</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3吨</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桶装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10</w:t>
                  </w:r>
                </w:p>
              </w:tc>
              <w:tc>
                <w:tcPr>
                  <w:tcW w:w="989"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lang w:val="en-US" w:eastAsia="zh-CN"/>
                    </w:rPr>
                    <w:t>阻垢剂</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lang w:val="en-US" w:eastAsia="zh-CN"/>
                    </w:rPr>
                    <w:t>/</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0.88</w:t>
                  </w:r>
                  <w:r>
                    <w:rPr>
                      <w:rFonts w:hint="eastAsia"/>
                      <w:color w:val="auto"/>
                      <w:sz w:val="21"/>
                      <w:szCs w:val="21"/>
                    </w:rPr>
                    <w:t>吨/年</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0.5吨</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桶装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11</w:t>
                  </w:r>
                </w:p>
              </w:tc>
              <w:tc>
                <w:tcPr>
                  <w:tcW w:w="989"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rPr>
                  </w:pPr>
                  <w:r>
                    <w:rPr>
                      <w:rFonts w:hint="eastAsia"/>
                      <w:color w:val="000000"/>
                      <w:sz w:val="21"/>
                      <w:szCs w:val="21"/>
                      <w:lang w:val="en-US" w:eastAsia="zh-CN"/>
                    </w:rPr>
                    <w:t>氢氧化钠</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lang w:val="en-US" w:eastAsia="zh-CN"/>
                    </w:rPr>
                    <w:t>/</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18</w:t>
                  </w:r>
                  <w:r>
                    <w:rPr>
                      <w:rFonts w:hint="eastAsia"/>
                      <w:color w:val="auto"/>
                      <w:sz w:val="21"/>
                      <w:szCs w:val="21"/>
                    </w:rPr>
                    <w:t>吨/年</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3吨</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桶装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12</w:t>
                  </w:r>
                </w:p>
              </w:tc>
              <w:tc>
                <w:tcPr>
                  <w:tcW w:w="989"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lang w:val="en-US" w:eastAsia="zh-CN"/>
                    </w:rPr>
                    <w:t>碱性清洗剂</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lang w:val="en-US" w:eastAsia="zh-CN"/>
                    </w:rPr>
                    <w:t>/</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1.5</w:t>
                  </w:r>
                  <w:r>
                    <w:rPr>
                      <w:rFonts w:hint="eastAsia"/>
                      <w:color w:val="auto"/>
                      <w:sz w:val="21"/>
                      <w:szCs w:val="21"/>
                    </w:rPr>
                    <w:t>吨/年</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0.25吨</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桶装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13</w:t>
                  </w:r>
                </w:p>
              </w:tc>
              <w:tc>
                <w:tcPr>
                  <w:tcW w:w="98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lang w:val="en-US" w:eastAsia="zh-CN"/>
                    </w:rPr>
                    <w:t>酸性清洗剂</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lang w:val="en-US" w:eastAsia="zh-CN"/>
                    </w:rPr>
                    <w:t>/</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0.07</w:t>
                  </w:r>
                  <w:r>
                    <w:rPr>
                      <w:rFonts w:hint="eastAsia"/>
                      <w:color w:val="auto"/>
                      <w:sz w:val="21"/>
                      <w:szCs w:val="21"/>
                    </w:rPr>
                    <w:t>吨/年</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0.02吨</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桶装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14</w:t>
                  </w:r>
                </w:p>
              </w:tc>
              <w:tc>
                <w:tcPr>
                  <w:tcW w:w="989"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lang w:val="en-US" w:eastAsia="zh-CN"/>
                    </w:rPr>
                    <w:t>柠檬酸</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000000"/>
                      <w:sz w:val="21"/>
                      <w:szCs w:val="21"/>
                      <w:lang w:val="en-US" w:eastAsia="zh-CN"/>
                    </w:rPr>
                    <w:t>/</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5.7</w:t>
                  </w:r>
                  <w:r>
                    <w:rPr>
                      <w:rFonts w:hint="eastAsia"/>
                      <w:color w:val="auto"/>
                      <w:sz w:val="21"/>
                      <w:szCs w:val="21"/>
                    </w:rPr>
                    <w:t>吨/年</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3吨</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val="en-US" w:eastAsia="zh-CN"/>
                    </w:rPr>
                    <w:t>桶装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sz w:val="21"/>
                      <w:szCs w:val="21"/>
                    </w:rPr>
                  </w:pPr>
                  <w:r>
                    <w:rPr>
                      <w:rFonts w:hint="eastAsia"/>
                      <w:color w:val="auto"/>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15</w:t>
                  </w:r>
                </w:p>
              </w:tc>
              <w:tc>
                <w:tcPr>
                  <w:tcW w:w="989" w:type="pct"/>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活性炭（水处理）</w:t>
                  </w:r>
                </w:p>
              </w:tc>
              <w:tc>
                <w:tcPr>
                  <w:tcW w:w="62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活性炭</w:t>
                  </w:r>
                </w:p>
              </w:tc>
              <w:tc>
                <w:tcPr>
                  <w:tcW w:w="70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5</w:t>
                  </w:r>
                  <w:r>
                    <w:rPr>
                      <w:rFonts w:hint="eastAsia"/>
                      <w:color w:val="auto"/>
                      <w:sz w:val="21"/>
                      <w:szCs w:val="21"/>
                    </w:rPr>
                    <w:t>吨/年</w:t>
                  </w:r>
                </w:p>
              </w:tc>
              <w:tc>
                <w:tcPr>
                  <w:tcW w:w="6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sz w:val="21"/>
                      <w:szCs w:val="21"/>
                      <w:lang w:val="en-US" w:eastAsia="zh-CN"/>
                    </w:rPr>
                  </w:pPr>
                  <w:r>
                    <w:rPr>
                      <w:rFonts w:hint="eastAsia"/>
                      <w:color w:val="000000"/>
                      <w:sz w:val="21"/>
                      <w:szCs w:val="21"/>
                      <w:lang w:val="en-US" w:eastAsia="zh-CN"/>
                    </w:rPr>
                    <w:t>5吨</w:t>
                  </w:r>
                </w:p>
              </w:tc>
              <w:tc>
                <w:tcPr>
                  <w:tcW w:w="60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桶装</w:t>
                  </w:r>
                </w:p>
              </w:tc>
              <w:tc>
                <w:tcPr>
                  <w:tcW w:w="110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rPr>
                    <w:t>外购</w:t>
                  </w:r>
                </w:p>
              </w:tc>
            </w:tr>
          </w:tbl>
          <w:p>
            <w:pPr>
              <w:keepNext w:val="0"/>
              <w:keepLines w:val="0"/>
              <w:pageBreakBefore w:val="0"/>
              <w:widowControl w:val="0"/>
              <w:kinsoku/>
              <w:wordWrap/>
              <w:overflowPunct w:val="0"/>
              <w:topLinePunct w:val="0"/>
              <w:autoSpaceDE/>
              <w:autoSpaceDN/>
              <w:bidi w:val="0"/>
              <w:adjustRightInd w:val="0"/>
              <w:snapToGrid w:val="0"/>
              <w:spacing w:before="157" w:beforeLines="50" w:line="360" w:lineRule="auto"/>
              <w:ind w:firstLine="480" w:firstLineChars="200"/>
              <w:textAlignment w:val="auto"/>
              <w:rPr>
                <w:rFonts w:hint="eastAsia" w:hAnsi="Calibri"/>
                <w:color w:val="000000"/>
                <w:kern w:val="24"/>
                <w:sz w:val="24"/>
                <w:szCs w:val="20"/>
              </w:rPr>
            </w:pPr>
            <w:r>
              <w:rPr>
                <w:rFonts w:hint="eastAsia" w:hAnsi="Calibri"/>
                <w:color w:val="000000"/>
                <w:kern w:val="24"/>
                <w:sz w:val="24"/>
                <w:szCs w:val="20"/>
                <w:lang w:val="en-US" w:eastAsia="zh-CN"/>
              </w:rPr>
              <w:t>5.2</w:t>
            </w:r>
            <w:r>
              <w:rPr>
                <w:rFonts w:hAnsi="Calibri"/>
                <w:color w:val="000000"/>
                <w:kern w:val="24"/>
                <w:sz w:val="24"/>
                <w:szCs w:val="20"/>
              </w:rPr>
              <w:t>能源消耗</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hAnsi="Calibri"/>
                <w:color w:val="000000"/>
                <w:kern w:val="24"/>
                <w:sz w:val="24"/>
                <w:szCs w:val="20"/>
              </w:rPr>
            </w:pPr>
            <w:r>
              <w:rPr>
                <w:rFonts w:hint="eastAsia" w:hAnsi="Calibri"/>
                <w:color w:val="000000"/>
                <w:kern w:val="24"/>
                <w:sz w:val="24"/>
                <w:szCs w:val="20"/>
              </w:rPr>
              <w:t>本项目所用能源主要为</w:t>
            </w:r>
            <w:r>
              <w:rPr>
                <w:rFonts w:hint="eastAsia" w:hAnsi="Calibri"/>
                <w:color w:val="auto"/>
                <w:kern w:val="24"/>
                <w:sz w:val="24"/>
                <w:szCs w:val="20"/>
              </w:rPr>
              <w:t>电、水</w:t>
            </w:r>
            <w:r>
              <w:rPr>
                <w:rFonts w:hint="eastAsia" w:hAnsi="Calibri"/>
                <w:color w:val="auto"/>
                <w:kern w:val="24"/>
                <w:sz w:val="24"/>
                <w:szCs w:val="20"/>
                <w:lang w:eastAsia="zh-CN"/>
              </w:rPr>
              <w:t>、</w:t>
            </w:r>
            <w:r>
              <w:rPr>
                <w:rFonts w:hint="eastAsia" w:hAnsi="Calibri"/>
                <w:color w:val="auto"/>
                <w:kern w:val="24"/>
                <w:sz w:val="24"/>
                <w:szCs w:val="20"/>
                <w:lang w:val="en-US" w:eastAsia="zh-CN"/>
              </w:rPr>
              <w:t>蒸汽</w:t>
            </w:r>
            <w:r>
              <w:rPr>
                <w:rFonts w:hint="eastAsia" w:hAnsi="Calibri"/>
                <w:color w:val="000000"/>
                <w:kern w:val="24"/>
                <w:sz w:val="24"/>
                <w:szCs w:val="20"/>
              </w:rPr>
              <w:t>，主要能源消耗情况如下：</w:t>
            </w:r>
          </w:p>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b/>
                <w:color w:val="000000"/>
                <w:kern w:val="0"/>
                <w:sz w:val="24"/>
              </w:rPr>
            </w:pPr>
            <w:r>
              <w:rPr>
                <w:rFonts w:hint="eastAsia"/>
                <w:b/>
                <w:color w:val="000000"/>
                <w:kern w:val="0"/>
                <w:sz w:val="24"/>
              </w:rPr>
              <w:t>表</w:t>
            </w:r>
            <w:r>
              <w:rPr>
                <w:rFonts w:hint="eastAsia"/>
                <w:b/>
                <w:color w:val="000000"/>
                <w:kern w:val="0"/>
                <w:sz w:val="24"/>
                <w:lang w:val="en-US" w:eastAsia="zh-CN"/>
              </w:rPr>
              <w:t>2</w:t>
            </w:r>
            <w:r>
              <w:rPr>
                <w:rFonts w:hint="eastAsia"/>
                <w:b/>
                <w:color w:val="000000"/>
                <w:kern w:val="0"/>
                <w:sz w:val="24"/>
              </w:rPr>
              <w:t>-</w:t>
            </w:r>
            <w:r>
              <w:rPr>
                <w:rFonts w:hint="eastAsia"/>
                <w:b/>
                <w:color w:val="000000"/>
                <w:kern w:val="0"/>
                <w:sz w:val="24"/>
                <w:lang w:val="en-US" w:eastAsia="zh-CN"/>
              </w:rPr>
              <w:t>6</w:t>
            </w:r>
            <w:r>
              <w:rPr>
                <w:rFonts w:hint="eastAsia"/>
                <w:b/>
                <w:color w:val="000000"/>
                <w:kern w:val="0"/>
                <w:sz w:val="24"/>
              </w:rPr>
              <w:t xml:space="preserve"> 能源消耗一览表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1979"/>
              <w:gridCol w:w="2703"/>
              <w:gridCol w:w="25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pct"/>
                  <w:noWrap w:val="0"/>
                  <w:vAlign w:val="center"/>
                </w:tcPr>
                <w:p>
                  <w:pPr>
                    <w:keepNext w:val="0"/>
                    <w:keepLines w:val="0"/>
                    <w:pageBreakBefore w:val="0"/>
                    <w:widowControl w:val="0"/>
                    <w:kinsoku/>
                    <w:wordWrap/>
                    <w:bidi w:val="0"/>
                    <w:jc w:val="center"/>
                    <w:rPr>
                      <w:color w:val="000000"/>
                      <w:sz w:val="21"/>
                      <w:szCs w:val="21"/>
                    </w:rPr>
                  </w:pPr>
                  <w:r>
                    <w:rPr>
                      <w:color w:val="000000"/>
                      <w:sz w:val="21"/>
                      <w:szCs w:val="21"/>
                    </w:rPr>
                    <w:t>序号</w:t>
                  </w:r>
                </w:p>
              </w:tc>
              <w:tc>
                <w:tcPr>
                  <w:tcW w:w="1133" w:type="pct"/>
                  <w:noWrap w:val="0"/>
                  <w:vAlign w:val="center"/>
                </w:tcPr>
                <w:p>
                  <w:pPr>
                    <w:keepNext w:val="0"/>
                    <w:keepLines w:val="0"/>
                    <w:pageBreakBefore w:val="0"/>
                    <w:widowControl w:val="0"/>
                    <w:kinsoku/>
                    <w:wordWrap/>
                    <w:bidi w:val="0"/>
                    <w:jc w:val="center"/>
                    <w:rPr>
                      <w:color w:val="000000"/>
                      <w:sz w:val="21"/>
                      <w:szCs w:val="21"/>
                    </w:rPr>
                  </w:pPr>
                  <w:r>
                    <w:rPr>
                      <w:color w:val="000000"/>
                      <w:sz w:val="21"/>
                      <w:szCs w:val="21"/>
                    </w:rPr>
                    <w:t>名称</w:t>
                  </w:r>
                </w:p>
              </w:tc>
              <w:tc>
                <w:tcPr>
                  <w:tcW w:w="1547" w:type="pct"/>
                  <w:noWrap w:val="0"/>
                  <w:vAlign w:val="center"/>
                </w:tcPr>
                <w:p>
                  <w:pPr>
                    <w:keepNext w:val="0"/>
                    <w:keepLines w:val="0"/>
                    <w:pageBreakBefore w:val="0"/>
                    <w:widowControl w:val="0"/>
                    <w:kinsoku/>
                    <w:wordWrap/>
                    <w:bidi w:val="0"/>
                    <w:jc w:val="center"/>
                    <w:rPr>
                      <w:color w:val="000000"/>
                      <w:sz w:val="21"/>
                      <w:szCs w:val="21"/>
                    </w:rPr>
                  </w:pPr>
                  <w:r>
                    <w:rPr>
                      <w:color w:val="000000"/>
                      <w:sz w:val="21"/>
                      <w:szCs w:val="21"/>
                    </w:rPr>
                    <w:t>年消耗量</w:t>
                  </w:r>
                </w:p>
              </w:tc>
              <w:tc>
                <w:tcPr>
                  <w:tcW w:w="1472" w:type="pct"/>
                  <w:noWrap w:val="0"/>
                  <w:vAlign w:val="center"/>
                </w:tcPr>
                <w:p>
                  <w:pPr>
                    <w:keepNext w:val="0"/>
                    <w:keepLines w:val="0"/>
                    <w:pageBreakBefore w:val="0"/>
                    <w:widowControl w:val="0"/>
                    <w:kinsoku/>
                    <w:wordWrap/>
                    <w:bidi w:val="0"/>
                    <w:jc w:val="center"/>
                    <w:rPr>
                      <w:color w:val="000000"/>
                      <w:sz w:val="21"/>
                      <w:szCs w:val="21"/>
                    </w:rPr>
                  </w:pPr>
                  <w:r>
                    <w:rPr>
                      <w:color w:val="000000"/>
                      <w:sz w:val="21"/>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pct"/>
                  <w:noWrap w:val="0"/>
                  <w:vAlign w:val="center"/>
                </w:tcPr>
                <w:p>
                  <w:pPr>
                    <w:keepNext w:val="0"/>
                    <w:keepLines w:val="0"/>
                    <w:pageBreakBefore w:val="0"/>
                    <w:widowControl w:val="0"/>
                    <w:kinsoku/>
                    <w:wordWrap/>
                    <w:bidi w:val="0"/>
                    <w:jc w:val="center"/>
                    <w:rPr>
                      <w:color w:val="000000"/>
                      <w:sz w:val="21"/>
                      <w:szCs w:val="21"/>
                    </w:rPr>
                  </w:pPr>
                  <w:r>
                    <w:rPr>
                      <w:color w:val="000000"/>
                      <w:sz w:val="21"/>
                      <w:szCs w:val="21"/>
                    </w:rPr>
                    <w:t>1</w:t>
                  </w:r>
                </w:p>
              </w:tc>
              <w:tc>
                <w:tcPr>
                  <w:tcW w:w="1133" w:type="pct"/>
                  <w:noWrap w:val="0"/>
                  <w:vAlign w:val="center"/>
                </w:tcPr>
                <w:p>
                  <w:pPr>
                    <w:keepNext w:val="0"/>
                    <w:keepLines w:val="0"/>
                    <w:pageBreakBefore w:val="0"/>
                    <w:widowControl w:val="0"/>
                    <w:kinsoku/>
                    <w:wordWrap/>
                    <w:bidi w:val="0"/>
                    <w:jc w:val="center"/>
                    <w:rPr>
                      <w:color w:val="000000"/>
                      <w:sz w:val="21"/>
                      <w:szCs w:val="21"/>
                    </w:rPr>
                  </w:pPr>
                  <w:r>
                    <w:rPr>
                      <w:color w:val="000000"/>
                      <w:sz w:val="21"/>
                      <w:szCs w:val="21"/>
                    </w:rPr>
                    <w:t>电</w:t>
                  </w:r>
                </w:p>
              </w:tc>
              <w:tc>
                <w:tcPr>
                  <w:tcW w:w="1547" w:type="pct"/>
                  <w:noWrap w:val="0"/>
                  <w:vAlign w:val="center"/>
                </w:tcPr>
                <w:p>
                  <w:pPr>
                    <w:keepNext w:val="0"/>
                    <w:keepLines w:val="0"/>
                    <w:pageBreakBefore w:val="0"/>
                    <w:widowControl w:val="0"/>
                    <w:kinsoku/>
                    <w:wordWrap/>
                    <w:bidi w:val="0"/>
                    <w:jc w:val="center"/>
                    <w:rPr>
                      <w:color w:val="000000"/>
                      <w:sz w:val="21"/>
                      <w:szCs w:val="21"/>
                    </w:rPr>
                  </w:pPr>
                  <w:r>
                    <w:rPr>
                      <w:rFonts w:hint="eastAsia"/>
                      <w:color w:val="000000"/>
                      <w:sz w:val="21"/>
                      <w:szCs w:val="21"/>
                      <w:lang w:val="en-US" w:eastAsia="zh-CN"/>
                    </w:rPr>
                    <w:t>800</w:t>
                  </w:r>
                  <w:r>
                    <w:rPr>
                      <w:color w:val="000000"/>
                      <w:sz w:val="21"/>
                      <w:szCs w:val="21"/>
                    </w:rPr>
                    <w:t>万kw</w:t>
                  </w:r>
                  <w:r>
                    <w:rPr>
                      <w:rFonts w:hint="eastAsia"/>
                      <w:color w:val="000000"/>
                      <w:sz w:val="21"/>
                      <w:szCs w:val="21"/>
                    </w:rPr>
                    <w:t>·h</w:t>
                  </w:r>
                </w:p>
              </w:tc>
              <w:tc>
                <w:tcPr>
                  <w:tcW w:w="1472" w:type="pct"/>
                  <w:noWrap w:val="0"/>
                  <w:vAlign w:val="center"/>
                </w:tcPr>
                <w:p>
                  <w:pPr>
                    <w:keepNext w:val="0"/>
                    <w:keepLines w:val="0"/>
                    <w:pageBreakBefore w:val="0"/>
                    <w:widowControl w:val="0"/>
                    <w:kinsoku/>
                    <w:wordWrap/>
                    <w:bidi w:val="0"/>
                    <w:jc w:val="center"/>
                    <w:rPr>
                      <w:color w:val="000000"/>
                      <w:sz w:val="21"/>
                      <w:szCs w:val="21"/>
                    </w:rPr>
                  </w:pPr>
                  <w:r>
                    <w:rPr>
                      <w:rFonts w:hint="eastAsia"/>
                      <w:color w:val="000000"/>
                      <w:sz w:val="21"/>
                      <w:szCs w:val="21"/>
                    </w:rPr>
                    <w:t>园区供电管网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pct"/>
                  <w:noWrap w:val="0"/>
                  <w:vAlign w:val="center"/>
                </w:tcPr>
                <w:p>
                  <w:pPr>
                    <w:keepNext w:val="0"/>
                    <w:keepLines w:val="0"/>
                    <w:pageBreakBefore w:val="0"/>
                    <w:widowControl w:val="0"/>
                    <w:kinsoku/>
                    <w:wordWrap/>
                    <w:bidi w:val="0"/>
                    <w:jc w:val="center"/>
                    <w:rPr>
                      <w:color w:val="auto"/>
                      <w:sz w:val="21"/>
                      <w:szCs w:val="21"/>
                    </w:rPr>
                  </w:pPr>
                  <w:r>
                    <w:rPr>
                      <w:color w:val="auto"/>
                      <w:sz w:val="21"/>
                      <w:szCs w:val="21"/>
                    </w:rPr>
                    <w:t>2</w:t>
                  </w:r>
                </w:p>
              </w:tc>
              <w:tc>
                <w:tcPr>
                  <w:tcW w:w="1133" w:type="pct"/>
                  <w:noWrap w:val="0"/>
                  <w:vAlign w:val="center"/>
                </w:tcPr>
                <w:p>
                  <w:pPr>
                    <w:keepNext w:val="0"/>
                    <w:keepLines w:val="0"/>
                    <w:pageBreakBefore w:val="0"/>
                    <w:widowControl w:val="0"/>
                    <w:kinsoku/>
                    <w:wordWrap/>
                    <w:bidi w:val="0"/>
                    <w:jc w:val="center"/>
                    <w:rPr>
                      <w:color w:val="auto"/>
                      <w:sz w:val="21"/>
                      <w:szCs w:val="21"/>
                    </w:rPr>
                  </w:pPr>
                  <w:r>
                    <w:rPr>
                      <w:color w:val="auto"/>
                      <w:sz w:val="21"/>
                      <w:szCs w:val="21"/>
                    </w:rPr>
                    <w:t>水</w:t>
                  </w:r>
                </w:p>
              </w:tc>
              <w:tc>
                <w:tcPr>
                  <w:tcW w:w="1547" w:type="pct"/>
                  <w:noWrap w:val="0"/>
                  <w:vAlign w:val="center"/>
                </w:tcPr>
                <w:p>
                  <w:pPr>
                    <w:keepNext w:val="0"/>
                    <w:keepLines w:val="0"/>
                    <w:pageBreakBefore w:val="0"/>
                    <w:widowControl w:val="0"/>
                    <w:kinsoku/>
                    <w:wordWrap/>
                    <w:bidi w:val="0"/>
                    <w:jc w:val="center"/>
                    <w:rPr>
                      <w:rFonts w:hint="eastAsia"/>
                      <w:color w:val="auto"/>
                      <w:sz w:val="21"/>
                      <w:szCs w:val="21"/>
                    </w:rPr>
                  </w:pPr>
                  <w:r>
                    <w:rPr>
                      <w:rFonts w:hint="eastAsia"/>
                      <w:color w:val="auto"/>
                      <w:sz w:val="21"/>
                      <w:szCs w:val="21"/>
                      <w:lang w:val="en-US" w:eastAsia="zh-CN"/>
                    </w:rPr>
                    <w:t>86万</w:t>
                  </w:r>
                  <w:r>
                    <w:rPr>
                      <w:rFonts w:hint="eastAsia"/>
                      <w:color w:val="auto"/>
                      <w:sz w:val="21"/>
                      <w:szCs w:val="21"/>
                    </w:rPr>
                    <w:t>t</w:t>
                  </w:r>
                </w:p>
              </w:tc>
              <w:tc>
                <w:tcPr>
                  <w:tcW w:w="1472" w:type="pct"/>
                  <w:noWrap w:val="0"/>
                  <w:vAlign w:val="center"/>
                </w:tcPr>
                <w:p>
                  <w:pPr>
                    <w:keepNext w:val="0"/>
                    <w:keepLines w:val="0"/>
                    <w:pageBreakBefore w:val="0"/>
                    <w:widowControl w:val="0"/>
                    <w:kinsoku/>
                    <w:wordWrap/>
                    <w:bidi w:val="0"/>
                    <w:jc w:val="center"/>
                    <w:rPr>
                      <w:color w:val="auto"/>
                      <w:sz w:val="21"/>
                      <w:szCs w:val="21"/>
                    </w:rPr>
                  </w:pPr>
                  <w:r>
                    <w:rPr>
                      <w:rFonts w:hint="eastAsia"/>
                      <w:color w:val="auto"/>
                      <w:sz w:val="21"/>
                      <w:szCs w:val="21"/>
                    </w:rPr>
                    <w:t>园区供水管网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8" w:type="pct"/>
                  <w:noWrap w:val="0"/>
                  <w:vAlign w:val="center"/>
                </w:tcPr>
                <w:p>
                  <w:pPr>
                    <w:keepNext w:val="0"/>
                    <w:keepLines w:val="0"/>
                    <w:pageBreakBefore w:val="0"/>
                    <w:widowControl w:val="0"/>
                    <w:kinsoku/>
                    <w:wordWrap/>
                    <w:bidi w:val="0"/>
                    <w:jc w:val="center"/>
                    <w:rPr>
                      <w:color w:val="auto"/>
                      <w:sz w:val="21"/>
                      <w:szCs w:val="21"/>
                    </w:rPr>
                  </w:pPr>
                  <w:r>
                    <w:rPr>
                      <w:rFonts w:hint="eastAsia"/>
                      <w:color w:val="auto"/>
                      <w:sz w:val="21"/>
                      <w:szCs w:val="21"/>
                    </w:rPr>
                    <w:t>3</w:t>
                  </w:r>
                </w:p>
              </w:tc>
              <w:tc>
                <w:tcPr>
                  <w:tcW w:w="1133" w:type="pct"/>
                  <w:noWrap w:val="0"/>
                  <w:vAlign w:val="center"/>
                </w:tcPr>
                <w:p>
                  <w:pPr>
                    <w:keepNext w:val="0"/>
                    <w:keepLines w:val="0"/>
                    <w:pageBreakBefore w:val="0"/>
                    <w:widowControl w:val="0"/>
                    <w:kinsoku/>
                    <w:wordWrap/>
                    <w:bidi w:val="0"/>
                    <w:jc w:val="center"/>
                    <w:rPr>
                      <w:color w:val="auto"/>
                      <w:sz w:val="21"/>
                      <w:szCs w:val="21"/>
                    </w:rPr>
                  </w:pPr>
                  <w:r>
                    <w:rPr>
                      <w:rFonts w:hint="eastAsia"/>
                      <w:color w:val="auto"/>
                      <w:sz w:val="21"/>
                      <w:szCs w:val="21"/>
                    </w:rPr>
                    <w:t>蒸汽</w:t>
                  </w:r>
                </w:p>
              </w:tc>
              <w:tc>
                <w:tcPr>
                  <w:tcW w:w="1547" w:type="pct"/>
                  <w:noWrap w:val="0"/>
                  <w:vAlign w:val="center"/>
                </w:tcPr>
                <w:p>
                  <w:pPr>
                    <w:keepNext w:val="0"/>
                    <w:keepLines w:val="0"/>
                    <w:pageBreakBefore w:val="0"/>
                    <w:widowControl w:val="0"/>
                    <w:kinsoku/>
                    <w:wordWrap/>
                    <w:bidi w:val="0"/>
                    <w:jc w:val="center"/>
                    <w:rPr>
                      <w:rFonts w:hint="eastAsia"/>
                      <w:color w:val="auto"/>
                      <w:sz w:val="21"/>
                      <w:szCs w:val="21"/>
                    </w:rPr>
                  </w:pPr>
                  <w:r>
                    <w:rPr>
                      <w:rFonts w:hint="eastAsia"/>
                      <w:color w:val="auto"/>
                      <w:sz w:val="21"/>
                      <w:szCs w:val="21"/>
                      <w:lang w:val="en-US" w:eastAsia="zh-CN"/>
                    </w:rPr>
                    <w:t>678</w:t>
                  </w:r>
                  <w:r>
                    <w:rPr>
                      <w:rFonts w:hint="eastAsia"/>
                      <w:color w:val="auto"/>
                      <w:sz w:val="21"/>
                      <w:szCs w:val="21"/>
                    </w:rPr>
                    <w:t>0 t</w:t>
                  </w:r>
                </w:p>
              </w:tc>
              <w:tc>
                <w:tcPr>
                  <w:tcW w:w="1472" w:type="pct"/>
                  <w:noWrap w:val="0"/>
                  <w:vAlign w:val="center"/>
                </w:tcPr>
                <w:p>
                  <w:pPr>
                    <w:keepNext w:val="0"/>
                    <w:keepLines w:val="0"/>
                    <w:pageBreakBefore w:val="0"/>
                    <w:widowControl w:val="0"/>
                    <w:kinsoku/>
                    <w:wordWrap/>
                    <w:bidi w:val="0"/>
                    <w:jc w:val="center"/>
                    <w:rPr>
                      <w:rFonts w:hint="eastAsia"/>
                      <w:color w:val="auto"/>
                      <w:sz w:val="21"/>
                      <w:szCs w:val="21"/>
                    </w:rPr>
                  </w:pPr>
                  <w:r>
                    <w:rPr>
                      <w:rFonts w:hint="eastAsia"/>
                      <w:color w:val="auto"/>
                      <w:sz w:val="21"/>
                      <w:szCs w:val="21"/>
                    </w:rPr>
                    <w:t>园区供热管网</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eastAsia="宋体"/>
                <w:b/>
                <w:bCs w:val="0"/>
                <w:color w:val="000000"/>
                <w:lang w:val="en-US" w:eastAsia="zh-CN"/>
              </w:rPr>
            </w:pPr>
            <w:r>
              <w:rPr>
                <w:rFonts w:hint="eastAsia"/>
                <w:b/>
                <w:bCs w:val="0"/>
                <w:color w:val="000000"/>
                <w:lang w:val="en-US" w:eastAsia="zh-CN"/>
              </w:rPr>
              <w:t>原辅材料理化性质：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000000"/>
              </w:rPr>
            </w:pPr>
            <w:r>
              <w:rPr>
                <w:rFonts w:hint="eastAsia"/>
                <w:b w:val="0"/>
                <w:bCs/>
                <w:color w:val="000000"/>
                <w:lang w:eastAsia="zh-CN"/>
              </w:rPr>
              <w:t>（</w:t>
            </w:r>
            <w:r>
              <w:rPr>
                <w:rFonts w:hint="eastAsia"/>
                <w:b w:val="0"/>
                <w:bCs/>
                <w:color w:val="000000"/>
                <w:lang w:val="en-US" w:eastAsia="zh-CN"/>
              </w:rPr>
              <w:t>1</w:t>
            </w:r>
            <w:r>
              <w:rPr>
                <w:rFonts w:hint="eastAsia"/>
                <w:b w:val="0"/>
                <w:bCs/>
                <w:color w:val="000000"/>
                <w:lang w:eastAsia="zh-CN"/>
              </w:rPr>
              <w:t>）</w:t>
            </w:r>
            <w:r>
              <w:rPr>
                <w:rFonts w:hint="eastAsia"/>
                <w:b w:val="0"/>
                <w:bCs/>
                <w:color w:val="000000"/>
              </w:rPr>
              <w:t>PET</w:t>
            </w:r>
            <w:r>
              <w:rPr>
                <w:rFonts w:hint="eastAsia"/>
                <w:b w:val="0"/>
                <w:bCs/>
                <w:color w:val="000000"/>
                <w:lang w:eastAsia="zh-CN"/>
              </w:rPr>
              <w:t>：</w:t>
            </w:r>
            <w:r>
              <w:rPr>
                <w:rFonts w:hint="eastAsia"/>
                <w:b w:val="0"/>
                <w:bCs/>
                <w:color w:val="000000"/>
              </w:rPr>
              <w:t>聚对苯二甲酸乙二醇醋，化学式为COC</w:t>
            </w:r>
            <w:r>
              <w:rPr>
                <w:rFonts w:hint="eastAsia"/>
                <w:b w:val="0"/>
                <w:bCs/>
                <w:color w:val="000000"/>
                <w:vertAlign w:val="subscript"/>
              </w:rPr>
              <w:t>6</w:t>
            </w:r>
            <w:r>
              <w:rPr>
                <w:rFonts w:hint="eastAsia"/>
                <w:b w:val="0"/>
                <w:bCs/>
                <w:color w:val="000000"/>
              </w:rPr>
              <w:t>H</w:t>
            </w:r>
            <w:r>
              <w:rPr>
                <w:rFonts w:hint="eastAsia"/>
                <w:b w:val="0"/>
                <w:bCs/>
                <w:color w:val="000000"/>
                <w:vertAlign w:val="subscript"/>
              </w:rPr>
              <w:t>4</w:t>
            </w:r>
            <w:r>
              <w:rPr>
                <w:rFonts w:hint="eastAsia"/>
                <w:b w:val="0"/>
                <w:bCs/>
                <w:color w:val="000000"/>
              </w:rPr>
              <w:t>COOCH</w:t>
            </w:r>
            <w:r>
              <w:rPr>
                <w:rFonts w:hint="eastAsia"/>
                <w:b w:val="0"/>
                <w:bCs/>
                <w:color w:val="000000"/>
                <w:vertAlign w:val="subscript"/>
                <w:lang w:val="en-US" w:eastAsia="zh-CN"/>
              </w:rPr>
              <w:t>2</w:t>
            </w:r>
            <w:r>
              <w:rPr>
                <w:rFonts w:hint="eastAsia"/>
                <w:b w:val="0"/>
                <w:bCs/>
                <w:color w:val="000000"/>
              </w:rPr>
              <w:t>CH</w:t>
            </w:r>
            <w:r>
              <w:rPr>
                <w:rFonts w:hint="eastAsia"/>
                <w:b w:val="0"/>
                <w:bCs/>
                <w:color w:val="000000"/>
                <w:vertAlign w:val="subscript"/>
                <w:lang w:val="en-US" w:eastAsia="zh-CN"/>
              </w:rPr>
              <w:t>2</w:t>
            </w:r>
            <w:r>
              <w:rPr>
                <w:rFonts w:hint="eastAsia"/>
                <w:b w:val="0"/>
                <w:bCs/>
                <w:color w:val="000000"/>
              </w:rPr>
              <w:t>0。</w:t>
            </w:r>
            <w:r>
              <w:rPr>
                <w:rFonts w:hint="eastAsia"/>
                <w:b w:val="0"/>
                <w:bCs/>
                <w:color w:val="000000"/>
                <w:lang w:eastAsia="zh-CN"/>
              </w:rPr>
              <w:t>（</w:t>
            </w:r>
            <w:r>
              <w:rPr>
                <w:rFonts w:hint="eastAsia"/>
                <w:b w:val="0"/>
                <w:bCs/>
                <w:color w:val="000000"/>
              </w:rPr>
              <w:t>英文:Polyethylene terephthalate</w:t>
            </w:r>
            <w:r>
              <w:rPr>
                <w:rFonts w:hint="eastAsia"/>
                <w:b w:val="0"/>
                <w:bCs/>
                <w:color w:val="000000"/>
                <w:lang w:eastAsia="zh-CN"/>
              </w:rPr>
              <w:t>，</w:t>
            </w:r>
            <w:r>
              <w:rPr>
                <w:rFonts w:hint="eastAsia"/>
                <w:b w:val="0"/>
                <w:bCs/>
                <w:color w:val="000000"/>
              </w:rPr>
              <w:t>简称PET</w:t>
            </w:r>
            <w:r>
              <w:rPr>
                <w:rFonts w:hint="eastAsia"/>
                <w:b w:val="0"/>
                <w:bCs/>
                <w:color w:val="000000"/>
                <w:lang w:eastAsia="zh-CN"/>
              </w:rPr>
              <w:t>）</w:t>
            </w:r>
            <w:r>
              <w:rPr>
                <w:rFonts w:hint="eastAsia"/>
                <w:b w:val="0"/>
                <w:bCs/>
                <w:color w:val="000000"/>
              </w:rPr>
              <w:t>，由对苯二甲酸二甲与乙二醇</w:t>
            </w:r>
            <w:r>
              <w:rPr>
                <w:rFonts w:hint="eastAsia"/>
                <w:b w:val="0"/>
                <w:bCs/>
                <w:color w:val="000000"/>
                <w:lang w:val="en-US" w:eastAsia="zh-CN"/>
              </w:rPr>
              <w:t>酯</w:t>
            </w:r>
            <w:r>
              <w:rPr>
                <w:rFonts w:hint="eastAsia"/>
                <w:b w:val="0"/>
                <w:bCs/>
                <w:color w:val="000000"/>
              </w:rPr>
              <w:t>交换或以对苯二甲酸与乙二醇</w:t>
            </w:r>
            <w:r>
              <w:rPr>
                <w:rFonts w:hint="eastAsia"/>
                <w:b w:val="0"/>
                <w:bCs/>
                <w:color w:val="000000"/>
                <w:lang w:val="en-US" w:eastAsia="zh-CN"/>
              </w:rPr>
              <w:t>酯</w:t>
            </w:r>
            <w:r>
              <w:rPr>
                <w:rFonts w:hint="eastAsia"/>
                <w:b w:val="0"/>
                <w:bCs/>
                <w:color w:val="000000"/>
              </w:rPr>
              <w:t>化先合成对苯二甲酸双</w:t>
            </w:r>
            <w:r>
              <w:rPr>
                <w:rFonts w:hint="eastAsia"/>
                <w:b w:val="0"/>
                <w:bCs/>
                <w:color w:val="000000"/>
                <w:lang w:val="en-US" w:eastAsia="zh-CN"/>
              </w:rPr>
              <w:t>羟</w:t>
            </w:r>
            <w:r>
              <w:rPr>
                <w:rFonts w:hint="eastAsia"/>
                <w:b w:val="0"/>
                <w:bCs/>
                <w:color w:val="000000"/>
              </w:rPr>
              <w:t>乙</w:t>
            </w:r>
            <w:r>
              <w:rPr>
                <w:rFonts w:hint="eastAsia"/>
                <w:b w:val="0"/>
                <w:bCs/>
                <w:color w:val="000000"/>
                <w:lang w:val="en-US" w:eastAsia="zh-CN"/>
              </w:rPr>
              <w:t>酯</w:t>
            </w:r>
            <w:r>
              <w:rPr>
                <w:rFonts w:hint="eastAsia"/>
                <w:b w:val="0"/>
                <w:bCs/>
                <w:color w:val="000000"/>
              </w:rPr>
              <w:t>，然后再进行缩聚反应制得。属结晶型饱和聚</w:t>
            </w:r>
            <w:r>
              <w:rPr>
                <w:rFonts w:hint="eastAsia"/>
                <w:b w:val="0"/>
                <w:bCs/>
                <w:color w:val="000000"/>
                <w:lang w:val="en-US" w:eastAsia="zh-CN"/>
              </w:rPr>
              <w:t>酯</w:t>
            </w:r>
            <w:r>
              <w:rPr>
                <w:rFonts w:hint="eastAsia"/>
                <w:b w:val="0"/>
                <w:bCs/>
                <w:color w:val="000000"/>
              </w:rPr>
              <w:t>，为乳白色或浅黄色、高度结晶的聚合物，表面平滑有光泽。平均分子量(2-3)</w:t>
            </w:r>
            <w:r>
              <w:rPr>
                <w:rFonts w:hint="default" w:ascii="Arial" w:hAnsi="Arial" w:cs="Arial"/>
                <w:b w:val="0"/>
                <w:bCs/>
                <w:color w:val="000000"/>
              </w:rPr>
              <w:t>×</w:t>
            </w:r>
            <w:r>
              <w:rPr>
                <w:rFonts w:hint="eastAsia"/>
                <w:b w:val="0"/>
                <w:bCs/>
                <w:color w:val="000000"/>
              </w:rPr>
              <w:t>10</w:t>
            </w:r>
            <w:r>
              <w:rPr>
                <w:rFonts w:hint="eastAsia"/>
                <w:b w:val="0"/>
                <w:bCs/>
                <w:color w:val="000000"/>
                <w:vertAlign w:val="superscript"/>
                <w:lang w:val="en-US" w:eastAsia="zh-CN"/>
              </w:rPr>
              <w:t>4</w:t>
            </w:r>
            <w:r>
              <w:rPr>
                <w:rFonts w:hint="eastAsia"/>
                <w:b w:val="0"/>
                <w:bCs/>
                <w:color w:val="000000"/>
              </w:rPr>
              <w:t>，重均与数均分子量之比为1.5-1.8。玻璃化温度80</w:t>
            </w:r>
            <w:r>
              <w:rPr>
                <w:rFonts w:hint="eastAsia"/>
                <w:b w:val="0"/>
                <w:bCs/>
                <w:color w:val="000000"/>
                <w:lang w:val="en-US" w:eastAsia="zh-CN"/>
              </w:rPr>
              <w:t>℃</w:t>
            </w:r>
            <w:r>
              <w:rPr>
                <w:rFonts w:hint="eastAsia"/>
                <w:b w:val="0"/>
                <w:bCs/>
                <w:color w:val="000000"/>
              </w:rPr>
              <w:t>，马丁耐热80</w:t>
            </w:r>
            <w:r>
              <w:rPr>
                <w:rFonts w:hint="eastAsia"/>
                <w:b w:val="0"/>
                <w:bCs/>
                <w:color w:val="000000"/>
                <w:lang w:val="en-US" w:eastAsia="zh-CN"/>
              </w:rPr>
              <w:t>℃</w:t>
            </w:r>
            <w:r>
              <w:rPr>
                <w:rFonts w:hint="eastAsia"/>
                <w:b w:val="0"/>
                <w:bCs/>
                <w:color w:val="000000"/>
              </w:rPr>
              <w:t>，热变形温度98</w:t>
            </w:r>
            <w:r>
              <w:rPr>
                <w:rFonts w:hint="eastAsia"/>
                <w:b w:val="0"/>
                <w:bCs/>
                <w:color w:val="000000"/>
                <w:lang w:val="en-US" w:eastAsia="zh-CN"/>
              </w:rPr>
              <w:t>℃</w:t>
            </w:r>
            <w:r>
              <w:rPr>
                <w:rFonts w:hint="eastAsia"/>
                <w:b w:val="0"/>
                <w:bCs/>
                <w:color w:val="000000"/>
                <w:lang w:eastAsia="zh-CN"/>
              </w:rPr>
              <w:t>（</w:t>
            </w:r>
            <w:r>
              <w:rPr>
                <w:rFonts w:hint="eastAsia"/>
                <w:b w:val="0"/>
                <w:bCs/>
                <w:color w:val="000000"/>
              </w:rPr>
              <w:t>1.82MPa</w:t>
            </w:r>
            <w:r>
              <w:rPr>
                <w:rFonts w:hint="eastAsia"/>
                <w:b w:val="0"/>
                <w:bCs/>
                <w:color w:val="000000"/>
                <w:lang w:eastAsia="zh-CN"/>
              </w:rPr>
              <w:t>）</w:t>
            </w:r>
            <w:r>
              <w:rPr>
                <w:rFonts w:hint="eastAsia"/>
                <w:b w:val="0"/>
                <w:bCs/>
                <w:color w:val="000000"/>
              </w:rPr>
              <w:t>，分解温度353</w:t>
            </w:r>
            <w:r>
              <w:rPr>
                <w:rFonts w:hint="eastAsia"/>
                <w:b w:val="0"/>
                <w:bCs/>
                <w:color w:val="000000"/>
                <w:lang w:val="en-US" w:eastAsia="zh-CN"/>
              </w:rPr>
              <w:t>℃</w:t>
            </w:r>
            <w:r>
              <w:rPr>
                <w:rFonts w:hint="eastAsia"/>
                <w:b w:val="0"/>
                <w:bCs/>
                <w:color w:val="000000"/>
              </w:rPr>
              <w:t>。具有优良的机械性能。刚性高、硬度大，吸水性很小，尺寸稳定性好。韧性好，耐冲击、耐摩擦、耐蠕变。耐化学性好，溶于甲酚、浓硫酸、硝基苯、三氯醋酸、氯苯酚，不溶于甲醇、乙醇、丙酮、烷烃。使用温度-100~120</w:t>
            </w:r>
            <w:r>
              <w:rPr>
                <w:rFonts w:hint="eastAsia"/>
                <w:b w:val="0"/>
                <w:bCs/>
                <w:color w:val="000000"/>
                <w:lang w:val="en-US" w:eastAsia="zh-CN"/>
              </w:rPr>
              <w:t>℃</w:t>
            </w:r>
            <w:r>
              <w:rPr>
                <w:rFonts w:hint="eastAsia"/>
                <w:b w:val="0"/>
                <w:bCs/>
                <w:color w:val="000000"/>
              </w:rPr>
              <w:t>。弯曲强度148-310MPa</w:t>
            </w:r>
            <w:r>
              <w:rPr>
                <w:rFonts w:hint="eastAsia"/>
                <w:b w:val="0"/>
                <w:bCs/>
                <w:color w:val="000000"/>
                <w:lang w:eastAsia="zh-CN"/>
              </w:rPr>
              <w:t>，</w:t>
            </w:r>
            <w:r>
              <w:rPr>
                <w:rFonts w:hint="eastAsia"/>
                <w:b w:val="0"/>
                <w:bCs/>
                <w:color w:val="000000"/>
              </w:rPr>
              <w:t>密度:1.68g/mLat 25</w:t>
            </w:r>
            <w:r>
              <w:rPr>
                <w:rFonts w:hint="eastAsia"/>
                <w:b w:val="0"/>
                <w:bCs/>
                <w:color w:val="000000"/>
                <w:lang w:val="en-US" w:eastAsia="zh-CN"/>
              </w:rPr>
              <w:t>℃</w:t>
            </w:r>
            <w:r>
              <w:rPr>
                <w:rFonts w:hint="eastAsia"/>
                <w:b w:val="0"/>
                <w:bCs/>
                <w:color w:val="000000"/>
              </w:rPr>
              <w:t>，熔点:250-255</w:t>
            </w:r>
            <w:r>
              <w:rPr>
                <w:rFonts w:hint="eastAsia"/>
                <w:b w:val="0"/>
                <w:bCs/>
                <w:color w:val="000000"/>
                <w:lang w:val="en-US" w:eastAsia="zh-CN"/>
              </w:rPr>
              <w:t>℃</w:t>
            </w:r>
            <w:r>
              <w:rPr>
                <w:rFonts w:hint="eastAsia"/>
                <w:b w:val="0"/>
                <w:bCs/>
                <w:color w:val="000000"/>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000000"/>
              </w:rPr>
            </w:pPr>
            <w:r>
              <w:rPr>
                <w:rFonts w:hint="eastAsia"/>
                <w:b w:val="0"/>
                <w:bCs/>
                <w:color w:val="000000"/>
                <w:lang w:eastAsia="zh-CN"/>
              </w:rPr>
              <w:t>（</w:t>
            </w:r>
            <w:r>
              <w:rPr>
                <w:rFonts w:hint="eastAsia"/>
                <w:b w:val="0"/>
                <w:bCs/>
                <w:color w:val="000000"/>
                <w:lang w:val="en-US" w:eastAsia="zh-CN"/>
              </w:rPr>
              <w:t>2</w:t>
            </w:r>
            <w:r>
              <w:rPr>
                <w:rFonts w:hint="eastAsia"/>
                <w:b w:val="0"/>
                <w:bCs/>
                <w:color w:val="000000"/>
                <w:lang w:eastAsia="zh-CN"/>
              </w:rPr>
              <w:t>）</w:t>
            </w:r>
            <w:r>
              <w:rPr>
                <w:rFonts w:hint="eastAsia"/>
                <w:b w:val="0"/>
                <w:bCs/>
                <w:color w:val="000000"/>
              </w:rPr>
              <w:t>活性炭</w:t>
            </w:r>
            <w:r>
              <w:rPr>
                <w:rFonts w:hint="eastAsia"/>
                <w:b w:val="0"/>
                <w:bCs/>
                <w:color w:val="000000"/>
                <w:lang w:eastAsia="zh-CN"/>
              </w:rPr>
              <w:t>：</w:t>
            </w:r>
            <w:r>
              <w:rPr>
                <w:rFonts w:hint="eastAsia"/>
                <w:b w:val="0"/>
                <w:bCs/>
                <w:color w:val="000000"/>
              </w:rPr>
              <w:t>主要成分碳，并含少量氧、氢、硫、氮、氯等元素。普通活性炭的比表面积在500~1700m</w:t>
            </w:r>
            <w:r>
              <w:rPr>
                <w:rFonts w:hint="eastAsia"/>
                <w:b w:val="0"/>
                <w:bCs/>
                <w:color w:val="000000"/>
                <w:vertAlign w:val="superscript"/>
              </w:rPr>
              <w:t>2</w:t>
            </w:r>
            <w:r>
              <w:rPr>
                <w:rFonts w:hint="eastAsia"/>
                <w:b w:val="0"/>
                <w:bCs/>
                <w:color w:val="000000"/>
              </w:rPr>
              <w:t>/g之间</w:t>
            </w:r>
            <w:r>
              <w:rPr>
                <w:rFonts w:hint="eastAsia"/>
                <w:b w:val="0"/>
                <w:bCs/>
                <w:color w:val="000000"/>
                <w:lang w:eastAsia="zh-CN"/>
              </w:rPr>
              <w:t>，</w:t>
            </w:r>
            <w:r>
              <w:rPr>
                <w:rFonts w:hint="eastAsia"/>
                <w:b w:val="0"/>
                <w:bCs/>
                <w:color w:val="000000"/>
              </w:rPr>
              <w:t>具有很强的吸附性能，为用途极广的一种工业吸附剂</w:t>
            </w:r>
            <w:r>
              <w:rPr>
                <w:rFonts w:hint="eastAsia"/>
                <w:b w:val="0"/>
                <w:bCs/>
                <w:color w:val="000000"/>
                <w:lang w:eastAsia="zh-CN"/>
              </w:rPr>
              <w:t>，</w:t>
            </w:r>
            <w:r>
              <w:rPr>
                <w:rFonts w:hint="eastAsia"/>
                <w:b w:val="0"/>
                <w:bCs/>
                <w:color w:val="000000"/>
              </w:rPr>
              <w:t>主要用于食品、饮料、酒类、空气净化和高纯饮用水的除臭。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b w:val="0"/>
                <w:bCs/>
                <w:color w:val="000000"/>
                <w:lang w:eastAsia="zh-CN"/>
              </w:rPr>
            </w:pPr>
            <w:r>
              <w:rPr>
                <w:rFonts w:hint="eastAsia"/>
                <w:b w:val="0"/>
                <w:bCs/>
                <w:color w:val="000000"/>
                <w:lang w:eastAsia="zh-CN"/>
              </w:rPr>
              <w:t>（</w:t>
            </w:r>
            <w:r>
              <w:rPr>
                <w:rFonts w:hint="eastAsia"/>
                <w:b w:val="0"/>
                <w:bCs/>
                <w:color w:val="000000"/>
                <w:lang w:val="en-US" w:eastAsia="zh-CN"/>
              </w:rPr>
              <w:t>3</w:t>
            </w:r>
            <w:r>
              <w:rPr>
                <w:rFonts w:hint="eastAsia"/>
                <w:b w:val="0"/>
                <w:bCs/>
                <w:color w:val="000000"/>
                <w:lang w:eastAsia="zh-CN"/>
              </w:rPr>
              <w:t>）</w:t>
            </w:r>
            <w:r>
              <w:rPr>
                <w:rFonts w:hint="eastAsia"/>
                <w:b w:val="0"/>
                <w:bCs/>
                <w:color w:val="000000"/>
                <w:lang w:val="en-US" w:eastAsia="zh-CN"/>
              </w:rPr>
              <w:t>碱性清洗剂：由</w:t>
            </w:r>
            <w:r>
              <w:rPr>
                <w:rFonts w:hint="eastAsia"/>
                <w:b w:val="0"/>
                <w:bCs/>
                <w:color w:val="000000"/>
                <w:lang w:eastAsia="zh-CN"/>
              </w:rPr>
              <w:t>氢氧化钠、</w:t>
            </w:r>
            <w:r>
              <w:rPr>
                <w:rFonts w:hint="eastAsia"/>
                <w:b w:val="0"/>
                <w:bCs/>
                <w:color w:val="000000"/>
                <w:lang w:val="en-US" w:eastAsia="zh-CN"/>
              </w:rPr>
              <w:t>次氯酸钠等组成的混合物</w:t>
            </w:r>
            <w:r>
              <w:rPr>
                <w:rFonts w:hint="eastAsia"/>
                <w:b w:val="0"/>
                <w:bCs/>
                <w:color w:val="000000"/>
                <w:lang w:eastAsia="zh-CN"/>
              </w:rPr>
              <w:t>，</w:t>
            </w:r>
            <w:r>
              <w:rPr>
                <w:rFonts w:hint="eastAsia"/>
                <w:b w:val="0"/>
                <w:bCs/>
                <w:color w:val="000000"/>
                <w:lang w:val="en-US" w:eastAsia="zh-CN"/>
              </w:rPr>
              <w:t>氢氧化钠1-10</w:t>
            </w:r>
            <w:r>
              <w:rPr>
                <w:rFonts w:hint="eastAsia"/>
                <w:b w:val="0"/>
                <w:bCs/>
                <w:color w:val="000000"/>
                <w:lang w:eastAsia="zh-CN"/>
              </w:rPr>
              <w:t>%，</w:t>
            </w:r>
            <w:r>
              <w:rPr>
                <w:rFonts w:hint="eastAsia"/>
                <w:b w:val="0"/>
                <w:bCs/>
                <w:color w:val="000000"/>
                <w:lang w:val="en-US" w:eastAsia="zh-CN"/>
              </w:rPr>
              <w:t>次氯酸钠1.8-5</w:t>
            </w:r>
            <w:r>
              <w:rPr>
                <w:rFonts w:hint="eastAsia"/>
                <w:b w:val="0"/>
                <w:bCs/>
                <w:color w:val="000000"/>
                <w:lang w:eastAsia="zh-CN"/>
              </w:rPr>
              <w:t>%，</w:t>
            </w:r>
            <w:r>
              <w:rPr>
                <w:rFonts w:hint="eastAsia"/>
                <w:b w:val="0"/>
                <w:bCs/>
                <w:color w:val="000000"/>
                <w:lang w:val="en-US" w:eastAsia="zh-CN"/>
              </w:rPr>
              <w:t>用于清洗去除罐外壁、灌装机、链条输送带、地板及各种设备及其表面的油渍和消毒</w:t>
            </w:r>
            <w:r>
              <w:rPr>
                <w:rFonts w:hint="eastAsia"/>
                <w:b w:val="0"/>
                <w:bCs/>
                <w:color w:val="000000"/>
                <w:lang w:eastAsia="zh-CN"/>
              </w:rPr>
              <w:t>。</w:t>
            </w:r>
          </w:p>
          <w:p>
            <w:pPr>
              <w:keepNext w:val="0"/>
              <w:keepLines w:val="0"/>
              <w:pageBreakBefore w:val="0"/>
              <w:widowControl w:val="0"/>
              <w:tabs>
                <w:tab w:val="left" w:pos="748"/>
              </w:tabs>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b w:val="0"/>
                <w:bCs/>
                <w:color w:val="000000"/>
                <w:lang w:eastAsia="zh-CN"/>
              </w:rPr>
            </w:pPr>
            <w:r>
              <w:rPr>
                <w:rFonts w:hint="eastAsia"/>
                <w:b w:val="0"/>
                <w:bCs/>
                <w:color w:val="000000"/>
                <w:lang w:eastAsia="zh-CN"/>
              </w:rPr>
              <w:t>（</w:t>
            </w:r>
            <w:r>
              <w:rPr>
                <w:rFonts w:hint="eastAsia"/>
                <w:b w:val="0"/>
                <w:bCs/>
                <w:color w:val="000000"/>
                <w:lang w:val="en-US" w:eastAsia="zh-CN"/>
              </w:rPr>
              <w:t>4</w:t>
            </w:r>
            <w:r>
              <w:rPr>
                <w:rFonts w:hint="eastAsia"/>
                <w:b w:val="0"/>
                <w:bCs/>
                <w:color w:val="000000"/>
                <w:lang w:eastAsia="zh-CN"/>
              </w:rPr>
              <w:t>）酸性清洗剂：硝酸混合物，浓度范围30-60%，无色液体，刺鼻的味道，pH1.0-2.0，相比密度1.29-1.31，可溶于水，正常条件下稳定。可能加剧燃烧：氧化剂。造成严重皮肤灼伤和眼损伤。对水生生物有害，避免与漂白产品或其他含氯产品汇合-会生成氯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b w:val="0"/>
                <w:bCs/>
                <w:color w:val="000000"/>
                <w:lang w:eastAsia="zh-CN"/>
              </w:rPr>
            </w:pPr>
            <w:r>
              <w:rPr>
                <w:rFonts w:hint="eastAsia"/>
                <w:b w:val="0"/>
                <w:bCs/>
                <w:color w:val="000000"/>
                <w:lang w:eastAsia="zh-CN"/>
              </w:rPr>
              <w:t>（</w:t>
            </w:r>
            <w:r>
              <w:rPr>
                <w:rFonts w:hint="eastAsia"/>
                <w:b w:val="0"/>
                <w:bCs/>
                <w:color w:val="000000"/>
                <w:lang w:val="en-US" w:eastAsia="zh-CN"/>
              </w:rPr>
              <w:t>5</w:t>
            </w:r>
            <w:r>
              <w:rPr>
                <w:rFonts w:hint="eastAsia"/>
                <w:b w:val="0"/>
                <w:bCs/>
                <w:color w:val="000000"/>
                <w:lang w:eastAsia="zh-CN"/>
              </w:rPr>
              <w:t>）阻垢剂：聚羚酸三元共聚物，俗名：反渗透阻垢剂，用于工业反渗透设备污水处理,阻止污垢，无燃爆危险。无色至淡黄色黄色黏稠液，密度1.4-1.5，熔点 188-189</w:t>
            </w:r>
            <w:r>
              <w:rPr>
                <w:rFonts w:hint="eastAsia"/>
                <w:b w:val="0"/>
                <w:bCs/>
                <w:color w:val="000000"/>
                <w:lang w:val="en-US" w:eastAsia="zh-CN"/>
              </w:rPr>
              <w:t>℃，</w:t>
            </w:r>
            <w:r>
              <w:rPr>
                <w:rFonts w:hint="eastAsia"/>
                <w:b w:val="0"/>
                <w:bCs/>
                <w:color w:val="000000"/>
                <w:lang w:eastAsia="zh-CN"/>
              </w:rPr>
              <w:t>易溶于水，溶于甲醇和乙醇。剧强酸性和腐蚀性，按照规定使用和储存则不会分解。在水中有较大的离解常数。能与金属离子形成稳定的鳌合物和配合物，能与含活泼氧的化合物形成稳定的加成物，使活泼氧保持稳定。在高pH值情况下仍很稳定、低毒、无公害。在200</w:t>
            </w:r>
            <w:r>
              <w:rPr>
                <w:rFonts w:hint="eastAsia"/>
                <w:b w:val="0"/>
                <w:bCs/>
                <w:color w:val="000000"/>
                <w:lang w:val="en-US" w:eastAsia="zh-CN"/>
              </w:rPr>
              <w:t>℃</w:t>
            </w:r>
            <w:r>
              <w:rPr>
                <w:rFonts w:hint="eastAsia"/>
                <w:b w:val="0"/>
                <w:bCs/>
                <w:color w:val="000000"/>
                <w:lang w:eastAsia="zh-CN"/>
              </w:rPr>
              <w:t>下有良好的阻垢作用，250</w:t>
            </w:r>
            <w:r>
              <w:rPr>
                <w:rFonts w:hint="eastAsia"/>
                <w:b w:val="0"/>
                <w:bCs/>
                <w:color w:val="000000"/>
                <w:lang w:val="en-US" w:eastAsia="zh-CN"/>
              </w:rPr>
              <w:t>℃</w:t>
            </w:r>
            <w:r>
              <w:rPr>
                <w:rFonts w:hint="eastAsia"/>
                <w:b w:val="0"/>
                <w:bCs/>
                <w:color w:val="000000"/>
                <w:lang w:eastAsia="zh-CN"/>
              </w:rPr>
              <w:t>以上分解，耐酸碱。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color w:val="000000"/>
                <w:lang w:eastAsia="zh-CN"/>
              </w:rPr>
            </w:pPr>
            <w:r>
              <w:rPr>
                <w:rFonts w:hint="eastAsia"/>
                <w:b w:val="0"/>
                <w:bCs/>
                <w:color w:val="000000"/>
                <w:lang w:eastAsia="zh-CN"/>
              </w:rPr>
              <w:t>（</w:t>
            </w:r>
            <w:r>
              <w:rPr>
                <w:rFonts w:hint="eastAsia"/>
                <w:b w:val="0"/>
                <w:bCs/>
                <w:color w:val="000000"/>
                <w:lang w:val="en-US" w:eastAsia="zh-CN"/>
              </w:rPr>
              <w:t>6</w:t>
            </w:r>
            <w:r>
              <w:rPr>
                <w:rFonts w:hint="eastAsia"/>
                <w:b w:val="0"/>
                <w:bCs/>
                <w:color w:val="000000"/>
                <w:lang w:eastAsia="zh-CN"/>
              </w:rPr>
              <w:t>）润滑剂：黄色(浅)液体，微弱气味，pH值 5.9-6.5，闪点&gt;100</w:t>
            </w:r>
            <w:r>
              <w:rPr>
                <w:rFonts w:hint="eastAsia"/>
                <w:b w:val="0"/>
                <w:bCs/>
                <w:color w:val="000000"/>
                <w:lang w:val="en-US" w:eastAsia="zh-CN"/>
              </w:rPr>
              <w:t>℃</w:t>
            </w:r>
            <w:r>
              <w:rPr>
                <w:rFonts w:hint="eastAsia"/>
                <w:b w:val="0"/>
                <w:bCs/>
                <w:color w:val="000000"/>
                <w:lang w:eastAsia="zh-CN"/>
              </w:rPr>
              <w:t>，沸点100</w:t>
            </w:r>
            <w:r>
              <w:rPr>
                <w:rFonts w:hint="eastAsia"/>
                <w:b w:val="0"/>
                <w:bCs/>
                <w:color w:val="000000"/>
                <w:lang w:val="en-US" w:eastAsia="zh-CN"/>
              </w:rPr>
              <w:t>℃</w:t>
            </w:r>
            <w:r>
              <w:rPr>
                <w:rFonts w:hint="eastAsia"/>
                <w:b w:val="0"/>
                <w:bCs/>
                <w:color w:val="000000"/>
                <w:lang w:eastAsia="zh-CN"/>
              </w:rPr>
              <w:t>相对密度0.99-1.02(水=1)，易溶于下列物质：冷水和热水。主要成分a -异十三烷基-基-聚(氧-1，2-亚乙基)，浓度范围 1-10%，C12-14-烷基二甲基胺，浓度范围1-10%N-十二烷基-1，3-丙二胺，度范围 1-10%，乙氧基椰油烷基胺，浓度范围1-10%等。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color w:val="000000"/>
                <w:lang w:val="en-US" w:eastAsia="zh-CN"/>
              </w:rPr>
            </w:pPr>
            <w:r>
              <w:rPr>
                <w:rFonts w:hint="eastAsia"/>
                <w:b w:val="0"/>
                <w:bCs/>
                <w:color w:val="000000"/>
                <w:lang w:eastAsia="zh-CN"/>
              </w:rPr>
              <w:t>（</w:t>
            </w:r>
            <w:r>
              <w:rPr>
                <w:rFonts w:hint="eastAsia"/>
                <w:b w:val="0"/>
                <w:bCs/>
                <w:color w:val="000000"/>
                <w:lang w:val="en-US" w:eastAsia="zh-CN"/>
              </w:rPr>
              <w:t>7</w:t>
            </w:r>
            <w:r>
              <w:rPr>
                <w:rFonts w:hint="eastAsia"/>
                <w:b w:val="0"/>
                <w:bCs/>
                <w:color w:val="000000"/>
                <w:lang w:eastAsia="zh-CN"/>
              </w:rPr>
              <w:t>）</w:t>
            </w:r>
            <w:r>
              <w:rPr>
                <w:rFonts w:hint="eastAsia"/>
                <w:b w:val="0"/>
                <w:bCs/>
                <w:color w:val="000000"/>
                <w:lang w:val="en-US" w:eastAsia="zh-CN"/>
              </w:rPr>
              <w:t>氢氧化钠：白色不透明固体，片状，易潮解，熔点318.4℃，沸点1390℃，相对密度（空气=1）2.12，易溶于水、乙醇、甘油、不溶于丙醇。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b w:val="0"/>
                <w:bCs/>
                <w:color w:val="000000"/>
                <w:lang w:val="en-US" w:eastAsia="zh-CN"/>
              </w:rPr>
            </w:pPr>
            <w:r>
              <w:rPr>
                <w:rFonts w:hint="eastAsia"/>
                <w:b w:val="0"/>
                <w:bCs/>
                <w:color w:val="000000"/>
                <w:lang w:val="en-US" w:eastAsia="zh-CN"/>
              </w:rPr>
              <w:t>（8）次氯酸钠：次氯酸钠溶液，浓度10%，不燃，具腐蚀性，可致人体灼伤，致敏性。微黄色液体，有似氯气的气味，pH值14，相对密度 （水=11.10），沸点102℃，溶于水。主要用于水的净化，以及作消毒剂、纸浆漂白等，医药工业中用制氯胺等。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b w:val="0"/>
                <w:bCs/>
                <w:color w:val="000000"/>
                <w:lang w:val="en-US" w:eastAsia="zh-CN"/>
              </w:rPr>
            </w:pPr>
            <w:r>
              <w:rPr>
                <w:rFonts w:hint="eastAsia"/>
                <w:b w:val="0"/>
                <w:bCs/>
                <w:color w:val="000000"/>
                <w:lang w:eastAsia="zh-CN"/>
              </w:rPr>
              <w:t>（</w:t>
            </w:r>
            <w:r>
              <w:rPr>
                <w:rFonts w:hint="eastAsia"/>
                <w:b w:val="0"/>
                <w:bCs/>
                <w:color w:val="000000"/>
                <w:lang w:val="en-US" w:eastAsia="zh-CN"/>
              </w:rPr>
              <w:t>9</w:t>
            </w:r>
            <w:r>
              <w:rPr>
                <w:rFonts w:hint="eastAsia"/>
                <w:b w:val="0"/>
                <w:bCs/>
                <w:color w:val="000000"/>
                <w:lang w:eastAsia="zh-CN"/>
              </w:rPr>
              <w:t>）</w:t>
            </w:r>
            <w:r>
              <w:rPr>
                <w:rFonts w:hint="eastAsia"/>
                <w:b w:val="0"/>
                <w:bCs/>
                <w:color w:val="000000"/>
                <w:lang w:val="en-US" w:eastAsia="zh-CN"/>
              </w:rPr>
              <w:t>柠檬酸：分子式C</w:t>
            </w:r>
            <w:r>
              <w:rPr>
                <w:rFonts w:hint="eastAsia"/>
                <w:b w:val="0"/>
                <w:bCs/>
                <w:color w:val="000000"/>
                <w:vertAlign w:val="subscript"/>
                <w:lang w:val="en-US" w:eastAsia="zh-CN"/>
              </w:rPr>
              <w:t>6</w:t>
            </w:r>
            <w:r>
              <w:rPr>
                <w:rFonts w:hint="eastAsia"/>
                <w:b w:val="0"/>
                <w:bCs/>
                <w:color w:val="000000"/>
                <w:lang w:val="en-US" w:eastAsia="zh-CN"/>
              </w:rPr>
              <w:t>H</w:t>
            </w:r>
            <w:r>
              <w:rPr>
                <w:rFonts w:hint="eastAsia"/>
                <w:b w:val="0"/>
                <w:bCs/>
                <w:color w:val="000000"/>
                <w:vertAlign w:val="subscript"/>
                <w:lang w:val="en-US" w:eastAsia="zh-CN"/>
              </w:rPr>
              <w:t>8</w:t>
            </w:r>
            <w:r>
              <w:rPr>
                <w:rFonts w:hint="eastAsia"/>
                <w:b w:val="0"/>
                <w:bCs/>
                <w:color w:val="000000"/>
                <w:lang w:val="en-US" w:eastAsia="zh-CN"/>
              </w:rPr>
              <w:t>O</w:t>
            </w:r>
            <w:r>
              <w:rPr>
                <w:rFonts w:hint="eastAsia"/>
                <w:b w:val="0"/>
                <w:bCs/>
                <w:color w:val="000000"/>
                <w:vertAlign w:val="subscript"/>
                <w:lang w:val="en-US" w:eastAsia="zh-CN"/>
              </w:rPr>
              <w:t>7</w:t>
            </w:r>
            <w:r>
              <w:rPr>
                <w:rFonts w:hint="eastAsia" w:ascii="宋体" w:hAnsi="宋体" w:eastAsia="宋体" w:cs="宋体"/>
                <w:b w:val="0"/>
                <w:bCs/>
                <w:color w:val="000000"/>
                <w:vertAlign w:val="baseline"/>
                <w:lang w:val="en-US" w:eastAsia="zh-CN"/>
              </w:rPr>
              <w:t>·H</w:t>
            </w:r>
            <w:r>
              <w:rPr>
                <w:rFonts w:hint="eastAsia" w:ascii="宋体" w:hAnsi="宋体" w:eastAsia="宋体" w:cs="宋体"/>
                <w:b w:val="0"/>
                <w:bCs/>
                <w:color w:val="000000"/>
                <w:vertAlign w:val="subscript"/>
                <w:lang w:val="en-US" w:eastAsia="zh-CN"/>
              </w:rPr>
              <w:t>2</w:t>
            </w:r>
            <w:r>
              <w:rPr>
                <w:rFonts w:hint="eastAsia" w:ascii="宋体" w:hAnsi="宋体" w:eastAsia="宋体" w:cs="宋体"/>
                <w:b w:val="0"/>
                <w:bCs/>
                <w:color w:val="000000"/>
                <w:vertAlign w:val="baseline"/>
                <w:lang w:val="en-US" w:eastAsia="zh-CN"/>
              </w:rPr>
              <w:t>O,分子量210.14，用于二级</w:t>
            </w:r>
            <w:r>
              <w:rPr>
                <w:rFonts w:hint="eastAsia" w:ascii="宋体" w:hAnsi="宋体" w:cs="宋体"/>
                <w:b w:val="0"/>
                <w:bCs/>
                <w:color w:val="000000"/>
                <w:vertAlign w:val="baseline"/>
                <w:lang w:val="en-US" w:eastAsia="zh-CN"/>
              </w:rPr>
              <w:t>RO膜</w:t>
            </w:r>
            <w:r>
              <w:rPr>
                <w:rFonts w:hint="eastAsia" w:ascii="宋体" w:hAnsi="宋体" w:eastAsia="宋体" w:cs="宋体"/>
                <w:b w:val="0"/>
                <w:bCs/>
                <w:color w:val="000000"/>
                <w:vertAlign w:val="baseline"/>
                <w:lang w:val="en-US" w:eastAsia="zh-CN"/>
              </w:rPr>
              <w:t>反渗透</w:t>
            </w:r>
            <w:r>
              <w:rPr>
                <w:rFonts w:hint="eastAsia" w:ascii="宋体" w:hAnsi="宋体" w:cs="宋体"/>
                <w:b w:val="0"/>
                <w:bCs/>
                <w:color w:val="000000"/>
                <w:vertAlign w:val="baseline"/>
                <w:lang w:val="en-US" w:eastAsia="zh-CN"/>
              </w:rPr>
              <w:t>系统反冲洗阶段</w:t>
            </w:r>
            <w:r>
              <w:rPr>
                <w:rFonts w:hint="eastAsia" w:ascii="宋体" w:hAnsi="宋体" w:eastAsia="宋体" w:cs="宋体"/>
                <w:b w:val="0"/>
                <w:bCs/>
                <w:color w:val="000000"/>
                <w:vertAlign w:val="baseline"/>
                <w:lang w:val="en-US" w:eastAsia="zh-CN"/>
              </w:rPr>
              <w:t>，防止RO膜结垢堵塞。</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000000"/>
              </w:rPr>
            </w:pPr>
            <w:r>
              <w:rPr>
                <w:rFonts w:hint="eastAsia"/>
                <w:b/>
                <w:color w:val="000000"/>
              </w:rPr>
              <w:t>6</w:t>
            </w:r>
            <w:r>
              <w:rPr>
                <w:b/>
                <w:color w:val="000000"/>
              </w:rPr>
              <w:t>、主要生产设备</w:t>
            </w:r>
          </w:p>
          <w:p>
            <w:pPr>
              <w:keepNext w:val="0"/>
              <w:keepLines w:val="0"/>
              <w:pageBreakBefore w:val="0"/>
              <w:widowControl w:val="0"/>
              <w:kinsoku/>
              <w:wordWrap/>
              <w:topLinePunct w:val="0"/>
              <w:bidi w:val="0"/>
              <w:snapToGrid w:val="0"/>
              <w:spacing w:line="360" w:lineRule="auto"/>
              <w:ind w:firstLine="480" w:firstLineChars="200"/>
              <w:textAlignment w:val="baseline"/>
              <w:rPr>
                <w:color w:val="000000"/>
                <w:kern w:val="0"/>
                <w:u w:val="none" w:color="000000"/>
              </w:rPr>
            </w:pPr>
            <w:r>
              <w:rPr>
                <w:rFonts w:hint="eastAsia"/>
                <w:color w:val="000000"/>
                <w:kern w:val="0"/>
                <w:u w:val="none" w:color="000000"/>
                <w:lang w:val="en-US" w:eastAsia="zh-CN"/>
              </w:rPr>
              <w:t>本</w:t>
            </w:r>
            <w:r>
              <w:rPr>
                <w:color w:val="000000"/>
                <w:kern w:val="0"/>
                <w:u w:val="none" w:color="000000"/>
              </w:rPr>
              <w:t>项目主要设备见下表。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baseline"/>
              <w:rPr>
                <w:rFonts w:hint="eastAsia"/>
                <w:b/>
                <w:color w:val="000000"/>
                <w:kern w:val="0"/>
                <w:sz w:val="24"/>
              </w:rPr>
            </w:pPr>
            <w:r>
              <w:rPr>
                <w:rFonts w:hint="eastAsia"/>
                <w:b/>
                <w:color w:val="000000"/>
                <w:kern w:val="0"/>
                <w:sz w:val="24"/>
              </w:rPr>
              <w:t>表</w:t>
            </w:r>
            <w:r>
              <w:rPr>
                <w:rFonts w:hint="eastAsia"/>
                <w:b/>
                <w:color w:val="000000"/>
                <w:kern w:val="0"/>
                <w:sz w:val="24"/>
                <w:lang w:val="en-US" w:eastAsia="zh-CN"/>
              </w:rPr>
              <w:t>2</w:t>
            </w:r>
            <w:r>
              <w:rPr>
                <w:rFonts w:hint="eastAsia"/>
                <w:b/>
                <w:color w:val="000000"/>
                <w:kern w:val="0"/>
                <w:sz w:val="24"/>
              </w:rPr>
              <w:t>-</w:t>
            </w:r>
            <w:r>
              <w:rPr>
                <w:rFonts w:hint="eastAsia"/>
                <w:b/>
                <w:color w:val="000000"/>
                <w:kern w:val="0"/>
                <w:sz w:val="24"/>
                <w:lang w:val="en-US" w:eastAsia="zh-CN"/>
              </w:rPr>
              <w:t>7</w:t>
            </w:r>
            <w:r>
              <w:rPr>
                <w:rFonts w:hint="eastAsia"/>
                <w:b/>
                <w:color w:val="000000"/>
                <w:kern w:val="0"/>
                <w:sz w:val="24"/>
              </w:rPr>
              <w:t xml:space="preserve"> 生产设备一览表</w:t>
            </w:r>
          </w:p>
          <w:tbl>
            <w:tblPr>
              <w:tblStyle w:val="21"/>
              <w:tblW w:w="5000" w:type="pct"/>
              <w:jc w:val="center"/>
              <w:tblLayout w:type="autofit"/>
              <w:tblCellMar>
                <w:top w:w="0" w:type="dxa"/>
                <w:left w:w="108" w:type="dxa"/>
                <w:bottom w:w="0" w:type="dxa"/>
                <w:right w:w="108" w:type="dxa"/>
              </w:tblCellMar>
            </w:tblPr>
            <w:tblGrid>
              <w:gridCol w:w="1776"/>
              <w:gridCol w:w="2454"/>
              <w:gridCol w:w="1333"/>
              <w:gridCol w:w="2515"/>
              <w:gridCol w:w="657"/>
            </w:tblGrid>
            <w:tr>
              <w:tblPrEx>
                <w:tblCellMar>
                  <w:top w:w="0" w:type="dxa"/>
                  <w:left w:w="108" w:type="dxa"/>
                  <w:bottom w:w="0" w:type="dxa"/>
                  <w:right w:w="108" w:type="dxa"/>
                </w:tblCellMar>
              </w:tblPrEx>
              <w:trPr>
                <w:trHeight w:val="810" w:hRule="atLeast"/>
                <w:jc w:val="center"/>
              </w:trPr>
              <w:tc>
                <w:tcPr>
                  <w:tcW w:w="1016" w:type="pct"/>
                  <w:tcBorders>
                    <w:top w:val="single" w:color="auto" w:sz="12"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r>
                    <w:rPr>
                      <w:b/>
                      <w:bCs/>
                      <w:color w:val="auto"/>
                      <w:kern w:val="0"/>
                      <w:sz w:val="21"/>
                      <w:szCs w:val="21"/>
                    </w:rPr>
                    <w:t>生产线类别</w:t>
                  </w:r>
                </w:p>
              </w:tc>
              <w:tc>
                <w:tcPr>
                  <w:tcW w:w="1404" w:type="pct"/>
                  <w:tcBorders>
                    <w:top w:val="single" w:color="auto" w:sz="12" w:space="0"/>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r>
                    <w:rPr>
                      <w:b/>
                      <w:bCs/>
                      <w:color w:val="auto"/>
                      <w:kern w:val="0"/>
                      <w:sz w:val="21"/>
                      <w:szCs w:val="21"/>
                    </w:rPr>
                    <w:t>设备名称</w:t>
                  </w:r>
                </w:p>
              </w:tc>
              <w:tc>
                <w:tcPr>
                  <w:tcW w:w="763" w:type="pct"/>
                  <w:tcBorders>
                    <w:top w:val="single" w:color="auto" w:sz="12" w:space="0"/>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r>
                    <w:rPr>
                      <w:b/>
                      <w:bCs/>
                      <w:color w:val="auto"/>
                      <w:kern w:val="0"/>
                      <w:sz w:val="21"/>
                      <w:szCs w:val="21"/>
                    </w:rPr>
                    <w:t>设备品牌</w:t>
                  </w:r>
                </w:p>
              </w:tc>
              <w:tc>
                <w:tcPr>
                  <w:tcW w:w="1439" w:type="pct"/>
                  <w:tcBorders>
                    <w:top w:val="single" w:color="auto" w:sz="12" w:space="0"/>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r>
                    <w:rPr>
                      <w:b/>
                      <w:bCs/>
                      <w:color w:val="auto"/>
                      <w:kern w:val="0"/>
                      <w:sz w:val="21"/>
                      <w:szCs w:val="21"/>
                    </w:rPr>
                    <w:t>设备型号</w:t>
                  </w:r>
                </w:p>
              </w:tc>
              <w:tc>
                <w:tcPr>
                  <w:tcW w:w="376" w:type="pct"/>
                  <w:tcBorders>
                    <w:top w:val="single" w:color="auto" w:sz="12" w:space="0"/>
                    <w:left w:val="nil"/>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r>
                    <w:rPr>
                      <w:b/>
                      <w:bCs/>
                      <w:color w:val="auto"/>
                      <w:kern w:val="0"/>
                      <w:sz w:val="21"/>
                      <w:szCs w:val="21"/>
                    </w:rPr>
                    <w:t>设备数量</w:t>
                  </w:r>
                </w:p>
              </w:tc>
            </w:tr>
            <w:tr>
              <w:tblPrEx>
                <w:tblCellMar>
                  <w:top w:w="0" w:type="dxa"/>
                  <w:left w:w="108" w:type="dxa"/>
                  <w:bottom w:w="0" w:type="dxa"/>
                  <w:right w:w="108" w:type="dxa"/>
                </w:tblCellMar>
              </w:tblPrEx>
              <w:trPr>
                <w:jc w:val="center"/>
              </w:trPr>
              <w:tc>
                <w:tcPr>
                  <w:tcW w:w="1016" w:type="pct"/>
                  <w:vMerge w:val="restart"/>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吹塑罐装生产线</w:t>
                  </w: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吹瓶机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auto"/>
                      <w:sz w:val="21"/>
                      <w:szCs w:val="21"/>
                    </w:rPr>
                  </w:pPr>
                  <w:r>
                    <w:rPr>
                      <w:rFonts w:hint="eastAsia"/>
                      <w:color w:val="auto"/>
                      <w:sz w:val="21"/>
                      <w:szCs w:val="21"/>
                    </w:rPr>
                    <w:t>CONTIFORM 334 SPEED</w:t>
                  </w:r>
                </w:p>
              </w:tc>
              <w:tc>
                <w:tcPr>
                  <w:tcW w:w="376" w:type="pct"/>
                  <w:tcBorders>
                    <w:top w:val="nil"/>
                    <w:left w:val="nil"/>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2</w:t>
                  </w:r>
                  <w:r>
                    <w:rPr>
                      <w:color w:val="auto"/>
                      <w:kern w:val="0"/>
                      <w:sz w:val="21"/>
                      <w:szCs w:val="21"/>
                    </w:rPr>
                    <w:t>台</w:t>
                  </w:r>
                </w:p>
              </w:tc>
            </w:tr>
            <w:tr>
              <w:tblPrEx>
                <w:tblCellMar>
                  <w:top w:w="0" w:type="dxa"/>
                  <w:left w:w="108" w:type="dxa"/>
                  <w:bottom w:w="0" w:type="dxa"/>
                  <w:right w:w="108" w:type="dxa"/>
                </w:tblCellMar>
              </w:tblPrEx>
              <w:trPr>
                <w:trHeight w:val="459" w:hRule="atLeast"/>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瓶坯进给装置</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auto"/>
                      <w:sz w:val="21"/>
                      <w:szCs w:val="21"/>
                    </w:rPr>
                  </w:pPr>
                  <w:r>
                    <w:rPr>
                      <w:rFonts w:hint="eastAsia"/>
                      <w:color w:val="auto"/>
                      <w:sz w:val="21"/>
                      <w:szCs w:val="21"/>
                    </w:rPr>
                    <w:t>—</w:t>
                  </w:r>
                </w:p>
              </w:tc>
              <w:tc>
                <w:tcPr>
                  <w:tcW w:w="376" w:type="pct"/>
                  <w:tcBorders>
                    <w:top w:val="nil"/>
                    <w:left w:val="nil"/>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2</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小字激光喷码机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D3</w:t>
                  </w:r>
                  <w:r>
                    <w:rPr>
                      <w:color w:val="auto"/>
                      <w:kern w:val="0"/>
                      <w:sz w:val="21"/>
                      <w:szCs w:val="21"/>
                    </w:rPr>
                    <w:cr/>
                  </w:r>
                  <w:r>
                    <w:rPr>
                      <w:color w:val="auto"/>
                      <w:kern w:val="0"/>
                      <w:sz w:val="21"/>
                      <w:szCs w:val="21"/>
                    </w:rPr>
                    <w:t>0i blue</w:t>
                  </w:r>
                </w:p>
              </w:tc>
              <w:tc>
                <w:tcPr>
                  <w:tcW w:w="376" w:type="pct"/>
                  <w:tcBorders>
                    <w:top w:val="nil"/>
                    <w:left w:val="nil"/>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2</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高歪盖打检机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CHECKM</w:t>
                  </w:r>
                  <w:r>
                    <w:rPr>
                      <w:color w:val="auto"/>
                      <w:kern w:val="0"/>
                      <w:sz w:val="21"/>
                      <w:szCs w:val="21"/>
                    </w:rPr>
                    <w:cr/>
                  </w:r>
                  <w:r>
                    <w:rPr>
                      <w:color w:val="auto"/>
                      <w:kern w:val="0"/>
                      <w:sz w:val="21"/>
                      <w:szCs w:val="21"/>
                    </w:rPr>
                    <w:t>T 731</w:t>
                  </w:r>
                </w:p>
              </w:tc>
              <w:tc>
                <w:tcPr>
                  <w:tcW w:w="376" w:type="pct"/>
                  <w:tcBorders>
                    <w:top w:val="nil"/>
                    <w:left w:val="nil"/>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2</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罐装</w:t>
                  </w:r>
                  <w:r>
                    <w:rPr>
                      <w:color w:val="auto"/>
                      <w:kern w:val="0"/>
                      <w:sz w:val="21"/>
                      <w:szCs w:val="21"/>
                    </w:rPr>
                    <w:t>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　</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2</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3</w:t>
                  </w:r>
                  <w:r>
                    <w:rPr>
                      <w:color w:val="auto"/>
                      <w:kern w:val="0"/>
                      <w:sz w:val="21"/>
                      <w:szCs w:val="21"/>
                    </w:rPr>
                    <w:t>#贴标机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CONTIROLL 720-18</w:t>
                  </w:r>
                  <w:r>
                    <w:rPr>
                      <w:color w:val="auto"/>
                      <w:kern w:val="0"/>
                      <w:sz w:val="21"/>
                      <w:szCs w:val="21"/>
                    </w:rPr>
                    <w:t>　</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3</w:t>
                  </w:r>
                  <w:r>
                    <w:rPr>
                      <w:color w:val="auto"/>
                      <w:kern w:val="0"/>
                      <w:sz w:val="21"/>
                      <w:szCs w:val="21"/>
                    </w:rPr>
                    <w:t>#标打检机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膜包机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2</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000000" w:fill="FFFFFF"/>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码垛机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2</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吹瓶机冰水机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KKT</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CBOXX 180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2</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充填后吹干风机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T400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输送带</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3</w:t>
                  </w:r>
                  <w:r>
                    <w:rPr>
                      <w:color w:val="auto"/>
                      <w:kern w:val="0"/>
                      <w:sz w:val="21"/>
                      <w:szCs w:val="21"/>
                    </w:rPr>
                    <w:t>#贴标前吹干风机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3</w:t>
                  </w:r>
                  <w:r>
                    <w:rPr>
                      <w:color w:val="auto"/>
                      <w:kern w:val="0"/>
                      <w:sz w:val="21"/>
                      <w:szCs w:val="21"/>
                    </w:rPr>
                    <w:t>#贴标后吹干风机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克朗斯</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T440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restart"/>
                  <w:tcBorders>
                    <w:top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水处理生产线</w:t>
                  </w: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碟片过滤器</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DF1-5</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超滤过滤器</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AUV-103</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3</w:t>
                  </w:r>
                  <w:r>
                    <w:rPr>
                      <w:color w:val="auto"/>
                      <w:kern w:val="0"/>
                      <w:sz w:val="21"/>
                      <w:szCs w:val="21"/>
                    </w:rPr>
                    <w:t>#纯水活性炭过滤器</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　</w:t>
                  </w: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3</w:t>
                  </w:r>
                  <w:r>
                    <w:rPr>
                      <w:color w:val="auto"/>
                      <w:kern w:val="0"/>
                      <w:sz w:val="21"/>
                      <w:szCs w:val="21"/>
                    </w:rPr>
                    <w:t>#工艺水活性炭过滤器</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ACF-1800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3#无菌水活性炭过滤器</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ACF-1800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回收水箱</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TANK-30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纯水反渗透系统</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ARO-L-60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工艺，无菌水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反渗透系统</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ARO-L-40*2</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lang w:val="en-US" w:eastAsia="zh-CN"/>
                    </w:rPr>
                    <w:t>3</w:t>
                  </w:r>
                  <w:r>
                    <w:rPr>
                      <w:color w:val="auto"/>
                      <w:kern w:val="0"/>
                      <w:sz w:val="21"/>
                      <w:szCs w:val="21"/>
                    </w:rPr>
                    <w:t>#超滤水箱</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cr/>
                  </w:r>
                  <w:r>
                    <w:rPr>
                      <w:color w:val="auto"/>
                      <w:kern w:val="0"/>
                      <w:sz w:val="21"/>
                      <w:szCs w:val="21"/>
                    </w:rPr>
                    <w:t>ANK-50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lang w:val="en-US" w:eastAsia="zh-CN"/>
                    </w:rPr>
                  </w:pPr>
                  <w:r>
                    <w:rPr>
                      <w:rFonts w:hint="eastAsia"/>
                      <w:color w:val="auto"/>
                      <w:kern w:val="0"/>
                      <w:sz w:val="21"/>
                      <w:szCs w:val="21"/>
                      <w:lang w:val="en-US" w:eastAsia="zh-CN"/>
                    </w:rPr>
                    <w:t>UHT</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lang w:val="en-US" w:eastAsia="zh-CN"/>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lang w:val="en-US" w:eastAsia="zh-CN"/>
                    </w:rPr>
                  </w:pPr>
                  <w:r>
                    <w:rPr>
                      <w:rFonts w:hint="eastAsia"/>
                      <w:color w:val="auto"/>
                      <w:kern w:val="0"/>
                      <w:sz w:val="21"/>
                      <w:szCs w:val="21"/>
                      <w:lang w:val="en-US" w:eastAsia="zh-CN"/>
                    </w:rPr>
                    <w:t>UV灯</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lang w:val="en-US" w:eastAsia="zh-CN"/>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纯水箱</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TANK-50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臭氧混合水箱</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O3TANK</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回收水超滤系统</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AUF-20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氧气发生器</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OW-100TB-B</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臭氧发生器</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环亚</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SOZYW-120G</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restart"/>
                  <w:tcBorders>
                    <w:bottom w:val="single" w:color="000000" w:sz="4" w:space="0"/>
                    <w:right w:val="single" w:color="auto" w:sz="4" w:space="0"/>
                  </w:tcBorders>
                  <w:shd w:val="clear" w:color="auto" w:fill="auto"/>
                  <w:noWrap/>
                  <w:vAlign w:val="center"/>
                </w:tcPr>
                <w:p>
                  <w:pPr>
                    <w:keepNext w:val="0"/>
                    <w:keepLines w:val="0"/>
                    <w:pageBreakBefore w:val="0"/>
                    <w:widowControl w:val="0"/>
                    <w:tabs>
                      <w:tab w:val="left" w:pos="486"/>
                    </w:tabs>
                    <w:kinsoku/>
                    <w:wordWrap/>
                    <w:overflowPunct/>
                    <w:topLinePunct w:val="0"/>
                    <w:autoSpaceDE/>
                    <w:autoSpaceDN/>
                    <w:bidi w:val="0"/>
                    <w:adjustRightInd w:val="0"/>
                    <w:snapToGrid w:val="0"/>
                    <w:spacing w:line="240" w:lineRule="auto"/>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注塑</w:t>
                  </w:r>
                </w:p>
              </w:tc>
              <w:tc>
                <w:tcPr>
                  <w:tcW w:w="1404"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注塑机</w:t>
                  </w:r>
                </w:p>
              </w:tc>
              <w:tc>
                <w:tcPr>
                  <w:tcW w:w="76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华研</w:t>
                  </w:r>
                </w:p>
              </w:tc>
              <w:tc>
                <w:tcPr>
                  <w:tcW w:w="143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single" w:color="auto" w:sz="4" w:space="0"/>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干燥机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百旺</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冰水机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开利</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除湿机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r>
                    <w:rPr>
                      <w:color w:val="auto"/>
                      <w:kern w:val="0"/>
                      <w:sz w:val="21"/>
                      <w:szCs w:val="21"/>
                    </w:rPr>
                    <w:t>　</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塔水</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良机</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sz w:val="21"/>
                      <w:szCs w:val="21"/>
                    </w:rPr>
                    <w:t>—</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低压机(生产线）</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英格索兰</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R75VSD</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低压机（注塑）</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英格索兰</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R110I-A12.5</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冷冻式干燥器</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英格索兰</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D990INI</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吸干机</w:t>
                  </w:r>
                </w:p>
              </w:tc>
              <w:tc>
                <w:tcPr>
                  <w:tcW w:w="76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英格索兰</w:t>
                  </w:r>
                </w:p>
              </w:tc>
              <w:tc>
                <w:tcPr>
                  <w:tcW w:w="1439"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D1050IERI20</w:t>
                  </w:r>
                </w:p>
              </w:tc>
              <w:tc>
                <w:tcPr>
                  <w:tcW w:w="376" w:type="pct"/>
                  <w:tcBorders>
                    <w:top w:val="nil"/>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r>
              <w:tblPrEx>
                <w:tblCellMar>
                  <w:top w:w="0" w:type="dxa"/>
                  <w:left w:w="108" w:type="dxa"/>
                  <w:bottom w:w="0" w:type="dxa"/>
                  <w:right w:w="108" w:type="dxa"/>
                </w:tblCellMar>
              </w:tblPrEx>
              <w:trPr>
                <w:jc w:val="center"/>
              </w:trPr>
              <w:tc>
                <w:tcPr>
                  <w:tcW w:w="1016" w:type="pct"/>
                  <w:vMerge w:val="continue"/>
                  <w:tcBorders>
                    <w:top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color w:val="auto"/>
                      <w:kern w:val="0"/>
                      <w:sz w:val="21"/>
                      <w:szCs w:val="21"/>
                    </w:rPr>
                  </w:pPr>
                </w:p>
              </w:tc>
              <w:tc>
                <w:tcPr>
                  <w:tcW w:w="1404"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高压空压机</w:t>
                  </w:r>
                </w:p>
              </w:tc>
              <w:tc>
                <w:tcPr>
                  <w:tcW w:w="76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爱得乐芳帅</w:t>
                  </w:r>
                </w:p>
              </w:tc>
              <w:tc>
                <w:tcPr>
                  <w:tcW w:w="143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color w:val="auto"/>
                      <w:kern w:val="0"/>
                      <w:sz w:val="21"/>
                      <w:szCs w:val="21"/>
                    </w:rPr>
                    <w:t>80C20FM00348</w:t>
                  </w:r>
                </w:p>
              </w:tc>
              <w:tc>
                <w:tcPr>
                  <w:tcW w:w="376" w:type="pct"/>
                  <w:tcBorders>
                    <w:top w:val="single" w:color="auto" w:sz="4" w:space="0"/>
                    <w:left w:val="nil"/>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rFonts w:hint="eastAsia"/>
                      <w:color w:val="auto"/>
                      <w:kern w:val="0"/>
                      <w:sz w:val="21"/>
                      <w:szCs w:val="21"/>
                      <w:lang w:val="en-US" w:eastAsia="zh-CN"/>
                    </w:rPr>
                    <w:t>1</w:t>
                  </w:r>
                  <w:r>
                    <w:rPr>
                      <w:color w:val="auto"/>
                      <w:kern w:val="0"/>
                      <w:sz w:val="21"/>
                      <w:szCs w:val="21"/>
                    </w:rPr>
                    <w:t>台</w:t>
                  </w:r>
                </w:p>
              </w:tc>
            </w:tr>
          </w:tbl>
          <w:p>
            <w:pPr>
              <w:keepNext w:val="0"/>
              <w:keepLines w:val="0"/>
              <w:pageBreakBefore w:val="0"/>
              <w:widowControl w:val="0"/>
              <w:kinsoku/>
              <w:wordWrap/>
              <w:topLinePunct w:val="0"/>
              <w:bidi w:val="0"/>
              <w:spacing w:before="120" w:beforeLines="50" w:line="360" w:lineRule="auto"/>
              <w:rPr>
                <w:b/>
                <w:color w:val="000000"/>
                <w:kern w:val="0"/>
                <w:u w:val="none" w:color="000000"/>
              </w:rPr>
            </w:pPr>
            <w:r>
              <w:rPr>
                <w:rFonts w:hint="eastAsia"/>
                <w:b/>
                <w:color w:val="000000"/>
                <w:kern w:val="0"/>
                <w:u w:val="none" w:color="000000"/>
              </w:rPr>
              <w:t>7、公用工程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rPr>
            </w:pPr>
            <w:r>
              <w:t>（1）</w:t>
            </w:r>
            <w:r>
              <w:rPr>
                <w:rFonts w:hint="eastAsia"/>
              </w:rPr>
              <w:t>供电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lang w:val="en-US" w:eastAsia="zh-CN"/>
              </w:rPr>
            </w:pPr>
            <w:r>
              <w:rPr>
                <w:rFonts w:hint="eastAsia"/>
                <w:lang w:val="en-US" w:eastAsia="zh-CN"/>
              </w:rPr>
              <w:t>本项目利用现有</w:t>
            </w:r>
            <w:r>
              <w:rPr>
                <w:rFonts w:hint="eastAsia" w:ascii="Times New Roman" w:hAnsi="Times New Roman" w:eastAsia="宋体" w:cs="Times New Roman"/>
                <w:lang w:val="en-US" w:eastAsia="zh-CN"/>
              </w:rPr>
              <w:t>市政电网接入，经厂区内的配电房后沿厂区道路敷设，供项目区建筑使用，供电量约</w:t>
            </w:r>
            <w:r>
              <w:rPr>
                <w:rFonts w:hint="eastAsia" w:cs="Times New Roman"/>
                <w:lang w:val="en-US" w:eastAsia="zh-CN"/>
              </w:rPr>
              <w:t>800</w:t>
            </w:r>
            <w:r>
              <w:rPr>
                <w:rFonts w:hint="eastAsia" w:ascii="Times New Roman" w:hAnsi="Times New Roman" w:eastAsia="宋体" w:cs="Times New Roman"/>
                <w:lang w:val="en-US" w:eastAsia="zh-CN"/>
              </w:rPr>
              <w:t>万kWh/a。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rPr>
            </w:pPr>
            <w:r>
              <w:rPr>
                <w:rFonts w:hint="eastAsia"/>
              </w:rPr>
              <w:t>（2）给</w:t>
            </w:r>
            <w:r>
              <w:t>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FF0000"/>
              </w:rPr>
            </w:pPr>
            <w:r>
              <w:rPr>
                <w:rFonts w:hint="eastAsia"/>
                <w:lang w:val="en-US" w:eastAsia="zh-CN"/>
              </w:rPr>
              <w:t>本</w:t>
            </w:r>
            <w:r>
              <w:rPr>
                <w:rFonts w:hint="eastAsia"/>
              </w:rPr>
              <w:t>项目用水由淮北相山经济开发区市政供水管网，主要用于职工办公生活用水、生产用水</w:t>
            </w:r>
            <w:r>
              <w:rPr>
                <w:rFonts w:hint="eastAsia"/>
                <w:lang w:eastAsia="zh-CN"/>
              </w:rPr>
              <w:t>、</w:t>
            </w:r>
            <w:r>
              <w:rPr>
                <w:rFonts w:hint="eastAsia"/>
                <w:lang w:val="en-US" w:eastAsia="zh-CN"/>
              </w:rPr>
              <w:t>食堂用水</w:t>
            </w:r>
            <w:r>
              <w:rPr>
                <w:rFonts w:hint="eastAsia"/>
              </w:rPr>
              <w:t>等。</w:t>
            </w:r>
            <w:r>
              <w:rPr>
                <w:rFonts w:hint="eastAsia"/>
                <w:lang w:val="en-US" w:eastAsia="zh-CN"/>
              </w:rPr>
              <w:t>本项目</w:t>
            </w:r>
            <w:r>
              <w:rPr>
                <w:rFonts w:hint="eastAsia"/>
              </w:rPr>
              <w:t>用水量为</w:t>
            </w:r>
            <w:r>
              <w:rPr>
                <w:rFonts w:hint="eastAsia"/>
                <w:lang w:val="en-US" w:eastAsia="zh-CN"/>
              </w:rPr>
              <w:t>2866.90m</w:t>
            </w:r>
            <w:r>
              <w:rPr>
                <w:rFonts w:hint="eastAsia"/>
                <w:vertAlign w:val="superscript"/>
                <w:lang w:val="en-US" w:eastAsia="zh-CN"/>
              </w:rPr>
              <w:t>3</w:t>
            </w:r>
            <w:r>
              <w:rPr>
                <w:rFonts w:hint="eastAsia"/>
              </w:rPr>
              <w:t>/</w:t>
            </w:r>
            <w:r>
              <w:rPr>
                <w:rFonts w:hint="eastAsia"/>
                <w:lang w:val="en-US" w:eastAsia="zh-CN"/>
              </w:rPr>
              <w:t>d</w:t>
            </w:r>
            <w:r>
              <w:rPr>
                <w:rFonts w:hint="eastAsia"/>
              </w:rPr>
              <w:t>。</w:t>
            </w:r>
          </w:p>
          <w:p>
            <w:pPr>
              <w:keepNext w:val="0"/>
              <w:keepLines w:val="0"/>
              <w:pageBreakBefore w:val="0"/>
              <w:widowControl w:val="0"/>
              <w:tabs>
                <w:tab w:val="left" w:pos="624"/>
              </w:tabs>
              <w:kinsoku/>
              <w:wordWrap/>
              <w:overflowPunct/>
              <w:topLinePunct w:val="0"/>
              <w:autoSpaceDE/>
              <w:autoSpaceDN/>
              <w:bidi w:val="0"/>
              <w:adjustRightInd w:val="0"/>
              <w:snapToGrid w:val="0"/>
              <w:spacing w:line="360" w:lineRule="auto"/>
              <w:ind w:firstLine="480" w:firstLineChars="200"/>
              <w:textAlignment w:val="auto"/>
              <w:rPr>
                <w:b/>
                <w:color w:val="000000"/>
                <w:kern w:val="0"/>
                <w:u w:val="none" w:color="000000"/>
              </w:rPr>
            </w:pPr>
            <w:r>
              <w:rPr>
                <w:rFonts w:hint="eastAsia"/>
                <w:bCs/>
                <w:color w:val="000000"/>
                <w:kern w:val="0"/>
                <w:u w:val="none" w:color="000000"/>
              </w:rPr>
              <w:t>（3）排水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kern w:val="0"/>
                <w:u w:val="none" w:color="000000"/>
              </w:rPr>
            </w:pPr>
            <w:r>
              <w:rPr>
                <w:rFonts w:hint="eastAsia"/>
                <w:bCs/>
                <w:color w:val="000000"/>
                <w:kern w:val="0"/>
                <w:u w:val="none" w:color="000000"/>
              </w:rPr>
              <w:t>厂区排水采用雨污分流系统，其雨水经雨水管网收集后，由雨水管道排出。</w:t>
            </w:r>
            <w:r>
              <w:rPr>
                <w:rFonts w:hint="eastAsia"/>
                <w:bCs/>
                <w:color w:val="000000"/>
                <w:kern w:val="0"/>
                <w:u w:val="none" w:color="000000"/>
                <w:lang w:val="en-US" w:eastAsia="zh-CN"/>
              </w:rPr>
              <w:t>本</w:t>
            </w:r>
            <w:r>
              <w:rPr>
                <w:rFonts w:hint="eastAsia"/>
                <w:bCs/>
                <w:color w:val="000000"/>
                <w:kern w:val="0"/>
                <w:u w:val="none" w:color="000000"/>
              </w:rPr>
              <w:t>项目生活污水</w:t>
            </w:r>
            <w:r>
              <w:rPr>
                <w:rFonts w:hint="eastAsia"/>
                <w:bCs/>
                <w:color w:val="000000"/>
                <w:kern w:val="0"/>
                <w:u w:val="none" w:color="000000"/>
                <w:lang w:eastAsia="zh-CN"/>
              </w:rPr>
              <w:t>、</w:t>
            </w:r>
            <w:r>
              <w:rPr>
                <w:rFonts w:hint="eastAsia"/>
                <w:bCs/>
                <w:color w:val="000000"/>
                <w:kern w:val="0"/>
                <w:u w:val="none" w:color="000000"/>
                <w:lang w:val="en-US" w:eastAsia="zh-CN"/>
              </w:rPr>
              <w:t>隔油池预处理后的食堂废水、生产废水经厂区总排口，流入市政污水管网，</w:t>
            </w:r>
            <w:r>
              <w:rPr>
                <w:rFonts w:hint="eastAsia"/>
                <w:bCs/>
                <w:color w:val="000000"/>
                <w:kern w:val="0"/>
                <w:u w:val="none" w:color="000000"/>
              </w:rPr>
              <w:t>园区污水处理厂</w:t>
            </w:r>
            <w:r>
              <w:rPr>
                <w:rFonts w:hint="eastAsia"/>
                <w:bCs/>
                <w:color w:val="000000"/>
                <w:kern w:val="0"/>
                <w:u w:val="none" w:color="000000"/>
                <w:lang w:val="en-US" w:eastAsia="zh-CN"/>
              </w:rPr>
              <w:t>接管</w:t>
            </w:r>
            <w:r>
              <w:rPr>
                <w:rFonts w:hint="eastAsia"/>
                <w:bCs/>
                <w:color w:val="000000"/>
                <w:kern w:val="0"/>
                <w:u w:val="none" w:color="000000"/>
              </w:rPr>
              <w:t>处理合格后排入新濉河。</w:t>
            </w:r>
            <w:r>
              <w:rPr>
                <w:rFonts w:hint="eastAsia"/>
                <w:bCs/>
                <w:color w:val="000000"/>
                <w:kern w:val="0"/>
                <w:u w:val="none" w:color="000000"/>
                <w:lang w:val="en-US" w:eastAsia="zh-CN"/>
              </w:rPr>
              <w:t>本项目</w:t>
            </w:r>
            <w:r>
              <w:rPr>
                <w:rFonts w:hint="eastAsia"/>
                <w:bCs/>
                <w:kern w:val="0"/>
                <w:u w:val="none" w:color="000000"/>
              </w:rPr>
              <w:t>废水排放量为</w:t>
            </w:r>
            <w:r>
              <w:rPr>
                <w:rFonts w:hint="eastAsia"/>
                <w:bCs/>
                <w:kern w:val="0"/>
                <w:u w:val="none" w:color="000000"/>
                <w:lang w:val="en-US" w:eastAsia="zh-CN"/>
              </w:rPr>
              <w:t>583.96</w:t>
            </w:r>
            <w:r>
              <w:rPr>
                <w:rFonts w:hint="eastAsia"/>
                <w:lang w:val="en-US" w:eastAsia="zh-CN"/>
              </w:rPr>
              <w:t>m</w:t>
            </w:r>
            <w:r>
              <w:rPr>
                <w:rFonts w:hint="eastAsia"/>
                <w:vertAlign w:val="superscript"/>
                <w:lang w:val="en-US" w:eastAsia="zh-CN"/>
              </w:rPr>
              <w:t>3</w:t>
            </w:r>
            <w:r>
              <w:rPr>
                <w:rFonts w:hint="eastAsia"/>
              </w:rPr>
              <w:t>/</w:t>
            </w:r>
            <w:r>
              <w:rPr>
                <w:rFonts w:hint="eastAsia"/>
                <w:lang w:val="en-US" w:eastAsia="zh-CN"/>
              </w:rPr>
              <w:t>d</w:t>
            </w:r>
            <w:r>
              <w:rPr>
                <w:rFonts w:hint="eastAsia"/>
                <w:bCs/>
                <w:kern w:val="0"/>
                <w:u w:val="none" w:color="000000"/>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Cs/>
                <w:color w:val="000000"/>
                <w:kern w:val="0"/>
                <w:u w:val="none" w:color="000000"/>
                <w:lang w:val="en-US" w:eastAsia="zh-CN"/>
              </w:rPr>
            </w:pPr>
            <w:r>
              <w:rPr>
                <w:rFonts w:hint="eastAsia"/>
                <w:bCs/>
                <w:color w:val="000000"/>
                <w:kern w:val="0"/>
                <w:sz w:val="24"/>
                <w:szCs w:val="24"/>
                <w:lang w:val="en-US" w:eastAsia="zh-CN" w:bidi="ar-SA"/>
              </w:rPr>
              <w:t>（4）</w:t>
            </w:r>
            <w:r>
              <w:rPr>
                <w:rFonts w:hint="eastAsia"/>
                <w:bCs/>
                <w:color w:val="000000"/>
                <w:kern w:val="0"/>
                <w:u w:val="none" w:color="000000"/>
                <w:lang w:val="en-US" w:eastAsia="zh-CN"/>
              </w:rPr>
              <w:t>供热</w:t>
            </w:r>
          </w:p>
          <w:p>
            <w:pPr>
              <w:keepNext w:val="0"/>
              <w:keepLines w:val="0"/>
              <w:pageBreakBefore w:val="0"/>
              <w:widowControl w:val="0"/>
              <w:numPr>
                <w:ilvl w:val="0"/>
                <w:numId w:val="0"/>
              </w:numPr>
              <w:tabs>
                <w:tab w:val="left" w:pos="656"/>
              </w:tabs>
              <w:kinsoku/>
              <w:wordWrap/>
              <w:overflowPunct/>
              <w:topLinePunct w:val="0"/>
              <w:autoSpaceDE/>
              <w:autoSpaceDN/>
              <w:bidi w:val="0"/>
              <w:adjustRightInd w:val="0"/>
              <w:snapToGrid w:val="0"/>
              <w:spacing w:line="360" w:lineRule="auto"/>
              <w:ind w:firstLine="480" w:firstLineChars="200"/>
              <w:textAlignment w:val="auto"/>
              <w:rPr>
                <w:rFonts w:hint="eastAsia" w:eastAsia="宋体"/>
                <w:bCs/>
                <w:kern w:val="0"/>
                <w:u w:val="none" w:color="000000"/>
                <w:lang w:eastAsia="zh-CN"/>
              </w:rPr>
            </w:pPr>
            <w:r>
              <w:rPr>
                <w:rFonts w:hint="eastAsia"/>
                <w:bCs/>
                <w:color w:val="000000"/>
                <w:kern w:val="0"/>
                <w:u w:val="none" w:color="000000"/>
                <w:lang w:val="en-US" w:eastAsia="zh-CN"/>
              </w:rPr>
              <w:t>技改后全厂</w:t>
            </w:r>
            <w:r>
              <w:rPr>
                <w:rFonts w:hint="eastAsia"/>
                <w:bCs/>
                <w:color w:val="000000"/>
                <w:kern w:val="0"/>
                <w:u w:val="none" w:color="000000"/>
              </w:rPr>
              <w:t>蒸汽使用由园区蒸汽管网供给，</w:t>
            </w:r>
            <w:r>
              <w:rPr>
                <w:rFonts w:hint="eastAsia"/>
                <w:bCs/>
                <w:color w:val="000000"/>
                <w:kern w:val="0"/>
                <w:u w:val="none" w:color="000000"/>
                <w:lang w:val="en-US" w:eastAsia="zh-CN"/>
              </w:rPr>
              <w:t>本项目蒸汽使用</w:t>
            </w:r>
            <w:r>
              <w:rPr>
                <w:rFonts w:hint="eastAsia"/>
                <w:bCs/>
                <w:kern w:val="0"/>
                <w:u w:val="none" w:color="000000"/>
              </w:rPr>
              <w:t>量约</w:t>
            </w:r>
            <w:r>
              <w:rPr>
                <w:rFonts w:hint="eastAsia"/>
                <w:bCs/>
                <w:kern w:val="0"/>
                <w:u w:val="none" w:color="000000"/>
                <w:lang w:val="en-US" w:eastAsia="zh-CN"/>
              </w:rPr>
              <w:t>678</w:t>
            </w:r>
            <w:r>
              <w:rPr>
                <w:rFonts w:hint="eastAsia"/>
                <w:bCs/>
                <w:kern w:val="0"/>
                <w:u w:val="none" w:color="000000"/>
              </w:rPr>
              <w:t>0t/a</w:t>
            </w:r>
            <w:r>
              <w:rPr>
                <w:rFonts w:hint="eastAsia"/>
                <w:bCs/>
                <w:kern w:val="0"/>
                <w:u w:val="none" w:color="000000"/>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color w:val="000000"/>
                <w:kern w:val="0"/>
                <w:u w:val="none" w:color="000000"/>
              </w:rPr>
            </w:pPr>
            <w:r>
              <w:rPr>
                <w:rFonts w:hint="eastAsia"/>
                <w:b/>
                <w:color w:val="000000"/>
                <w:kern w:val="0"/>
                <w:u w:val="none" w:color="000000"/>
              </w:rPr>
              <w:t>8、拟建劳动定员及工作制度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000000"/>
              </w:rPr>
            </w:pPr>
            <w:r>
              <w:rPr>
                <w:rFonts w:hint="eastAsia"/>
                <w:color w:val="000000"/>
              </w:rPr>
              <w:t>本项目新增人员</w:t>
            </w:r>
            <w:r>
              <w:rPr>
                <w:rFonts w:hint="eastAsia"/>
                <w:color w:val="000000"/>
                <w:lang w:val="en-US" w:eastAsia="zh-CN"/>
              </w:rPr>
              <w:t>9</w:t>
            </w:r>
            <w:r>
              <w:rPr>
                <w:rFonts w:hint="eastAsia"/>
                <w:color w:val="000000"/>
              </w:rPr>
              <w:t>人，</w:t>
            </w:r>
            <w:r>
              <w:rPr>
                <w:rFonts w:hint="eastAsia"/>
                <w:color w:val="000000"/>
                <w:lang w:val="en-US" w:eastAsia="zh-CN"/>
              </w:rPr>
              <w:t>三</w:t>
            </w:r>
            <w:r>
              <w:rPr>
                <w:rFonts w:hint="eastAsia"/>
                <w:color w:val="000000"/>
              </w:rPr>
              <w:t>班制，每班8小时，年</w:t>
            </w:r>
            <w:r>
              <w:rPr>
                <w:rFonts w:hint="eastAsia"/>
              </w:rPr>
              <w:t>生产3</w:t>
            </w:r>
            <w:r>
              <w:rPr>
                <w:rFonts w:hint="eastAsia"/>
                <w:lang w:val="en-US" w:eastAsia="zh-CN"/>
              </w:rPr>
              <w:t>0</w:t>
            </w:r>
            <w:r>
              <w:rPr>
                <w:rFonts w:hint="eastAsia"/>
              </w:rPr>
              <w:t>0天。</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000000"/>
                <w:kern w:val="0"/>
                <w:u w:val="none" w:color="000000"/>
              </w:rPr>
            </w:pPr>
            <w:r>
              <w:rPr>
                <w:rFonts w:hint="eastAsia"/>
                <w:b/>
                <w:color w:val="000000"/>
                <w:kern w:val="0"/>
                <w:u w:val="none" w:color="000000"/>
              </w:rPr>
              <w:t>9、平面布局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kern w:val="0"/>
                <w:szCs w:val="20"/>
              </w:rPr>
            </w:pPr>
            <w:r>
              <w:rPr>
                <w:rFonts w:hint="eastAsia"/>
              </w:rPr>
              <w:t>本项目利用</w:t>
            </w:r>
            <w:r>
              <w:rPr>
                <w:rFonts w:hint="eastAsia"/>
                <w:lang w:val="en-US" w:eastAsia="zh-CN"/>
              </w:rPr>
              <w:t>现有生产车间进行2#软化纯净水技术改造，增设3#软化纯净水生产线和3#软化纯净水PET瓶坯生产线。</w:t>
            </w:r>
            <w:r>
              <w:rPr>
                <w:rFonts w:hint="eastAsia"/>
                <w:color w:val="000000"/>
                <w:kern w:val="0"/>
                <w:szCs w:val="20"/>
              </w:rPr>
              <w:t>总平面布置见</w:t>
            </w:r>
            <w:r>
              <w:rPr>
                <w:rFonts w:hint="eastAsia"/>
                <w:color w:val="auto"/>
                <w:kern w:val="0"/>
                <w:szCs w:val="20"/>
              </w:rPr>
              <w:t>附图3</w:t>
            </w:r>
            <w:r>
              <w:rPr>
                <w:rFonts w:hint="eastAsia"/>
                <w:color w:val="000000"/>
                <w:kern w:val="0"/>
                <w:szCs w:val="20"/>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000000"/>
                <w:kern w:val="0"/>
                <w:u w:val="none" w:color="000000"/>
              </w:rPr>
            </w:pPr>
            <w:r>
              <w:rPr>
                <w:rFonts w:hint="eastAsia"/>
                <w:b/>
                <w:color w:val="000000"/>
                <w:kern w:val="0"/>
                <w:u w:val="none" w:color="000000"/>
              </w:rPr>
              <w:t>10、水平衡分析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rPr>
            </w:pPr>
            <w:r>
              <w:rPr>
                <w:rFonts w:hint="eastAsia"/>
                <w:color w:val="000000"/>
              </w:rPr>
              <w:t>本项目用水主要为</w:t>
            </w:r>
            <w:r>
              <w:rPr>
                <w:rFonts w:hint="eastAsia"/>
                <w:color w:val="000000"/>
                <w:lang w:val="en-US" w:eastAsia="zh-CN"/>
              </w:rPr>
              <w:t>凉白开纯净水</w:t>
            </w:r>
            <w:r>
              <w:rPr>
                <w:rFonts w:hint="eastAsia"/>
                <w:color w:val="000000"/>
              </w:rPr>
              <w:t>生产用水、</w:t>
            </w:r>
            <w:r>
              <w:rPr>
                <w:rFonts w:hint="eastAsia"/>
                <w:color w:val="000000"/>
                <w:lang w:val="en-US" w:eastAsia="zh-CN"/>
              </w:rPr>
              <w:t>软化纯净水生产</w:t>
            </w:r>
            <w:r>
              <w:rPr>
                <w:rFonts w:hint="eastAsia"/>
                <w:color w:val="000000"/>
              </w:rPr>
              <w:t>用水</w:t>
            </w:r>
            <w:r>
              <w:rPr>
                <w:rFonts w:hint="eastAsia"/>
                <w:color w:val="000000"/>
                <w:lang w:eastAsia="zh-CN"/>
              </w:rPr>
              <w:t>、</w:t>
            </w:r>
            <w:r>
              <w:rPr>
                <w:rFonts w:hint="eastAsia"/>
                <w:color w:val="000000"/>
                <w:lang w:val="en-US" w:eastAsia="zh-CN"/>
              </w:rPr>
              <w:t>循环冷却水用水、水处理工艺系统反冲洗用水、设备清洗用水、</w:t>
            </w:r>
            <w:r>
              <w:rPr>
                <w:rFonts w:hint="eastAsia"/>
                <w:color w:val="000000"/>
              </w:rPr>
              <w:t>生活用水、</w:t>
            </w:r>
            <w:r>
              <w:rPr>
                <w:rFonts w:hint="eastAsia"/>
                <w:color w:val="000000"/>
                <w:lang w:val="en-US" w:eastAsia="zh-CN"/>
              </w:rPr>
              <w:t>食堂</w:t>
            </w:r>
            <w:r>
              <w:rPr>
                <w:rFonts w:hint="eastAsia"/>
                <w:color w:val="000000"/>
              </w:rPr>
              <w:t>用水。外排废水主要为</w:t>
            </w:r>
            <w:r>
              <w:rPr>
                <w:rFonts w:hint="eastAsia"/>
                <w:color w:val="000000"/>
                <w:lang w:val="en-US" w:eastAsia="zh-CN"/>
              </w:rPr>
              <w:t>凉白开纯净水</w:t>
            </w:r>
            <w:r>
              <w:rPr>
                <w:rFonts w:hint="eastAsia"/>
                <w:color w:val="000000"/>
              </w:rPr>
              <w:t>生产废水、</w:t>
            </w:r>
            <w:r>
              <w:rPr>
                <w:rFonts w:hint="eastAsia"/>
                <w:color w:val="000000"/>
                <w:lang w:val="en-US" w:eastAsia="zh-CN"/>
              </w:rPr>
              <w:t>软化纯净水生产</w:t>
            </w:r>
            <w:r>
              <w:rPr>
                <w:rFonts w:hint="eastAsia"/>
                <w:color w:val="000000"/>
              </w:rPr>
              <w:t>废水</w:t>
            </w:r>
            <w:r>
              <w:rPr>
                <w:rFonts w:hint="eastAsia"/>
                <w:color w:val="000000"/>
                <w:lang w:eastAsia="zh-CN"/>
              </w:rPr>
              <w:t>、</w:t>
            </w:r>
            <w:r>
              <w:rPr>
                <w:rFonts w:hint="eastAsia"/>
                <w:color w:val="000000"/>
                <w:lang w:val="en-US" w:eastAsia="zh-CN"/>
              </w:rPr>
              <w:t>水处理工艺系统反冲洗废水、设备清洗废水、循环冷却水排水、</w:t>
            </w:r>
            <w:r>
              <w:rPr>
                <w:rFonts w:hint="eastAsia"/>
                <w:color w:val="000000"/>
              </w:rPr>
              <w:t>生活污水、</w:t>
            </w:r>
            <w:r>
              <w:rPr>
                <w:rFonts w:hint="eastAsia"/>
                <w:color w:val="000000"/>
                <w:lang w:val="en-US" w:eastAsia="zh-CN"/>
              </w:rPr>
              <w:t>食堂</w:t>
            </w:r>
            <w:r>
              <w:rPr>
                <w:rFonts w:hint="eastAsia"/>
                <w:color w:val="000000"/>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Cs/>
                <w:color w:val="auto"/>
                <w:sz w:val="24"/>
                <w:lang w:val="en-US" w:eastAsia="zh-CN"/>
              </w:rPr>
            </w:pPr>
            <w:r>
              <w:rPr>
                <w:rFonts w:hint="eastAsia"/>
                <w:bCs/>
                <w:color w:val="auto"/>
                <w:sz w:val="24"/>
                <w:lang w:val="en-US" w:eastAsia="zh-CN"/>
              </w:rPr>
              <w:t>10.1蒸汽冷凝水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Cs/>
                <w:color w:val="auto"/>
                <w:sz w:val="24"/>
                <w:lang w:val="en-US" w:eastAsia="zh-CN"/>
              </w:rPr>
            </w:pPr>
            <w:r>
              <w:rPr>
                <w:rFonts w:hint="eastAsia"/>
                <w:bCs/>
                <w:color w:val="auto"/>
                <w:sz w:val="24"/>
                <w:lang w:val="en-US" w:eastAsia="zh-CN"/>
              </w:rPr>
              <w:t>本项目蒸汽使用量6780t/a，其中100t/a的蒸汽用于水处理活性炭再生，直接消耗掉，剩余6680t/a的蒸汽用于凉白开纯净水加热高温杀菌，产生的蒸汽冷凝水5678t/a，</w:t>
            </w:r>
            <w:r>
              <w:rPr>
                <w:rFonts w:hint="eastAsia"/>
                <w:snapToGrid w:val="0"/>
                <w:color w:val="000000"/>
                <w:kern w:val="0"/>
                <w:sz w:val="24"/>
                <w:lang w:val="en-US" w:eastAsia="zh-CN"/>
              </w:rPr>
              <w:t>约18.93m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/d，</w:t>
            </w:r>
            <w:r>
              <w:rPr>
                <w:rFonts w:hint="eastAsia"/>
                <w:bCs/>
                <w:color w:val="auto"/>
                <w:sz w:val="24"/>
                <w:lang w:val="en-US" w:eastAsia="zh-CN"/>
              </w:rPr>
              <w:t>该部分水回用于凉白开纯净水制水工艺。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napToGrid w:val="0"/>
                <w:color w:val="000000"/>
                <w:kern w:val="0"/>
                <w:sz w:val="24"/>
                <w:lang w:val="en-US" w:eastAsia="zh-CN"/>
              </w:rPr>
            </w:pPr>
            <w:r>
              <w:rPr>
                <w:rFonts w:hint="eastAsia"/>
                <w:snapToGrid w:val="0"/>
                <w:color w:val="000000"/>
                <w:kern w:val="0"/>
                <w:sz w:val="24"/>
                <w:lang w:val="en-US" w:eastAsia="zh-CN"/>
              </w:rPr>
              <w:t>10.2凉白开纯净水生产用排水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napToGrid w:val="0"/>
                <w:color w:val="000000"/>
                <w:kern w:val="0"/>
                <w:sz w:val="24"/>
                <w:lang w:val="en-US" w:eastAsia="zh-CN"/>
              </w:rPr>
            </w:pPr>
            <w:r>
              <w:rPr>
                <w:rFonts w:hint="eastAsia"/>
                <w:snapToGrid w:val="0"/>
                <w:color w:val="000000"/>
                <w:kern w:val="0"/>
                <w:sz w:val="24"/>
                <w:lang w:val="en-US" w:eastAsia="zh-CN"/>
              </w:rPr>
              <w:t>本项目生产凉白开纯净水350000m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/a，约1166.67m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/d，根据建设单位提供资料，凉白开纯净水制备率80%，故</w:t>
            </w:r>
            <w:r>
              <w:rPr>
                <w:rFonts w:hint="eastAsia"/>
                <w:bCs/>
                <w:color w:val="000000"/>
                <w:sz w:val="24"/>
              </w:rPr>
              <w:t>本项目生产过程中使用的</w:t>
            </w:r>
            <w:r>
              <w:rPr>
                <w:rFonts w:hint="eastAsia"/>
                <w:bCs/>
                <w:color w:val="000000"/>
                <w:sz w:val="24"/>
                <w:lang w:val="en-US" w:eastAsia="zh-CN"/>
              </w:rPr>
              <w:t>自来水</w:t>
            </w:r>
            <w:r>
              <w:rPr>
                <w:rFonts w:hint="eastAsia"/>
                <w:bCs/>
                <w:color w:val="000000"/>
                <w:sz w:val="24"/>
              </w:rPr>
              <w:t>量为</w:t>
            </w:r>
            <w:r>
              <w:rPr>
                <w:rFonts w:hint="eastAsia"/>
                <w:bCs/>
                <w:color w:val="000000"/>
                <w:sz w:val="24"/>
                <w:lang w:val="en-US" w:eastAsia="zh-CN"/>
              </w:rPr>
              <w:t>4375</w:t>
            </w:r>
            <w:r>
              <w:rPr>
                <w:rFonts w:hint="eastAsia"/>
                <w:bCs/>
                <w:color w:val="000000"/>
                <w:sz w:val="24"/>
              </w:rPr>
              <w:t xml:space="preserve">00 </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/a</w:t>
            </w:r>
            <w:r>
              <w:rPr>
                <w:rFonts w:hint="eastAsia"/>
                <w:bCs/>
                <w:color w:val="000000"/>
                <w:sz w:val="24"/>
              </w:rPr>
              <w:t>，</w:t>
            </w:r>
            <w:r>
              <w:rPr>
                <w:rFonts w:hint="eastAsia"/>
                <w:bCs/>
                <w:color w:val="000000"/>
                <w:sz w:val="24"/>
                <w:lang w:val="en-US" w:eastAsia="zh-CN"/>
              </w:rPr>
              <w:t>去除蒸汽冷凝水回用量，则生产凉白开纯净水所需新鲜水量为431822</w:t>
            </w:r>
            <w:r>
              <w:rPr>
                <w:rFonts w:hint="eastAsia"/>
                <w:bCs/>
                <w:color w:val="000000"/>
                <w:sz w:val="24"/>
              </w:rPr>
              <w:t xml:space="preserve"> </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/a</w:t>
            </w:r>
            <w:r>
              <w:rPr>
                <w:rFonts w:hint="eastAsia"/>
                <w:bCs/>
                <w:color w:val="000000"/>
                <w:sz w:val="24"/>
              </w:rPr>
              <w:t>，</w:t>
            </w:r>
            <w:r>
              <w:rPr>
                <w:rFonts w:hint="eastAsia"/>
                <w:bCs/>
                <w:color w:val="000000"/>
                <w:sz w:val="24"/>
                <w:lang w:val="en-US" w:eastAsia="zh-CN"/>
              </w:rPr>
              <w:t>约1439.41</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/d。</w:t>
            </w:r>
            <w:r>
              <w:rPr>
                <w:rFonts w:hint="eastAsia"/>
                <w:bCs/>
                <w:color w:val="000000"/>
                <w:sz w:val="24"/>
              </w:rPr>
              <w:t>经生产过滤后产生一定量的浓水，约</w:t>
            </w:r>
            <w:r>
              <w:rPr>
                <w:rFonts w:hint="eastAsia"/>
                <w:bCs/>
                <w:color w:val="000000"/>
                <w:sz w:val="24"/>
                <w:lang w:val="en-US" w:eastAsia="zh-CN"/>
              </w:rPr>
              <w:t>81822</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/a</w:t>
            </w:r>
            <w:r>
              <w:rPr>
                <w:rFonts w:hint="eastAsia"/>
                <w:bCs/>
                <w:color w:val="000000"/>
                <w:sz w:val="24"/>
              </w:rPr>
              <w:t>，</w:t>
            </w:r>
            <w:r>
              <w:rPr>
                <w:rFonts w:hint="eastAsia"/>
                <w:bCs/>
                <w:color w:val="000000"/>
                <w:sz w:val="24"/>
                <w:lang w:val="en-US" w:eastAsia="zh-CN"/>
              </w:rPr>
              <w:t>272.74</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napToGrid w:val="0"/>
                <w:color w:val="000000"/>
                <w:kern w:val="0"/>
                <w:sz w:val="24"/>
                <w:lang w:val="en-US" w:eastAsia="zh-CN"/>
              </w:rPr>
            </w:pPr>
            <w:r>
              <w:rPr>
                <w:rFonts w:hint="eastAsia"/>
                <w:snapToGrid w:val="0"/>
                <w:color w:val="000000"/>
                <w:kern w:val="0"/>
                <w:sz w:val="24"/>
                <w:lang w:val="en-US" w:eastAsia="zh-CN"/>
              </w:rPr>
              <w:t>10.3软化纯净水生产用排水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napToGrid w:val="0"/>
                <w:color w:val="000000"/>
                <w:kern w:val="0"/>
                <w:sz w:val="24"/>
                <w:lang w:val="en-US" w:eastAsia="zh-CN"/>
              </w:rPr>
            </w:pPr>
            <w:r>
              <w:rPr>
                <w:rFonts w:hint="eastAsia"/>
                <w:snapToGrid w:val="0"/>
                <w:color w:val="000000"/>
                <w:kern w:val="0"/>
                <w:sz w:val="24"/>
                <w:lang w:val="en-US" w:eastAsia="zh-CN"/>
              </w:rPr>
              <w:t>本项目生产软化纯净水330000m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/a，约1100.00m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/d，根据建设单位提供资料，软化纯净水制备率80%，故</w:t>
            </w:r>
            <w:r>
              <w:rPr>
                <w:rFonts w:hint="eastAsia"/>
                <w:bCs/>
                <w:color w:val="000000"/>
                <w:sz w:val="24"/>
              </w:rPr>
              <w:t>本项目生产过程中使用的</w:t>
            </w:r>
            <w:r>
              <w:rPr>
                <w:rFonts w:hint="eastAsia"/>
                <w:bCs/>
                <w:color w:val="000000"/>
                <w:sz w:val="24"/>
                <w:lang w:val="en-US" w:eastAsia="zh-CN"/>
              </w:rPr>
              <w:t>自来水</w:t>
            </w:r>
            <w:r>
              <w:rPr>
                <w:rFonts w:hint="eastAsia"/>
                <w:bCs/>
                <w:color w:val="000000"/>
                <w:sz w:val="24"/>
              </w:rPr>
              <w:t>量为</w:t>
            </w:r>
            <w:r>
              <w:rPr>
                <w:rFonts w:hint="eastAsia"/>
                <w:bCs/>
                <w:color w:val="000000"/>
                <w:sz w:val="24"/>
                <w:lang w:val="en-US" w:eastAsia="zh-CN"/>
              </w:rPr>
              <w:t>4125</w:t>
            </w:r>
            <w:r>
              <w:rPr>
                <w:rFonts w:hint="eastAsia"/>
                <w:bCs/>
                <w:color w:val="000000"/>
                <w:sz w:val="24"/>
              </w:rPr>
              <w:t xml:space="preserve">00 </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/a</w:t>
            </w:r>
            <w:r>
              <w:rPr>
                <w:rFonts w:hint="eastAsia"/>
                <w:bCs/>
                <w:color w:val="000000"/>
                <w:sz w:val="24"/>
              </w:rPr>
              <w:t>，</w:t>
            </w:r>
            <w:r>
              <w:rPr>
                <w:rFonts w:hint="eastAsia"/>
                <w:bCs/>
                <w:color w:val="000000"/>
                <w:sz w:val="24"/>
                <w:lang w:val="en-US" w:eastAsia="zh-CN"/>
              </w:rPr>
              <w:t>约1375.00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/d。</w:t>
            </w:r>
            <w:r>
              <w:rPr>
                <w:rFonts w:hint="eastAsia"/>
                <w:bCs/>
                <w:color w:val="000000"/>
                <w:sz w:val="24"/>
              </w:rPr>
              <w:t>经生产过滤后产生一定量的浓水，约</w:t>
            </w:r>
            <w:r>
              <w:rPr>
                <w:rFonts w:hint="eastAsia"/>
                <w:bCs/>
                <w:color w:val="000000"/>
                <w:sz w:val="24"/>
                <w:lang w:val="en-US" w:eastAsia="zh-CN"/>
              </w:rPr>
              <w:t>82500</w:t>
            </w:r>
            <w:r>
              <w:rPr>
                <w:rFonts w:hint="eastAsia"/>
                <w:bCs/>
                <w:color w:val="000000"/>
                <w:sz w:val="24"/>
              </w:rPr>
              <w:t xml:space="preserve"> </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/a</w:t>
            </w:r>
            <w:r>
              <w:rPr>
                <w:rFonts w:hint="eastAsia"/>
                <w:bCs/>
                <w:color w:val="000000"/>
                <w:sz w:val="24"/>
              </w:rPr>
              <w:t>，</w:t>
            </w:r>
            <w:r>
              <w:rPr>
                <w:rFonts w:hint="eastAsia"/>
                <w:bCs/>
                <w:color w:val="000000"/>
                <w:sz w:val="24"/>
                <w:lang w:val="en-US" w:eastAsia="zh-CN"/>
              </w:rPr>
              <w:t>275.00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snapToGrid w:val="0"/>
                <w:color w:val="000000"/>
                <w:kern w:val="0"/>
                <w:sz w:val="24"/>
                <w:lang w:val="en-US" w:eastAsia="zh-CN"/>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auto"/>
                <w:sz w:val="24"/>
                <w:lang w:val="en-US" w:eastAsia="zh-CN"/>
              </w:rPr>
            </w:pPr>
            <w:r>
              <w:rPr>
                <w:rFonts w:hint="eastAsia"/>
                <w:bCs/>
                <w:color w:val="auto"/>
                <w:sz w:val="24"/>
                <w:lang w:val="en-US" w:eastAsia="zh-CN"/>
              </w:rPr>
              <w:t>10.4水处理工艺系统反冲洗用排水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color w:val="auto"/>
                <w:kern w:val="0"/>
                <w:sz w:val="24"/>
                <w:lang w:eastAsia="zh-CN"/>
              </w:rPr>
            </w:pPr>
            <w:r>
              <w:rPr>
                <w:color w:val="auto"/>
                <w:kern w:val="0"/>
                <w:sz w:val="24"/>
              </w:rPr>
              <w:t>本项目</w:t>
            </w:r>
            <w:r>
              <w:rPr>
                <w:rFonts w:hint="eastAsia"/>
                <w:color w:val="auto"/>
                <w:kern w:val="0"/>
                <w:sz w:val="24"/>
                <w:lang w:val="en-US" w:eastAsia="zh-CN"/>
              </w:rPr>
              <w:t>水处理工艺系统</w:t>
            </w:r>
            <w:r>
              <w:rPr>
                <w:color w:val="auto"/>
                <w:kern w:val="0"/>
                <w:sz w:val="24"/>
              </w:rPr>
              <w:t>使用的各种过滤器和反渗透</w:t>
            </w:r>
            <w:r>
              <w:rPr>
                <w:rFonts w:hint="eastAsia"/>
                <w:color w:val="auto"/>
                <w:kern w:val="0"/>
                <w:sz w:val="24"/>
              </w:rPr>
              <w:t>系统</w:t>
            </w:r>
            <w:r>
              <w:rPr>
                <w:color w:val="auto"/>
                <w:kern w:val="0"/>
                <w:sz w:val="24"/>
              </w:rPr>
              <w:t>使用一段时间均需要对其进行反冲洗</w:t>
            </w:r>
            <w:r>
              <w:rPr>
                <w:rFonts w:hint="eastAsia"/>
                <w:color w:val="auto"/>
                <w:kern w:val="0"/>
                <w:sz w:val="24"/>
              </w:rPr>
              <w:t>。</w:t>
            </w:r>
            <w:r>
              <w:rPr>
                <w:color w:val="auto"/>
                <w:kern w:val="0"/>
                <w:sz w:val="24"/>
              </w:rPr>
              <w:t>根据</w:t>
            </w:r>
            <w:r>
              <w:rPr>
                <w:rFonts w:hint="eastAsia"/>
                <w:color w:val="auto"/>
                <w:kern w:val="0"/>
                <w:sz w:val="24"/>
              </w:rPr>
              <w:t>建设单位提供的</w:t>
            </w:r>
            <w:r>
              <w:rPr>
                <w:color w:val="auto"/>
                <w:kern w:val="0"/>
                <w:sz w:val="24"/>
              </w:rPr>
              <w:t>资料，</w:t>
            </w:r>
            <w:r>
              <w:rPr>
                <w:rFonts w:hint="eastAsia"/>
                <w:color w:val="auto"/>
                <w:kern w:val="0"/>
                <w:sz w:val="24"/>
                <w:lang w:val="en-US" w:eastAsia="zh-CN"/>
              </w:rPr>
              <w:t>软化纯净水生产工艺</w:t>
            </w:r>
            <w:r>
              <w:rPr>
                <w:color w:val="auto"/>
                <w:kern w:val="0"/>
                <w:sz w:val="24"/>
              </w:rPr>
              <w:t>各种过滤器冲洗频次</w:t>
            </w:r>
            <w:r>
              <w:rPr>
                <w:rFonts w:hint="eastAsia"/>
                <w:color w:val="auto"/>
                <w:kern w:val="0"/>
                <w:sz w:val="24"/>
                <w:lang w:val="en-US" w:eastAsia="zh-CN"/>
              </w:rPr>
              <w:t>皆为每条定时反洗</w:t>
            </w:r>
            <w:r>
              <w:rPr>
                <w:color w:val="auto"/>
                <w:kern w:val="0"/>
                <w:sz w:val="24"/>
              </w:rPr>
              <w:t>，</w:t>
            </w:r>
            <w:r>
              <w:rPr>
                <w:rFonts w:hint="eastAsia"/>
                <w:color w:val="auto"/>
                <w:kern w:val="0"/>
                <w:sz w:val="24"/>
                <w:lang w:val="en-US" w:eastAsia="zh-CN"/>
              </w:rPr>
              <w:t>每条生产线水处理工艺反冲洗量为30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bCs/>
                <w:color w:val="auto"/>
                <w:sz w:val="24"/>
              </w:rPr>
              <w:t>/d</w:t>
            </w:r>
            <w:r>
              <w:rPr>
                <w:rFonts w:hint="eastAsia"/>
                <w:bCs/>
                <w:color w:val="auto"/>
                <w:sz w:val="24"/>
                <w:lang w:eastAsia="zh-CN"/>
              </w:rPr>
              <w:t>，</w:t>
            </w:r>
            <w:r>
              <w:rPr>
                <w:rFonts w:hint="eastAsia"/>
                <w:bCs/>
                <w:color w:val="auto"/>
                <w:sz w:val="24"/>
              </w:rPr>
              <w:t>则</w:t>
            </w:r>
            <w:r>
              <w:rPr>
                <w:rFonts w:hint="eastAsia"/>
                <w:bCs/>
                <w:color w:val="auto"/>
                <w:sz w:val="24"/>
                <w:lang w:val="en-US" w:eastAsia="zh-CN"/>
              </w:rPr>
              <w:t>本项目水处理工艺系统反</w:t>
            </w:r>
            <w:r>
              <w:rPr>
                <w:color w:val="auto"/>
                <w:kern w:val="0"/>
                <w:sz w:val="24"/>
              </w:rPr>
              <w:t>冲洗</w:t>
            </w:r>
            <w:r>
              <w:rPr>
                <w:rFonts w:hint="eastAsia"/>
                <w:color w:val="auto"/>
                <w:kern w:val="0"/>
                <w:sz w:val="24"/>
              </w:rPr>
              <w:t>用水量约为</w:t>
            </w:r>
            <w:r>
              <w:rPr>
                <w:rFonts w:hint="eastAsia"/>
                <w:color w:val="auto"/>
                <w:kern w:val="0"/>
                <w:sz w:val="24"/>
                <w:lang w:val="en-US" w:eastAsia="zh-CN"/>
              </w:rPr>
              <w:t>9000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/a</w:t>
            </w:r>
            <w:r>
              <w:rPr>
                <w:rFonts w:hint="eastAsia"/>
                <w:bCs/>
                <w:color w:val="auto"/>
                <w:sz w:val="24"/>
              </w:rPr>
              <w:t>。</w:t>
            </w:r>
            <w:r>
              <w:rPr>
                <w:color w:val="auto"/>
                <w:kern w:val="0"/>
                <w:sz w:val="24"/>
              </w:rPr>
              <w:t>废水产生系数按照80%计算，则废水产生量为</w:t>
            </w:r>
            <w:r>
              <w:rPr>
                <w:rFonts w:hint="eastAsia"/>
                <w:color w:val="auto"/>
                <w:kern w:val="0"/>
                <w:sz w:val="24"/>
                <w:lang w:val="en-US" w:eastAsia="zh-CN"/>
              </w:rPr>
              <w:t>7200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/a</w:t>
            </w:r>
            <w:r>
              <w:rPr>
                <w:rFonts w:hint="eastAsia"/>
                <w:color w:val="auto"/>
                <w:kern w:val="0"/>
                <w:sz w:val="24"/>
              </w:rPr>
              <w:t>，</w:t>
            </w:r>
            <w:r>
              <w:rPr>
                <w:rFonts w:hint="eastAsia"/>
                <w:color w:val="auto"/>
                <w:kern w:val="0"/>
                <w:sz w:val="24"/>
                <w:lang w:val="en-US" w:eastAsia="zh-CN"/>
              </w:rPr>
              <w:t>24.0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Cs/>
                <w:color w:val="auto"/>
                <w:sz w:val="24"/>
                <w:lang w:val="en-US" w:eastAsia="zh-CN"/>
              </w:rPr>
            </w:pPr>
            <w:r>
              <w:rPr>
                <w:rFonts w:hint="eastAsia"/>
                <w:bCs/>
                <w:color w:val="auto"/>
                <w:sz w:val="24"/>
                <w:lang w:val="en-US" w:eastAsia="zh-CN"/>
              </w:rPr>
              <w:t>10.5设备清洗用排水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kern w:val="0"/>
                <w:sz w:val="24"/>
                <w:lang w:val="en-US" w:eastAsia="zh-CN"/>
              </w:rPr>
            </w:pPr>
            <w:r>
              <w:rPr>
                <w:rFonts w:hint="eastAsia"/>
                <w:color w:val="auto"/>
                <w:kern w:val="0"/>
                <w:sz w:val="24"/>
                <w:lang w:val="en-US" w:eastAsia="zh-CN"/>
              </w:rPr>
              <w:t>本项目灌装机等设备每7天清洗一次，每次用水量50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rFonts w:hint="eastAsia"/>
                <w:color w:val="auto"/>
                <w:kern w:val="0"/>
                <w:sz w:val="24"/>
                <w:lang w:val="en-US" w:eastAsia="zh-CN"/>
              </w:rPr>
              <w:t>，用水量2142</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w:t>
            </w:r>
            <w:r>
              <w:rPr>
                <w:rFonts w:hint="eastAsia"/>
                <w:color w:val="auto"/>
                <w:kern w:val="0"/>
                <w:sz w:val="24"/>
                <w:lang w:val="en-US" w:eastAsia="zh-CN"/>
              </w:rPr>
              <w:t>a，7.14</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/d</w:t>
            </w:r>
            <w:r>
              <w:rPr>
                <w:rFonts w:hint="eastAsia"/>
                <w:color w:val="auto"/>
                <w:kern w:val="0"/>
                <w:sz w:val="24"/>
                <w:lang w:eastAsia="zh-CN"/>
              </w:rPr>
              <w:t>，</w:t>
            </w:r>
            <w:r>
              <w:rPr>
                <w:rFonts w:hint="eastAsia"/>
                <w:color w:val="auto"/>
                <w:kern w:val="0"/>
                <w:sz w:val="24"/>
                <w:lang w:val="en-US" w:eastAsia="zh-CN"/>
              </w:rPr>
              <w:t>使用过程无损耗。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Cs/>
                <w:color w:val="auto"/>
                <w:sz w:val="24"/>
                <w:lang w:val="en-US" w:eastAsia="zh-CN"/>
              </w:rPr>
            </w:pPr>
            <w:r>
              <w:rPr>
                <w:rFonts w:hint="eastAsia"/>
                <w:bCs/>
                <w:color w:val="auto"/>
                <w:sz w:val="24"/>
                <w:lang w:val="en-US" w:eastAsia="zh-CN"/>
              </w:rPr>
              <w:t>10.6循环冷却用排水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kern w:val="0"/>
                <w:sz w:val="24"/>
                <w:lang w:val="en-US" w:eastAsia="zh-CN"/>
              </w:rPr>
            </w:pPr>
            <w:r>
              <w:rPr>
                <w:rFonts w:hint="eastAsia"/>
                <w:bCs/>
                <w:color w:val="auto"/>
                <w:sz w:val="24"/>
                <w:lang w:val="en-US" w:eastAsia="zh-CN"/>
              </w:rPr>
              <w:t>本项目新增注塑机，冷却循环用水量为800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w:t>
            </w:r>
            <w:r>
              <w:rPr>
                <w:rFonts w:hint="eastAsia"/>
                <w:color w:val="auto"/>
                <w:kern w:val="0"/>
                <w:sz w:val="24"/>
                <w:lang w:val="en-US" w:eastAsia="zh-CN"/>
              </w:rPr>
              <w:t>d</w:t>
            </w:r>
            <w:r>
              <w:rPr>
                <w:rFonts w:hint="eastAsia"/>
                <w:color w:val="auto"/>
                <w:kern w:val="0"/>
                <w:sz w:val="24"/>
                <w:lang w:eastAsia="zh-CN"/>
              </w:rPr>
              <w:t>，</w:t>
            </w:r>
            <w:r>
              <w:rPr>
                <w:rFonts w:hint="eastAsia"/>
                <w:color w:val="auto"/>
                <w:kern w:val="0"/>
                <w:sz w:val="24"/>
                <w:lang w:val="en-US" w:eastAsia="zh-CN"/>
              </w:rPr>
              <w:t>冷却过程蒸发损耗量为10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w:t>
            </w:r>
            <w:r>
              <w:rPr>
                <w:rFonts w:hint="eastAsia"/>
                <w:color w:val="auto"/>
                <w:kern w:val="0"/>
                <w:sz w:val="24"/>
                <w:lang w:val="en-US" w:eastAsia="zh-CN"/>
              </w:rPr>
              <w:t>d，定期外排，外排水量4</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w:t>
            </w:r>
            <w:r>
              <w:rPr>
                <w:rFonts w:hint="eastAsia"/>
                <w:color w:val="auto"/>
                <w:kern w:val="0"/>
                <w:sz w:val="24"/>
                <w:lang w:val="en-US" w:eastAsia="zh-CN"/>
              </w:rPr>
              <w:t>d，则需补充新鲜水量14</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w:t>
            </w:r>
            <w:r>
              <w:rPr>
                <w:rFonts w:hint="eastAsia"/>
                <w:color w:val="auto"/>
                <w:kern w:val="0"/>
                <w:sz w:val="24"/>
                <w:lang w:val="en-US" w:eastAsia="zh-CN"/>
              </w:rPr>
              <w:t>d，4200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w:t>
            </w:r>
            <w:r>
              <w:rPr>
                <w:rFonts w:hint="eastAsia"/>
                <w:color w:val="auto"/>
                <w:kern w:val="0"/>
                <w:sz w:val="24"/>
                <w:lang w:val="en-US" w:eastAsia="zh-CN"/>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auto"/>
                <w:sz w:val="24"/>
                <w:lang w:val="en-US" w:eastAsia="zh-CN"/>
              </w:rPr>
            </w:pPr>
            <w:r>
              <w:rPr>
                <w:rFonts w:hint="eastAsia"/>
                <w:bCs/>
                <w:color w:val="auto"/>
                <w:sz w:val="24"/>
                <w:lang w:val="en-US" w:eastAsia="zh-CN"/>
              </w:rPr>
              <w:t>10.7生活用排水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rPr>
              <w:t>本项目新增人员</w:t>
            </w:r>
            <w:r>
              <w:rPr>
                <w:rFonts w:hint="eastAsia"/>
                <w:lang w:val="en-US" w:eastAsia="zh-CN"/>
              </w:rPr>
              <w:t>9</w:t>
            </w:r>
            <w:r>
              <w:rPr>
                <w:rFonts w:hint="eastAsia"/>
              </w:rPr>
              <w:t>人，年工作时间按3</w:t>
            </w:r>
            <w:r>
              <w:rPr>
                <w:rFonts w:hint="eastAsia"/>
                <w:lang w:val="en-US" w:eastAsia="zh-CN"/>
              </w:rPr>
              <w:t>0</w:t>
            </w:r>
            <w:r>
              <w:rPr>
                <w:rFonts w:hint="eastAsia"/>
              </w:rPr>
              <w:t>0天计，厂区提供就餐，不提供住宿，根据《安徽省行业用水定额》（DB34/T679-2019）结合项目实际，员工生活用水用按</w:t>
            </w:r>
            <w:r>
              <w:rPr>
                <w:rFonts w:hint="eastAsia"/>
                <w:lang w:val="en-US" w:eastAsia="zh-CN"/>
              </w:rPr>
              <w:t>9</w:t>
            </w:r>
            <w:r>
              <w:rPr>
                <w:rFonts w:hint="eastAsia"/>
              </w:rPr>
              <w:t>0L/人·d，则生活用水量为</w:t>
            </w:r>
            <w:r>
              <w:rPr>
                <w:rFonts w:hint="eastAsia"/>
                <w:lang w:val="en-US" w:eastAsia="zh-CN"/>
              </w:rPr>
              <w:t>243</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/a</w:t>
            </w:r>
            <w:r>
              <w:rPr>
                <w:rFonts w:hint="eastAsia"/>
                <w:color w:val="auto"/>
                <w:kern w:val="0"/>
                <w:sz w:val="24"/>
              </w:rPr>
              <w:t>，</w:t>
            </w:r>
            <w:r>
              <w:rPr>
                <w:rFonts w:hint="eastAsia"/>
                <w:color w:val="auto"/>
                <w:kern w:val="0"/>
                <w:sz w:val="24"/>
                <w:lang w:val="en-US" w:eastAsia="zh-CN"/>
              </w:rPr>
              <w:t>约0.81</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/d</w:t>
            </w:r>
            <w:r>
              <w:rPr>
                <w:rFonts w:hint="eastAsia"/>
              </w:rPr>
              <w:t>，</w:t>
            </w:r>
            <w:r>
              <w:t>产污系数按0.8计，则生活污水产生量为</w:t>
            </w:r>
            <w:r>
              <w:rPr>
                <w:rFonts w:hint="eastAsia"/>
                <w:lang w:val="en-US" w:eastAsia="zh-CN"/>
              </w:rPr>
              <w:t>194.40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/a</w:t>
            </w:r>
            <w:r>
              <w:rPr>
                <w:rFonts w:hint="eastAsia"/>
                <w:color w:val="auto"/>
                <w:kern w:val="0"/>
                <w:sz w:val="24"/>
              </w:rPr>
              <w:t>，</w:t>
            </w:r>
            <w:r>
              <w:rPr>
                <w:rFonts w:hint="eastAsia"/>
                <w:color w:val="auto"/>
                <w:kern w:val="0"/>
                <w:sz w:val="24"/>
                <w:lang w:val="en-US" w:eastAsia="zh-CN"/>
              </w:rPr>
              <w:t>约0.65</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/d</w:t>
            </w:r>
            <w: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bCs/>
                <w:color w:val="auto"/>
                <w:sz w:val="24"/>
                <w:lang w:val="en-US" w:eastAsia="zh-CN"/>
              </w:rPr>
            </w:pPr>
            <w:r>
              <w:rPr>
                <w:rFonts w:hint="eastAsia"/>
                <w:bCs/>
                <w:color w:val="auto"/>
                <w:sz w:val="24"/>
                <w:lang w:val="en-US" w:eastAsia="zh-CN"/>
              </w:rPr>
              <w:t>10.8食堂用排水</w:t>
            </w:r>
          </w:p>
          <w:p>
            <w:pPr>
              <w:pStyle w:val="40"/>
              <w:keepNext w:val="0"/>
              <w:keepLines w:val="0"/>
              <w:pageBreakBefore w:val="0"/>
              <w:widowControl w:val="0"/>
              <w:kinsoku/>
              <w:wordWrap/>
              <w:overflowPunct/>
              <w:topLinePunct w:val="0"/>
              <w:autoSpaceDE/>
              <w:autoSpaceDN/>
              <w:bidi w:val="0"/>
              <w:adjustRightInd w:val="0"/>
              <w:snapToGrid w:val="0"/>
              <w:spacing w:line="360" w:lineRule="auto"/>
              <w:ind w:firstLine="480"/>
              <w:jc w:val="both"/>
              <w:rPr>
                <w:rFonts w:hint="eastAsia"/>
                <w:color w:val="000000"/>
              </w:rPr>
            </w:pPr>
            <w:r>
              <w:rPr>
                <w:rFonts w:hint="eastAsia"/>
              </w:rPr>
              <w:t>本项目新增人员</w:t>
            </w:r>
            <w:r>
              <w:rPr>
                <w:rFonts w:hint="eastAsia"/>
                <w:lang w:val="en-US" w:eastAsia="zh-CN"/>
              </w:rPr>
              <w:t>9</w:t>
            </w:r>
            <w:r>
              <w:rPr>
                <w:rFonts w:hint="eastAsia"/>
              </w:rPr>
              <w:t>人，年工作时间按3</w:t>
            </w:r>
            <w:r>
              <w:rPr>
                <w:rFonts w:hint="eastAsia"/>
                <w:lang w:val="en-US" w:eastAsia="zh-CN"/>
              </w:rPr>
              <w:t>0</w:t>
            </w:r>
            <w:r>
              <w:rPr>
                <w:rFonts w:hint="eastAsia"/>
              </w:rPr>
              <w:t>0天计，</w:t>
            </w:r>
            <w:r>
              <w:rPr>
                <w:rFonts w:hint="eastAsia"/>
                <w:color w:val="000000"/>
              </w:rPr>
              <w:t>食堂用水按</w:t>
            </w:r>
            <w:r>
              <w:rPr>
                <w:rFonts w:hint="eastAsia"/>
                <w:color w:val="000000"/>
                <w:lang w:val="en-US" w:eastAsia="zh-CN"/>
              </w:rPr>
              <w:t>6</w:t>
            </w:r>
            <w:r>
              <w:rPr>
                <w:rFonts w:hint="eastAsia"/>
                <w:color w:val="000000"/>
              </w:rPr>
              <w:t>0 L/人·d计，则食堂用水量为</w:t>
            </w:r>
            <w:r>
              <w:rPr>
                <w:rFonts w:hint="eastAsia"/>
                <w:color w:val="000000"/>
                <w:lang w:val="en-US" w:eastAsia="zh-CN"/>
              </w:rPr>
              <w:t>162</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/a</w:t>
            </w:r>
            <w:r>
              <w:rPr>
                <w:rFonts w:hint="eastAsia"/>
                <w:color w:val="auto"/>
                <w:kern w:val="0"/>
                <w:sz w:val="24"/>
              </w:rPr>
              <w:t>，</w:t>
            </w:r>
            <w:r>
              <w:rPr>
                <w:rFonts w:hint="eastAsia"/>
                <w:color w:val="auto"/>
                <w:kern w:val="0"/>
                <w:sz w:val="24"/>
                <w:lang w:val="en-US" w:eastAsia="zh-CN"/>
              </w:rPr>
              <w:t>0.54</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/d</w:t>
            </w:r>
            <w:r>
              <w:rPr>
                <w:rFonts w:hint="eastAsia"/>
                <w:color w:val="000000"/>
              </w:rPr>
              <w:t>。产污系数以80%计，则食堂废水产生量约为</w:t>
            </w:r>
            <w:r>
              <w:rPr>
                <w:rFonts w:hint="eastAsia"/>
                <w:color w:val="000000"/>
                <w:lang w:val="en-US" w:eastAsia="zh-CN"/>
              </w:rPr>
              <w:t>129.60</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/a</w:t>
            </w:r>
            <w:r>
              <w:rPr>
                <w:rFonts w:hint="eastAsia"/>
                <w:color w:val="auto"/>
                <w:kern w:val="0"/>
                <w:sz w:val="24"/>
              </w:rPr>
              <w:t>，</w:t>
            </w:r>
            <w:r>
              <w:rPr>
                <w:rFonts w:hint="eastAsia"/>
                <w:color w:val="auto"/>
                <w:kern w:val="0"/>
                <w:sz w:val="24"/>
                <w:lang w:val="en-US" w:eastAsia="zh-CN"/>
              </w:rPr>
              <w:t>0.43</w:t>
            </w:r>
            <w:r>
              <w:rPr>
                <w:rFonts w:hint="eastAsia"/>
                <w:snapToGrid w:val="0"/>
                <w:color w:val="000000"/>
                <w:kern w:val="0"/>
                <w:sz w:val="24"/>
                <w:lang w:val="en-US" w:eastAsia="zh-CN"/>
              </w:rPr>
              <w:t>m</w:t>
            </w:r>
            <w:r>
              <w:rPr>
                <w:rFonts w:hint="eastAsia"/>
                <w:snapToGrid w:val="0"/>
                <w:color w:val="000000"/>
                <w:kern w:val="0"/>
                <w:sz w:val="24"/>
                <w:vertAlign w:val="superscript"/>
                <w:lang w:val="en-US" w:eastAsia="zh-CN"/>
              </w:rPr>
              <w:t>3</w:t>
            </w:r>
            <w:r>
              <w:rPr>
                <w:color w:val="auto"/>
                <w:kern w:val="0"/>
                <w:sz w:val="24"/>
              </w:rPr>
              <w:t>/d</w:t>
            </w:r>
            <w:r>
              <w:rPr>
                <w:rFonts w:hint="eastAsia"/>
                <w:color w:val="000000"/>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bCs/>
                <w:color w:val="auto"/>
                <w:sz w:val="24"/>
                <w:lang w:val="en-US" w:eastAsia="zh-CN"/>
              </w:rPr>
            </w:pPr>
            <w:r>
              <w:rPr>
                <w:rFonts w:hint="eastAsia"/>
                <w:b/>
                <w:color w:val="000000"/>
                <w:sz w:val="24"/>
                <w:u w:val="none" w:color="000000"/>
              </w:rPr>
              <w:pict>
                <v:shape id="_x0000_s1061" o:spid="_x0000_s1061" o:spt="75" type="#_x0000_t75" style="position:absolute;left:0pt;margin-left:10.55pt;margin-top:16.55pt;height:239.1pt;width:380.5pt;z-index:-251652096;mso-width-relative:page;mso-height-relative:page;" o:ole="t" filled="f" o:preferrelative="t" stroked="f" coordsize="21600,21600">
                  <v:path/>
                  <v:fill on="f" focussize="0,0"/>
                  <v:stroke on="f"/>
                  <v:imagedata r:id="rId9" o:title=""/>
                  <o:lock v:ext="edit" aspectratio="t"/>
                </v:shape>
                <o:OLEObject Type="Embed" ProgID="RFFlow4" ShapeID="_x0000_s1061" DrawAspect="Content" ObjectID="_1468075725" r:id="rId8">
                  <o:LockedField>false</o:LockedField>
                </o:OLEObject>
              </w:pict>
            </w:r>
            <w:r>
              <w:rPr>
                <w:rFonts w:hint="eastAsia"/>
                <w:bCs/>
                <w:color w:val="auto"/>
                <w:sz w:val="24"/>
                <w:lang w:val="en-US" w:eastAsia="zh-CN"/>
              </w:rPr>
              <w:t>本项目水平衡图如下：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bCs/>
                <w:color w:val="auto"/>
                <w:sz w:val="24"/>
                <w:lang w:val="en-US" w:eastAsia="zh-CN"/>
              </w:rPr>
            </w:pPr>
          </w:p>
          <w:p>
            <w:pPr>
              <w:keepNext w:val="0"/>
              <w:keepLines w:val="0"/>
              <w:pageBreakBefore w:val="0"/>
              <w:widowControl w:val="0"/>
              <w:kinsoku/>
              <w:wordWrap/>
              <w:bidi w:val="0"/>
              <w:rPr>
                <w:rFonts w:hint="default" w:ascii="Times New Roman" w:hAnsi="Times New Roman" w:eastAsia="宋体" w:cs="Times New Roman"/>
                <w:kern w:val="2"/>
                <w:sz w:val="24"/>
                <w:szCs w:val="24"/>
                <w:lang w:val="en-US" w:eastAsia="zh-CN" w:bidi="ar-SA"/>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topLinePunct w:val="0"/>
              <w:bidi w:val="0"/>
              <w:adjustRightInd w:val="0"/>
              <w:snapToGrid w:val="0"/>
              <w:spacing w:line="360" w:lineRule="auto"/>
              <w:jc w:val="center"/>
              <w:rPr>
                <w:b/>
                <w:bCs/>
                <w:color w:val="000000"/>
              </w:rPr>
            </w:pPr>
          </w:p>
          <w:p>
            <w:pPr>
              <w:keepNext w:val="0"/>
              <w:keepLines w:val="0"/>
              <w:pageBreakBefore w:val="0"/>
              <w:widowControl w:val="0"/>
              <w:kinsoku/>
              <w:wordWrap/>
              <w:topLinePunct w:val="0"/>
              <w:bidi w:val="0"/>
              <w:adjustRightInd w:val="0"/>
              <w:snapToGrid w:val="0"/>
              <w:spacing w:line="360" w:lineRule="auto"/>
              <w:jc w:val="center"/>
              <w:rPr>
                <w:b/>
                <w:bCs/>
                <w:color w:val="000000"/>
              </w:rPr>
            </w:pPr>
          </w:p>
          <w:p>
            <w:pPr>
              <w:keepNext w:val="0"/>
              <w:keepLines w:val="0"/>
              <w:pageBreakBefore w:val="0"/>
              <w:widowControl w:val="0"/>
              <w:kinsoku/>
              <w:wordWrap/>
              <w:topLinePunct w:val="0"/>
              <w:bidi w:val="0"/>
              <w:adjustRightInd w:val="0"/>
              <w:snapToGrid w:val="0"/>
              <w:spacing w:line="360" w:lineRule="auto"/>
              <w:jc w:val="center"/>
              <w:rPr>
                <w:b/>
                <w:bCs/>
                <w:color w:val="000000"/>
              </w:rPr>
            </w:pPr>
          </w:p>
          <w:p>
            <w:pPr>
              <w:keepNext w:val="0"/>
              <w:keepLines w:val="0"/>
              <w:pageBreakBefore w:val="0"/>
              <w:widowControl w:val="0"/>
              <w:kinsoku/>
              <w:wordWrap/>
              <w:topLinePunct w:val="0"/>
              <w:bidi w:val="0"/>
              <w:adjustRightInd w:val="0"/>
              <w:snapToGrid w:val="0"/>
              <w:spacing w:line="360" w:lineRule="auto"/>
              <w:jc w:val="center"/>
              <w:rPr>
                <w:b/>
                <w:bCs/>
                <w:color w:val="000000"/>
              </w:rPr>
            </w:pPr>
          </w:p>
          <w:p>
            <w:pPr>
              <w:keepNext w:val="0"/>
              <w:keepLines w:val="0"/>
              <w:pageBreakBefore w:val="0"/>
              <w:widowControl w:val="0"/>
              <w:kinsoku/>
              <w:wordWrap/>
              <w:topLinePunct w:val="0"/>
              <w:bidi w:val="0"/>
              <w:adjustRightInd w:val="0"/>
              <w:snapToGrid w:val="0"/>
              <w:spacing w:line="360" w:lineRule="auto"/>
              <w:jc w:val="center"/>
              <w:rPr>
                <w:b/>
                <w:bCs/>
                <w:color w:val="000000"/>
              </w:rPr>
            </w:pPr>
          </w:p>
          <w:p>
            <w:pPr>
              <w:keepNext w:val="0"/>
              <w:keepLines w:val="0"/>
              <w:pageBreakBefore w:val="0"/>
              <w:widowControl w:val="0"/>
              <w:kinsoku/>
              <w:wordWrap/>
              <w:topLinePunct w:val="0"/>
              <w:bidi w:val="0"/>
              <w:adjustRightInd w:val="0"/>
              <w:snapToGrid w:val="0"/>
              <w:spacing w:line="360" w:lineRule="auto"/>
              <w:jc w:val="center"/>
              <w:rPr>
                <w:b/>
                <w:bCs/>
                <w:color w:val="000000"/>
              </w:rPr>
            </w:pPr>
            <w:r>
              <w:rPr>
                <w:b/>
                <w:bCs/>
                <w:color w:val="000000"/>
              </w:rPr>
              <w:t>图2-</w:t>
            </w:r>
            <w:r>
              <w:rPr>
                <w:rFonts w:hint="eastAsia"/>
                <w:b/>
                <w:bCs/>
                <w:color w:val="000000"/>
              </w:rPr>
              <w:t>1</w:t>
            </w:r>
            <w:r>
              <w:rPr>
                <w:b/>
                <w:bCs/>
                <w:color w:val="000000"/>
              </w:rPr>
              <w:t xml:space="preserve"> </w:t>
            </w:r>
            <w:r>
              <w:rPr>
                <w:rFonts w:hint="eastAsia"/>
                <w:b/>
                <w:bCs/>
                <w:color w:val="000000"/>
                <w:lang w:val="en-US" w:eastAsia="zh-CN"/>
              </w:rPr>
              <w:t>本</w:t>
            </w:r>
            <w:r>
              <w:rPr>
                <w:rFonts w:hint="eastAsia"/>
                <w:b/>
                <w:bCs/>
                <w:color w:val="000000"/>
              </w:rPr>
              <w:t>项目水平衡</w:t>
            </w:r>
            <w:r>
              <w:rPr>
                <w:b/>
                <w:bCs/>
              </w:rPr>
              <w:t>图</w:t>
            </w:r>
            <w:r>
              <w:rPr>
                <w:rFonts w:hint="eastAsia"/>
                <w:b/>
                <w:bCs/>
              </w:rPr>
              <w:t xml:space="preserve">    单位：m³/d</w:t>
            </w:r>
          </w:p>
          <w:p>
            <w:pPr>
              <w:keepNext w:val="0"/>
              <w:keepLines w:val="0"/>
              <w:pageBreakBefore w:val="0"/>
              <w:widowControl w:val="0"/>
              <w:kinsoku/>
              <w:wordWrap/>
              <w:bidi w:val="0"/>
              <w:ind w:firstLine="480" w:firstLineChars="200"/>
              <w:rPr>
                <w:rFonts w:hint="default"/>
                <w:lang w:val="en-US" w:eastAsia="zh-CN"/>
              </w:rPr>
            </w:pPr>
            <w:r>
              <w:rPr>
                <w:rFonts w:hint="eastAsia"/>
                <w:bCs/>
                <w:color w:val="000000"/>
                <w:kern w:val="0"/>
                <w:u w:val="none" w:color="000000"/>
              </w:rPr>
              <w:t>技改后全厂水平衡图如下：</w:t>
            </w:r>
          </w:p>
          <w:p>
            <w:pPr>
              <w:keepNext w:val="0"/>
              <w:keepLines w:val="0"/>
              <w:pageBreakBefore w:val="0"/>
              <w:widowControl w:val="0"/>
              <w:tabs>
                <w:tab w:val="left" w:pos="860"/>
              </w:tabs>
              <w:kinsoku/>
              <w:wordWrap/>
              <w:bidi w:val="0"/>
              <w:jc w:val="left"/>
              <w:rPr>
                <w:rFonts w:hint="eastAsia"/>
                <w:lang w:val="en-US" w:eastAsia="zh-CN"/>
              </w:rPr>
            </w:pPr>
            <w:r>
              <w:rPr>
                <w:rFonts w:hint="eastAsia"/>
                <w:b/>
                <w:color w:val="000000"/>
                <w:sz w:val="24"/>
                <w:u w:val="none" w:color="000000"/>
              </w:rPr>
              <w:pict>
                <v:shape id="_x0000_s1062" o:spid="_x0000_s1062" o:spt="75" type="#_x0000_t75" style="position:absolute;left:0pt;margin-left:-0.25pt;margin-top:2.3pt;height:277.35pt;width:410.9pt;z-index:-251651072;mso-width-relative:page;mso-height-relative:page;" o:ole="t" filled="f" o:preferrelative="t" stroked="f" coordsize="21600,21600">
                  <v:path/>
                  <v:fill on="f" focussize="0,0"/>
                  <v:stroke on="f"/>
                  <v:imagedata r:id="rId11" o:title=""/>
                  <o:lock v:ext="edit" aspectratio="t"/>
                </v:shape>
                <o:OLEObject Type="Embed" ProgID="RFFlow4" ShapeID="_x0000_s1062" DrawAspect="Content" ObjectID="_1468075726" r:id="rId10">
                  <o:LockedField>false</o:LockedField>
                </o:OLEObject>
              </w:pict>
            </w:r>
            <w:r>
              <w:rPr>
                <w:rFonts w:hint="eastAsia"/>
                <w:lang w:val="en-US" w:eastAsia="zh-CN"/>
              </w:rPr>
              <w:tab/>
            </w:r>
          </w:p>
          <w:p>
            <w:pPr>
              <w:keepNext w:val="0"/>
              <w:keepLines w:val="0"/>
              <w:pageBreakBefore w:val="0"/>
              <w:widowControl w:val="0"/>
              <w:tabs>
                <w:tab w:val="left" w:pos="860"/>
              </w:tabs>
              <w:kinsoku/>
              <w:wordWrap/>
              <w:bidi w:val="0"/>
              <w:jc w:val="left"/>
              <w:rPr>
                <w:rFonts w:hint="eastAsia"/>
                <w:lang w:val="en-US" w:eastAsia="zh-CN"/>
              </w:rPr>
            </w:pPr>
          </w:p>
          <w:p>
            <w:pPr>
              <w:keepNext w:val="0"/>
              <w:keepLines w:val="0"/>
              <w:pageBreakBefore w:val="0"/>
              <w:widowControl w:val="0"/>
              <w:tabs>
                <w:tab w:val="left" w:pos="860"/>
              </w:tabs>
              <w:kinsoku/>
              <w:wordWrap/>
              <w:bidi w:val="0"/>
              <w:jc w:val="left"/>
              <w:rPr>
                <w:rFonts w:hint="default"/>
                <w:lang w:val="en-US" w:eastAsia="zh-CN"/>
              </w:rPr>
            </w:pPr>
          </w:p>
          <w:p>
            <w:pPr>
              <w:keepNext w:val="0"/>
              <w:keepLines w:val="0"/>
              <w:pageBreakBefore w:val="0"/>
              <w:widowControl w:val="0"/>
              <w:kinsoku/>
              <w:wordWrap/>
              <w:bidi w:val="0"/>
              <w:rPr>
                <w:rFonts w:hint="default" w:ascii="Times New Roman" w:hAnsi="Times New Roman" w:eastAsia="宋体" w:cs="Times New Roman"/>
                <w:kern w:val="2"/>
                <w:sz w:val="24"/>
                <w:szCs w:val="24"/>
                <w:lang w:val="en-US" w:eastAsia="zh-CN" w:bidi="ar-SA"/>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bidi w:val="0"/>
              <w:rPr>
                <w:rFonts w:hint="default"/>
                <w:lang w:val="en-US" w:eastAsia="zh-CN"/>
              </w:rPr>
            </w:pPr>
          </w:p>
          <w:p>
            <w:pPr>
              <w:keepNext w:val="0"/>
              <w:keepLines w:val="0"/>
              <w:pageBreakBefore w:val="0"/>
              <w:widowControl w:val="0"/>
              <w:kinsoku/>
              <w:wordWrap/>
              <w:topLinePunct w:val="0"/>
              <w:bidi w:val="0"/>
              <w:adjustRightInd w:val="0"/>
              <w:snapToGrid w:val="0"/>
              <w:spacing w:line="360" w:lineRule="auto"/>
              <w:jc w:val="center"/>
              <w:rPr>
                <w:b/>
                <w:bCs/>
                <w:color w:val="000000"/>
              </w:rPr>
            </w:pPr>
          </w:p>
          <w:p>
            <w:pPr>
              <w:keepNext w:val="0"/>
              <w:keepLines w:val="0"/>
              <w:pageBreakBefore w:val="0"/>
              <w:widowControl w:val="0"/>
              <w:kinsoku/>
              <w:wordWrap/>
              <w:topLinePunct w:val="0"/>
              <w:bidi w:val="0"/>
              <w:adjustRightInd w:val="0"/>
              <w:snapToGrid w:val="0"/>
              <w:spacing w:line="360" w:lineRule="auto"/>
              <w:jc w:val="center"/>
              <w:rPr>
                <w:rFonts w:hint="default"/>
                <w:lang w:val="en-US" w:eastAsia="zh-CN"/>
              </w:rPr>
            </w:pPr>
            <w:r>
              <w:rPr>
                <w:b/>
                <w:bCs/>
                <w:color w:val="000000"/>
              </w:rPr>
              <w:t>图2-</w:t>
            </w:r>
            <w:r>
              <w:rPr>
                <w:rFonts w:hint="eastAsia"/>
                <w:b/>
                <w:bCs/>
                <w:color w:val="000000"/>
                <w:lang w:val="en-US" w:eastAsia="zh-CN"/>
              </w:rPr>
              <w:t>2</w:t>
            </w:r>
            <w:r>
              <w:rPr>
                <w:b/>
                <w:bCs/>
                <w:color w:val="000000"/>
              </w:rPr>
              <w:t xml:space="preserve"> </w:t>
            </w:r>
            <w:r>
              <w:rPr>
                <w:rFonts w:hint="eastAsia"/>
                <w:b/>
                <w:bCs/>
                <w:color w:val="000000"/>
                <w:lang w:val="en-US" w:eastAsia="zh-CN"/>
              </w:rPr>
              <w:t>全厂</w:t>
            </w:r>
            <w:r>
              <w:rPr>
                <w:rFonts w:hint="eastAsia"/>
                <w:b/>
                <w:bCs/>
                <w:color w:val="000000"/>
              </w:rPr>
              <w:t>水平衡</w:t>
            </w:r>
            <w:r>
              <w:rPr>
                <w:b/>
                <w:bCs/>
              </w:rPr>
              <w:t>图</w:t>
            </w:r>
            <w:r>
              <w:rPr>
                <w:rFonts w:hint="eastAsia"/>
                <w:b/>
                <w:bCs/>
              </w:rPr>
              <w:t xml:space="preserve">    单位：m³/d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40" w:hRule="atLeast"/>
          <w:jc w:val="center"/>
        </w:trPr>
        <w:tc>
          <w:tcPr>
            <w:tcW w:w="457" w:type="pct"/>
            <w:noWrap w:val="0"/>
            <w:vAlign w:val="center"/>
          </w:tcPr>
          <w:p>
            <w:pPr>
              <w:keepNext w:val="0"/>
              <w:keepLines w:val="0"/>
              <w:pageBreakBefore w:val="0"/>
              <w:widowControl w:val="0"/>
              <w:kinsoku/>
              <w:wordWrap/>
              <w:overflowPunct/>
              <w:bidi w:val="0"/>
              <w:adjustRightInd w:val="0"/>
              <w:snapToGrid w:val="0"/>
              <w:jc w:val="center"/>
              <w:rPr>
                <w:b/>
                <w:bCs/>
              </w:rPr>
            </w:pPr>
            <w:r>
              <w:rPr>
                <w:rFonts w:hint="eastAsia"/>
                <w:b/>
                <w:bCs/>
              </w:rPr>
              <w:t>工艺流程和产排污环节</w:t>
            </w:r>
          </w:p>
        </w:tc>
        <w:tc>
          <w:tcPr>
            <w:tcW w:w="4542"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rPr>
            </w:pPr>
            <w:r>
              <w:rPr>
                <w:rFonts w:hint="eastAsia"/>
                <w:b/>
                <w:bCs/>
              </w:rPr>
              <w:t>1、施工期工程分析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rPr>
              <w:t>本项目依托企业现有厂房建设，仅涉及设备安装及配套废气处理设施建设，其建设过程不涉及土建施工，仅会在设备安装及装修过程会产生一些机械噪声，产生污染较小，故不对此产污环节进行分析。</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rPr>
            </w:pPr>
            <w:r>
              <w:rPr>
                <w:rFonts w:hint="eastAsia"/>
                <w:b/>
                <w:bCs/>
              </w:rPr>
              <w:t>2、运营期工程分析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rPr>
            </w:pPr>
            <w:r>
              <w:rPr>
                <w:rFonts w:hint="eastAsia"/>
                <w:b/>
                <w:bCs/>
              </w:rPr>
              <w:t>2.1</w:t>
            </w:r>
            <w:r>
              <w:rPr>
                <w:b/>
                <w:bCs/>
              </w:rPr>
              <w:t>生产工艺流程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rPr>
            </w:pPr>
            <w:r>
              <w:rPr>
                <w:rFonts w:hint="eastAsia" w:ascii="宋体" w:hAnsi="宋体"/>
                <w:bCs/>
                <w:szCs w:val="21"/>
                <w:lang w:val="en-US" w:eastAsia="zh-CN"/>
              </w:rPr>
              <w:t>本项目2#软化纯净水生产线经过技术改造，原有软化纯净水生产能力不变的情况下，增加年产35万吨的凉白开纯净水，凉白开纯净水瓶坯外购。增设3#软化纯净水生产线及PET瓶坯生产线，年产软化纯净水33万吨，软化纯净水PET瓶坯6.14亿支/年。</w:t>
            </w:r>
            <w:r>
              <w:rPr>
                <w:color w:val="000000"/>
              </w:rPr>
              <w:t>具体的工艺流程</w:t>
            </w:r>
            <w:r>
              <w:rPr>
                <w:rFonts w:hint="eastAsia"/>
                <w:color w:val="000000"/>
              </w:rPr>
              <w:t>及产污环节如下</w:t>
            </w:r>
            <w:r>
              <w:rPr>
                <w:color w:val="000000"/>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color w:val="000000"/>
              </w:rPr>
              <w:t>2</w:t>
            </w:r>
            <w:r>
              <w:t>.1</w:t>
            </w:r>
            <w:r>
              <w:rPr>
                <w:rFonts w:hint="eastAsia"/>
              </w:rPr>
              <w:t>.1</w:t>
            </w:r>
            <w:r>
              <w:rPr>
                <w:rFonts w:hint="eastAsia"/>
                <w:lang w:val="en-US" w:eastAsia="zh-CN"/>
              </w:rPr>
              <w:t>凉白开纯净水</w:t>
            </w:r>
            <w:r>
              <w:rPr>
                <w:rFonts w:hint="eastAsia"/>
              </w:rPr>
              <w:t>生产工艺流程及产污节点</w:t>
            </w:r>
          </w:p>
          <w:p>
            <w:pPr>
              <w:keepNext w:val="0"/>
              <w:keepLines w:val="0"/>
              <w:pageBreakBefore w:val="0"/>
              <w:widowControl w:val="0"/>
              <w:kinsoku/>
              <w:wordWrap/>
              <w:overflowPunct/>
              <w:topLinePunct w:val="0"/>
              <w:autoSpaceDE/>
              <w:autoSpaceDN/>
              <w:bidi w:val="0"/>
              <w:adjustRightInd w:val="0"/>
              <w:snapToGrid w:val="0"/>
              <w:spacing w:line="360" w:lineRule="auto"/>
              <w:ind w:firstLine="428" w:firstLineChars="200"/>
              <w:textAlignment w:val="auto"/>
              <w:rPr>
                <w:rFonts w:hint="eastAsia"/>
                <w:spacing w:val="-13"/>
                <w:lang w:val="en-US" w:eastAsia="zh-CN"/>
              </w:rPr>
            </w:pPr>
            <w:r>
              <w:rPr>
                <w:rFonts w:hint="default"/>
                <w:spacing w:val="-13"/>
                <w:lang w:val="en-US" w:eastAsia="zh-CN"/>
              </w:rPr>
              <w:pict>
                <v:shape id="_x0000_s1057" o:spid="_x0000_s1057" o:spt="75" type="#_x0000_t75" style="position:absolute;left:0pt;margin-left:-5.15pt;margin-top:90.45pt;height:343pt;width:442.5pt;z-index:251662336;mso-width-relative:page;mso-height-relative:page;" o:ole="t" filled="f" o:preferrelative="t" stroked="f" coordsize="21600,21600">
                  <v:path/>
                  <v:fill on="f" focussize="0,0"/>
                  <v:stroke on="f"/>
                  <v:imagedata r:id="rId13" o:title=""/>
                  <o:lock v:ext="edit" aspectratio="t"/>
                </v:shape>
                <o:OLEObject Type="Embed" ProgID="RFFlow4" ShapeID="_x0000_s1057" DrawAspect="Content" ObjectID="_1468075727" r:id="rId12">
                  <o:LockedField>false</o:LockedField>
                </o:OLEObject>
              </w:pict>
            </w:r>
            <w:r>
              <w:rPr>
                <w:rFonts w:hint="eastAsia" w:ascii="宋体" w:hAnsi="宋体"/>
                <w:bCs/>
                <w:szCs w:val="21"/>
                <w:lang w:val="en-US" w:eastAsia="zh-CN"/>
              </w:rPr>
              <w:t>凉白开纯净水生产以自来水为主要原料，经过叠片过滤、超滤、炭滤、</w:t>
            </w:r>
            <w:r>
              <w:rPr>
                <w:rFonts w:ascii="Times New Roman" w:hAnsi="Times New Roman" w:eastAsia="Times New Roman"/>
              </w:rPr>
              <w:t>5</w:t>
            </w:r>
            <w:r>
              <w:t>μ</w:t>
            </w:r>
            <w:r>
              <w:rPr>
                <w:rFonts w:ascii="Times New Roman" w:hAnsi="Times New Roman" w:eastAsia="Times New Roman"/>
              </w:rPr>
              <w:t>m</w:t>
            </w:r>
            <w:r>
              <w:t>过滤</w:t>
            </w:r>
            <w:r>
              <w:rPr>
                <w:rFonts w:hint="eastAsia"/>
                <w:lang w:eastAsia="zh-CN"/>
              </w:rPr>
              <w:t>、</w:t>
            </w:r>
            <w:r>
              <w:rPr>
                <w:rFonts w:hint="eastAsia" w:ascii="宋体" w:hAnsi="宋体"/>
                <w:bCs/>
                <w:szCs w:val="21"/>
                <w:lang w:val="en-US" w:eastAsia="zh-CN"/>
              </w:rPr>
              <w:t>两级RO膜反渗透、</w:t>
            </w:r>
            <w:r>
              <w:rPr>
                <w:rFonts w:ascii="Times New Roman" w:hAnsi="Times New Roman" w:eastAsia="Times New Roman"/>
              </w:rPr>
              <w:t>1</w:t>
            </w:r>
            <w:r>
              <w:t>μ</w:t>
            </w:r>
            <w:r>
              <w:rPr>
                <w:rFonts w:ascii="Times New Roman" w:hAnsi="Times New Roman" w:eastAsia="Times New Roman"/>
              </w:rPr>
              <w:t>m+0.2</w:t>
            </w:r>
            <w:r>
              <w:t>μ</w:t>
            </w:r>
            <w:r>
              <w:rPr>
                <w:rFonts w:ascii="Times New Roman" w:hAnsi="Times New Roman" w:eastAsia="Times New Roman"/>
              </w:rPr>
              <w:t>m</w:t>
            </w:r>
            <w:r>
              <w:rPr>
                <w:spacing w:val="-13"/>
              </w:rPr>
              <w:t>过滤</w:t>
            </w:r>
            <w:r>
              <w:rPr>
                <w:rFonts w:hint="eastAsia"/>
                <w:spacing w:val="-13"/>
                <w:lang w:eastAsia="zh-CN"/>
              </w:rPr>
              <w:t>、</w:t>
            </w:r>
            <w:r>
              <w:rPr>
                <w:rFonts w:hint="eastAsia"/>
                <w:spacing w:val="-13"/>
                <w:lang w:val="en-US" w:eastAsia="zh-CN"/>
              </w:rPr>
              <w:t>UHT高温杀菌、臭氧消毒、UV灯处理、</w:t>
            </w:r>
            <w:r>
              <w:rPr>
                <w:rFonts w:ascii="Times New Roman" w:hAnsi="Times New Roman" w:eastAsia="Times New Roman"/>
              </w:rPr>
              <w:t>0.2</w:t>
            </w:r>
            <w:r>
              <w:t>μ</w:t>
            </w:r>
            <w:r>
              <w:rPr>
                <w:rFonts w:ascii="Times New Roman" w:hAnsi="Times New Roman" w:eastAsia="Times New Roman"/>
              </w:rPr>
              <w:t>m</w:t>
            </w:r>
            <w:r>
              <w:rPr>
                <w:spacing w:val="-13"/>
              </w:rPr>
              <w:t>过滤</w:t>
            </w:r>
            <w:r>
              <w:rPr>
                <w:rFonts w:hint="eastAsia"/>
                <w:spacing w:val="-13"/>
                <w:lang w:eastAsia="zh-CN"/>
              </w:rPr>
              <w:t>、</w:t>
            </w:r>
            <w:r>
              <w:rPr>
                <w:rFonts w:hint="eastAsia"/>
                <w:spacing w:val="-13"/>
                <w:lang w:val="en-US" w:eastAsia="zh-CN"/>
              </w:rPr>
              <w:t>装瓶、封盖等工序形成瓶装凉白开纯净水产品。瓶装凉白开纯净水生产工艺流程及产污节点如下图。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spacing w:val="-13"/>
                <w:lang w:val="en-US" w:eastAsia="zh-CN"/>
              </w:rPr>
            </w:pPr>
          </w:p>
          <w:p>
            <w:pPr>
              <w:keepNext w:val="0"/>
              <w:keepLines w:val="0"/>
              <w:pageBreakBefore w:val="0"/>
              <w:widowControl w:val="0"/>
              <w:kinsoku/>
              <w:wordWrap/>
              <w:overflowPunct/>
              <w:bidi w:val="0"/>
              <w:adjustRightInd w:val="0"/>
              <w:snapToGrid w:val="0"/>
              <w:rPr>
                <w:rFonts w:hint="default" w:ascii="Times New Roman" w:hAnsi="Times New Roman" w:eastAsia="宋体" w:cs="Times New Roman"/>
                <w:kern w:val="2"/>
                <w:sz w:val="24"/>
                <w:szCs w:val="24"/>
                <w:lang w:val="en-US" w:eastAsia="zh-CN" w:bidi="ar-SA"/>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tabs>
                <w:tab w:val="left" w:pos="525"/>
                <w:tab w:val="left" w:pos="798"/>
              </w:tabs>
              <w:kinsoku/>
              <w:wordWrap/>
              <w:overflowPunct/>
              <w:topLinePunct w:val="0"/>
              <w:bidi w:val="0"/>
              <w:adjustRightInd w:val="0"/>
              <w:snapToGrid w:val="0"/>
              <w:spacing w:line="360" w:lineRule="auto"/>
              <w:jc w:val="center"/>
              <w:rPr>
                <w:b/>
                <w:bCs/>
                <w:color w:val="000000"/>
              </w:rPr>
            </w:pPr>
            <w:r>
              <w:rPr>
                <w:b/>
                <w:bCs/>
                <w:color w:val="auto"/>
              </w:rPr>
              <w:t>图2-</w:t>
            </w:r>
            <w:r>
              <w:rPr>
                <w:rFonts w:hint="eastAsia"/>
                <w:b/>
                <w:bCs/>
                <w:color w:val="auto"/>
              </w:rPr>
              <w:t>3</w:t>
            </w:r>
            <w:r>
              <w:rPr>
                <w:b/>
                <w:bCs/>
                <w:color w:val="auto"/>
              </w:rPr>
              <w:t xml:space="preserve">  </w:t>
            </w:r>
            <w:r>
              <w:rPr>
                <w:rFonts w:hint="eastAsia"/>
                <w:b/>
                <w:bCs/>
                <w:color w:val="auto"/>
                <w:lang w:val="en-US" w:eastAsia="zh-CN"/>
              </w:rPr>
              <w:t>凉白</w:t>
            </w:r>
            <w:r>
              <w:rPr>
                <w:rFonts w:hint="eastAsia"/>
                <w:b/>
                <w:bCs/>
                <w:color w:val="000000"/>
                <w:lang w:val="en-US" w:eastAsia="zh-CN"/>
              </w:rPr>
              <w:t>开纯净水</w:t>
            </w:r>
            <w:r>
              <w:rPr>
                <w:rFonts w:hint="eastAsia"/>
                <w:b/>
                <w:bCs/>
              </w:rPr>
              <w:t>生产</w:t>
            </w:r>
            <w:r>
              <w:rPr>
                <w:b/>
                <w:bCs/>
              </w:rPr>
              <w:t>工艺流程及产污环节图</w:t>
            </w:r>
          </w:p>
          <w:p>
            <w:pPr>
              <w:keepNext w:val="0"/>
              <w:keepLines w:val="0"/>
              <w:pageBreakBefore w:val="0"/>
              <w:widowControl w:val="0"/>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eastAsia"/>
                <w:b/>
                <w:bCs/>
                <w:lang w:val="en-US" w:eastAsia="zh-CN"/>
              </w:rPr>
            </w:pPr>
            <w:r>
              <w:rPr>
                <w:rFonts w:hint="eastAsia"/>
                <w:b/>
                <w:bCs/>
                <w:lang w:val="en-US" w:eastAsia="zh-CN"/>
              </w:rPr>
              <w:t>凉白开纯净水生产工艺简述：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lang w:val="en-US" w:eastAsia="zh-CN"/>
              </w:rPr>
            </w:pPr>
            <w:r>
              <w:rPr>
                <w:rFonts w:hint="eastAsia"/>
                <w:lang w:val="en-US" w:eastAsia="zh-CN"/>
              </w:rPr>
              <w:t>（1）叠片过滤：</w:t>
            </w:r>
            <w:r>
              <w:t>叠片过滤分为过滤阶段和反冲洗阶段。在过滤阶段，水流通过过滤进水口进入过滤器内。通过过滤叠片时，过滤叠片在弹簧力和水力的作用下被紧紧地压在一起，水中的杂质颗粒被截留在叠片交叉点。经过过滤的水从过滤器主通道中流出，此时单向膈膜阀处于开启状态。在反冲洗阶段，当达到一定的压差时，或设定的时间内系统自动进入反冲洗状态。控制器控制阀门改变水流方向，过滤器底部单向隔膜关闭主通道，反冲洗进入四组喷嘴通道，和喷嘴通道连接的活塞腔内的水压上升。活塞向上运动克服弹簧对叠片的压力，并在叠片组顶部释放活塞空间。同时反冲洗水从四组喷嘴通道上面的喷嘴沿叠片切线的方向高速喷射，使叠片旋转并均匀分开。喷洗水喷洗叠片表面，将截留在叠片上的杂质喷洗甩出。当反冲洗结束时，水流方向再次改变，叠片再次被压紧，系统重新进入过滤状态。该工序会产生</w:t>
            </w:r>
            <w:r>
              <w:rPr>
                <w:rFonts w:hint="eastAsia"/>
                <w:lang w:val="en-US" w:eastAsia="zh-CN"/>
              </w:rPr>
              <w:t>废过滤器（S</w:t>
            </w:r>
            <w:r>
              <w:rPr>
                <w:rFonts w:hint="eastAsia"/>
                <w:vertAlign w:val="subscript"/>
                <w:lang w:val="en-US" w:eastAsia="zh-CN"/>
              </w:rPr>
              <w:t>1-1</w:t>
            </w:r>
            <w:r>
              <w:rPr>
                <w:rFonts w:hint="eastAsia"/>
                <w:lang w:val="en-US" w:eastAsia="zh-CN"/>
              </w:rPr>
              <w:t>）、叠片过滤反冲洗废水（W</w:t>
            </w:r>
            <w:r>
              <w:rPr>
                <w:rFonts w:hint="eastAsia"/>
                <w:vertAlign w:val="subscript"/>
                <w:lang w:val="en-US" w:eastAsia="zh-CN"/>
              </w:rPr>
              <w:t>1-1</w:t>
            </w:r>
            <w:r>
              <w:rPr>
                <w:rFonts w:hint="eastAsia"/>
                <w:lang w:val="en-US" w:eastAsia="zh-CN"/>
              </w:rPr>
              <w:t>）。</w:t>
            </w:r>
          </w:p>
          <w:p>
            <w:pPr>
              <w:keepNext w:val="0"/>
              <w:keepLines w:val="0"/>
              <w:pageBreakBefore w:val="0"/>
              <w:widowControl w:val="0"/>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default"/>
                <w:lang w:val="en-US" w:eastAsia="zh-CN"/>
              </w:rPr>
            </w:pPr>
            <w:r>
              <w:rPr>
                <w:b/>
              </w:rPr>
              <w:t>产污及治理措施</w:t>
            </w:r>
            <w:r>
              <w:t>：</w:t>
            </w:r>
            <w:r>
              <w:rPr>
                <w:rFonts w:hint="eastAsia"/>
                <w:lang w:val="en-US" w:eastAsia="zh-CN"/>
              </w:rPr>
              <w:t>自来水叠片过滤会产生废过滤器，该废过滤器暂存一般固废间，定期由供应厂家进行回收。叠片过滤反冲洗废水直排入市政污水管网，由园区污水处理厂进行处理。</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0" w:firstLineChars="200"/>
              <w:jc w:val="left"/>
              <w:textAlignment w:val="auto"/>
              <w:rPr>
                <w:rFonts w:hint="eastAsia"/>
                <w:lang w:val="en-US" w:eastAsia="zh-CN"/>
              </w:rPr>
            </w:pPr>
            <w:r>
              <w:rPr>
                <w:rFonts w:hint="eastAsia" w:ascii="Times New Roman" w:hAnsi="Times New Roman" w:eastAsia="宋体" w:cs="Times New Roman"/>
                <w:kern w:val="2"/>
                <w:sz w:val="24"/>
                <w:szCs w:val="24"/>
                <w:lang w:val="en-US" w:eastAsia="zh-CN" w:bidi="ar-SA"/>
              </w:rPr>
              <w:t>（2）</w:t>
            </w:r>
            <w:r>
              <w:rPr>
                <w:rFonts w:hint="eastAsia"/>
                <w:lang w:val="en-US" w:eastAsia="zh-CN"/>
              </w:rPr>
              <w:t>超滤：</w:t>
            </w:r>
            <w:r>
              <w:rPr>
                <w:spacing w:val="-2"/>
              </w:rPr>
              <w:t>超滤是以大分子与小分子分离为目的，是一种加压膜分离技术。即在一定的压力下，使小分子溶质和溶剂穿过一定孔径的特制的薄膜，而使大分子溶质不能透过，留在膜的一边，从而使大分子物质得到了部分的纯化。</w:t>
            </w:r>
            <w:r>
              <w:rPr>
                <w:rFonts w:hint="eastAsia"/>
                <w:spacing w:val="-2"/>
                <w:lang w:val="en-US" w:eastAsia="zh-CN"/>
              </w:rPr>
              <w:t>该工序需定时进行反冲洗，工序会产生废过滤器</w:t>
            </w:r>
            <w:r>
              <w:rPr>
                <w:rFonts w:hint="eastAsia"/>
                <w:lang w:val="en-US" w:eastAsia="zh-CN"/>
              </w:rPr>
              <w:t>（S</w:t>
            </w:r>
            <w:r>
              <w:rPr>
                <w:rFonts w:hint="eastAsia"/>
                <w:vertAlign w:val="subscript"/>
                <w:lang w:val="en-US" w:eastAsia="zh-CN"/>
              </w:rPr>
              <w:t>1-2</w:t>
            </w:r>
            <w:r>
              <w:rPr>
                <w:rFonts w:hint="eastAsia"/>
                <w:lang w:val="en-US" w:eastAsia="zh-CN"/>
              </w:rPr>
              <w:t>）、超滤反冲洗废水（W</w:t>
            </w:r>
            <w:r>
              <w:rPr>
                <w:rFonts w:hint="eastAsia"/>
                <w:vertAlign w:val="subscript"/>
                <w:lang w:val="en-US" w:eastAsia="zh-CN"/>
              </w:rPr>
              <w:t>1-2</w:t>
            </w:r>
            <w:r>
              <w:rPr>
                <w:rFonts w:hint="eastAsia"/>
                <w:lang w:val="en-US" w:eastAsia="zh-CN"/>
              </w:rPr>
              <w:t>）、超滤浓水（W</w:t>
            </w:r>
            <w:r>
              <w:rPr>
                <w:rFonts w:hint="eastAsia"/>
                <w:vertAlign w:val="subscript"/>
                <w:lang w:val="en-US" w:eastAsia="zh-CN"/>
              </w:rPr>
              <w:t>1-3</w:t>
            </w:r>
            <w:r>
              <w:rPr>
                <w:rFonts w:hint="eastAsia"/>
                <w:lang w:val="en-US" w:eastAsia="zh-CN"/>
              </w:rPr>
              <w:t>）。</w:t>
            </w:r>
          </w:p>
          <w:p>
            <w:pPr>
              <w:keepNext w:val="0"/>
              <w:keepLines w:val="0"/>
              <w:pageBreakBefore w:val="0"/>
              <w:widowControl w:val="0"/>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default"/>
                <w:lang w:val="en-US" w:eastAsia="zh-CN"/>
              </w:rPr>
            </w:pPr>
            <w:r>
              <w:rPr>
                <w:b/>
              </w:rPr>
              <w:t>产污及治理措施</w:t>
            </w:r>
            <w:r>
              <w:t>：</w:t>
            </w:r>
            <w:r>
              <w:rPr>
                <w:rFonts w:hint="eastAsia"/>
                <w:lang w:val="en-US" w:eastAsia="zh-CN"/>
              </w:rPr>
              <w:t>超滤会产生废过滤器、超滤反冲洗废水、超滤浓水，该废过滤器暂存一般固废间，定期由供应厂家进行回收。超滤反冲洗废水、超滤浓水直排入市政污水管网，由园区污水处理厂进行处理。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3）活性炭过滤：活性炭具有大量的微孔和巨大的比表面积，具有极强的物理吸附能力，能够有效吸附水中杂质，尤其是有机物、微生物和一部分金属离子，过滤后的水可满足后序水处理单元的入水要求。活性炭过滤后需用蒸汽对其处理再生，以便循环使用，再生不了的进行更换。</w:t>
            </w:r>
            <w:r>
              <w:rPr>
                <w:rFonts w:hint="eastAsia"/>
                <w:spacing w:val="-2"/>
                <w:lang w:val="en-US" w:eastAsia="zh-CN"/>
              </w:rPr>
              <w:t>该工序会产生废活性炭</w:t>
            </w:r>
            <w:r>
              <w:rPr>
                <w:rFonts w:hint="eastAsia"/>
                <w:lang w:val="en-US" w:eastAsia="zh-CN"/>
              </w:rPr>
              <w:t>（S</w:t>
            </w:r>
            <w:r>
              <w:rPr>
                <w:rFonts w:hint="eastAsia"/>
                <w:vertAlign w:val="subscript"/>
                <w:lang w:val="en-US" w:eastAsia="zh-CN"/>
              </w:rPr>
              <w:t>1-3</w:t>
            </w:r>
            <w:r>
              <w:rPr>
                <w:rFonts w:hint="eastAsia"/>
                <w:lang w:val="en-US" w:eastAsia="zh-CN"/>
              </w:rPr>
              <w:t>）。</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2" w:firstLineChars="200"/>
              <w:jc w:val="both"/>
              <w:textAlignment w:val="auto"/>
              <w:rPr>
                <w:rFonts w:hint="eastAsia"/>
                <w:lang w:val="en-US" w:eastAsia="zh-CN"/>
              </w:rPr>
            </w:pPr>
            <w:r>
              <w:rPr>
                <w:b/>
              </w:rPr>
              <w:t>产污及治理措施</w:t>
            </w:r>
            <w:r>
              <w:t>：</w:t>
            </w:r>
            <w:r>
              <w:rPr>
                <w:rFonts w:hint="eastAsia"/>
                <w:lang w:val="en-US" w:eastAsia="zh-CN"/>
              </w:rPr>
              <w:t>活性炭过滤会产生废活性炭，该废活性炭暂存一般固废间，定期由供应厂家进行回收。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（4）5</w:t>
            </w:r>
            <w:r>
              <w:t>μ</w:t>
            </w:r>
            <w:r>
              <w:rPr>
                <w:rFonts w:ascii="Times New Roman" w:hAnsi="Times New Roman" w:eastAsia="Times New Roman"/>
              </w:rPr>
              <w:t>m</w:t>
            </w:r>
            <w:r>
              <w:rPr>
                <w:rFonts w:hint="eastAsia" w:ascii="Times New Roman" w:hAnsi="Times New Roman" w:eastAsia="宋体"/>
                <w:lang w:val="en-US" w:eastAsia="zh-CN"/>
              </w:rPr>
              <w:t>过滤：炭滤后的水需经过</w:t>
            </w:r>
            <w:r>
              <w:rPr>
                <w:rFonts w:hint="eastAsia"/>
                <w:lang w:val="en-US" w:eastAsia="zh-CN"/>
              </w:rPr>
              <w:t>5</w:t>
            </w:r>
            <w:r>
              <w:t>μ</w:t>
            </w:r>
            <w:r>
              <w:rPr>
                <w:rFonts w:ascii="Times New Roman" w:hAnsi="Times New Roman" w:eastAsia="Times New Roman"/>
              </w:rPr>
              <w:t>m</w:t>
            </w:r>
            <w:r>
              <w:rPr>
                <w:rFonts w:hint="eastAsia" w:ascii="Times New Roman" w:hAnsi="Times New Roman" w:eastAsia="宋体"/>
                <w:lang w:val="en-US" w:eastAsia="zh-CN"/>
              </w:rPr>
              <w:t>过滤</w:t>
            </w:r>
            <w:r>
              <w:rPr>
                <w:rFonts w:hint="eastAsia"/>
                <w:lang w:val="en-US" w:eastAsia="zh-CN"/>
              </w:rPr>
              <w:t>器进行过滤，以便满足后序水处理单元的入水要求。</w:t>
            </w:r>
            <w:r>
              <w:rPr>
                <w:rFonts w:hint="eastAsia"/>
                <w:spacing w:val="-2"/>
                <w:lang w:val="en-US" w:eastAsia="zh-CN"/>
              </w:rPr>
              <w:t>该工序会产生废过滤器</w:t>
            </w:r>
            <w:r>
              <w:rPr>
                <w:rFonts w:hint="eastAsia"/>
                <w:lang w:val="en-US" w:eastAsia="zh-CN"/>
              </w:rPr>
              <w:t>（S</w:t>
            </w:r>
            <w:r>
              <w:rPr>
                <w:rFonts w:hint="eastAsia"/>
                <w:vertAlign w:val="subscript"/>
                <w:lang w:val="en-US" w:eastAsia="zh-CN"/>
              </w:rPr>
              <w:t>1-4</w:t>
            </w:r>
            <w:r>
              <w:rPr>
                <w:rFonts w:hint="eastAsia"/>
                <w:lang w:val="en-US" w:eastAsia="zh-CN"/>
              </w:rPr>
              <w:t>）。</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eastAsia"/>
                <w:lang w:val="en-US" w:eastAsia="zh-CN"/>
              </w:rPr>
            </w:pPr>
            <w:r>
              <w:rPr>
                <w:b/>
              </w:rPr>
              <w:t>产污及治理措施</w:t>
            </w:r>
            <w:r>
              <w:t>：</w:t>
            </w:r>
            <w:r>
              <w:rPr>
                <w:rFonts w:hint="eastAsia"/>
                <w:lang w:val="en-US" w:eastAsia="zh-CN"/>
              </w:rPr>
              <w:t>5</w:t>
            </w:r>
            <w:r>
              <w:t>μ</w:t>
            </w:r>
            <w:r>
              <w:rPr>
                <w:rFonts w:ascii="Times New Roman" w:hAnsi="Times New Roman" w:eastAsia="Times New Roman"/>
              </w:rPr>
              <w:t>m</w:t>
            </w:r>
            <w:r>
              <w:rPr>
                <w:rFonts w:hint="eastAsia"/>
                <w:lang w:val="en-US" w:eastAsia="zh-CN"/>
              </w:rPr>
              <w:t>过滤会产生废过滤器，该废过滤器暂存一般固废间，定期由供应厂家进行回收。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lang w:val="en-US" w:eastAsia="zh-CN"/>
              </w:rPr>
            </w:pPr>
            <w:r>
              <w:rPr>
                <w:rFonts w:hint="eastAsia" w:eastAsia="宋体"/>
                <w:lang w:val="en-US" w:eastAsia="zh-CN"/>
              </w:rPr>
              <w:t>（5）两级反渗透过滤：</w:t>
            </w:r>
            <w:r>
              <w:rPr>
                <w:spacing w:val="-2"/>
              </w:rPr>
              <w:t>反渗透是用足够的压力使水通过反渗透膜而分离出来，方向与渗</w:t>
            </w:r>
            <w:r>
              <w:rPr>
                <w:spacing w:val="-1"/>
              </w:rPr>
              <w:t>透方向相反，可有效去除水中的溶解盐、胶体、细菌、病毒和大部分有机物等杂质。</w:t>
            </w:r>
            <w:r>
              <w:rPr>
                <w:rFonts w:hint="eastAsia"/>
                <w:spacing w:val="-1"/>
                <w:lang w:val="en-US" w:eastAsia="zh-CN"/>
              </w:rPr>
              <w:t>反渗透过滤时添加少量氢氧化钠和阻垢剂，作用分别是调节电导率和阻垢。该</w:t>
            </w:r>
            <w:r>
              <w:rPr>
                <w:rFonts w:hint="eastAsia"/>
                <w:spacing w:val="-2"/>
                <w:lang w:val="en-US" w:eastAsia="zh-CN"/>
              </w:rPr>
              <w:t>工序需定时进行反冲洗，反冲洗时添加柠檬酸，防止</w:t>
            </w:r>
            <w:r>
              <w:rPr>
                <w:rFonts w:hint="eastAsia"/>
                <w:lang w:val="en-US" w:eastAsia="zh-CN"/>
              </w:rPr>
              <w:t>RO膜结垢，</w:t>
            </w:r>
            <w:r>
              <w:t>工序会产生</w:t>
            </w:r>
            <w:r>
              <w:rPr>
                <w:rFonts w:hint="eastAsia"/>
                <w:lang w:val="en-US" w:eastAsia="zh-CN"/>
              </w:rPr>
              <w:t>废反渗透膜（S</w:t>
            </w:r>
            <w:r>
              <w:rPr>
                <w:rFonts w:hint="eastAsia"/>
                <w:vertAlign w:val="subscript"/>
                <w:lang w:val="en-US" w:eastAsia="zh-CN"/>
              </w:rPr>
              <w:t>1-5</w:t>
            </w:r>
            <w:r>
              <w:rPr>
                <w:rFonts w:hint="eastAsia"/>
                <w:lang w:val="en-US" w:eastAsia="zh-CN"/>
              </w:rPr>
              <w:t>）、RO膜浓水（W</w:t>
            </w:r>
            <w:r>
              <w:rPr>
                <w:rFonts w:hint="eastAsia"/>
                <w:vertAlign w:val="subscript"/>
                <w:lang w:val="en-US" w:eastAsia="zh-CN"/>
              </w:rPr>
              <w:t>1-4</w:t>
            </w:r>
            <w:r>
              <w:rPr>
                <w:rFonts w:hint="eastAsia"/>
                <w:lang w:val="en-US" w:eastAsia="zh-CN"/>
              </w:rPr>
              <w:t>）、RO膜反冲洗废水（W</w:t>
            </w:r>
            <w:r>
              <w:rPr>
                <w:rFonts w:hint="eastAsia"/>
                <w:vertAlign w:val="subscript"/>
                <w:lang w:val="en-US" w:eastAsia="zh-CN"/>
              </w:rPr>
              <w:t>1-5</w:t>
            </w:r>
            <w:r>
              <w:rPr>
                <w:rFonts w:hint="eastAsia"/>
                <w:lang w:val="en-US" w:eastAsia="zh-CN"/>
              </w:rPr>
              <w:t>）。</w:t>
            </w:r>
          </w:p>
          <w:p>
            <w:pPr>
              <w:keepNext w:val="0"/>
              <w:keepLines w:val="0"/>
              <w:pageBreakBefore w:val="0"/>
              <w:widowControl w:val="0"/>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default"/>
                <w:lang w:val="en-US" w:eastAsia="zh-CN"/>
              </w:rPr>
            </w:pPr>
            <w:r>
              <w:rPr>
                <w:b/>
              </w:rPr>
              <w:t>产污及治理措施</w:t>
            </w:r>
            <w:r>
              <w:t>：</w:t>
            </w:r>
            <w:r>
              <w:rPr>
                <w:rFonts w:hint="eastAsia" w:eastAsia="宋体"/>
                <w:lang w:val="en-US" w:eastAsia="zh-CN"/>
              </w:rPr>
              <w:t>两级反渗透</w:t>
            </w:r>
            <w:r>
              <w:rPr>
                <w:rFonts w:hint="eastAsia"/>
                <w:lang w:val="en-US" w:eastAsia="zh-CN"/>
              </w:rPr>
              <w:t>过滤会产生废反渗透膜、RO膜浓水、RO膜反冲洗废水，该废反渗透膜暂存一般固废间，定期由供应厂家进行回收。RO膜浓水、反冲洗废水直排入市政污水管网，由园区污水处理厂进行处理。</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0" w:firstLineChars="200"/>
              <w:jc w:val="left"/>
              <w:textAlignment w:val="auto"/>
              <w:rPr>
                <w:rFonts w:hint="default"/>
                <w:lang w:val="en-US" w:eastAsia="zh-CN"/>
              </w:rPr>
            </w:pPr>
            <w:r>
              <w:rPr>
                <w:rFonts w:hint="eastAsia"/>
                <w:lang w:val="en-US" w:eastAsia="zh-CN"/>
              </w:rPr>
              <w:t>（6）1</w:t>
            </w:r>
            <w:r>
              <w:t>μ</w:t>
            </w:r>
            <w:r>
              <w:rPr>
                <w:rFonts w:ascii="Times New Roman" w:hAnsi="Times New Roman" w:eastAsia="Times New Roman"/>
              </w:rPr>
              <w:t>m</w:t>
            </w:r>
            <w:r>
              <w:rPr>
                <w:rFonts w:hint="eastAsia" w:eastAsia="宋体"/>
                <w:lang w:val="en-US" w:eastAsia="zh-CN"/>
              </w:rPr>
              <w:t>+0.2</w:t>
            </w:r>
            <w:r>
              <w:t>μ</w:t>
            </w:r>
            <w:r>
              <w:rPr>
                <w:rFonts w:ascii="Times New Roman" w:hAnsi="Times New Roman" w:eastAsia="Times New Roman"/>
              </w:rPr>
              <w:t>m</w:t>
            </w:r>
            <w:r>
              <w:rPr>
                <w:rFonts w:hint="eastAsia" w:ascii="Times New Roman" w:hAnsi="Times New Roman" w:eastAsia="宋体"/>
                <w:lang w:val="en-US" w:eastAsia="zh-CN"/>
              </w:rPr>
              <w:t>过滤</w:t>
            </w:r>
            <w:r>
              <w:rPr>
                <w:rFonts w:hint="eastAsia"/>
                <w:lang w:val="en-US" w:eastAsia="zh-CN"/>
              </w:rPr>
              <w:t>：前道工序的水通过1</w:t>
            </w:r>
            <w:r>
              <w:t>μ</w:t>
            </w:r>
            <w:r>
              <w:rPr>
                <w:rFonts w:ascii="Times New Roman" w:hAnsi="Times New Roman" w:eastAsia="Times New Roman"/>
              </w:rPr>
              <w:t>m</w:t>
            </w:r>
            <w:r>
              <w:rPr>
                <w:rFonts w:hint="eastAsia" w:eastAsia="宋体"/>
                <w:lang w:val="en-US" w:eastAsia="zh-CN"/>
              </w:rPr>
              <w:t>+0.2</w:t>
            </w:r>
            <w:r>
              <w:t>μ</w:t>
            </w:r>
            <w:r>
              <w:rPr>
                <w:rFonts w:ascii="Times New Roman" w:hAnsi="Times New Roman" w:eastAsia="Times New Roman"/>
              </w:rPr>
              <w:t>m</w:t>
            </w:r>
            <w:r>
              <w:rPr>
                <w:rFonts w:hint="eastAsia" w:ascii="Times New Roman" w:hAnsi="Times New Roman" w:eastAsia="宋体"/>
                <w:lang w:val="en-US" w:eastAsia="zh-CN"/>
              </w:rPr>
              <w:t>过滤</w:t>
            </w:r>
            <w:r>
              <w:rPr>
                <w:rFonts w:hint="eastAsia"/>
                <w:lang w:val="en-US" w:eastAsia="zh-CN"/>
              </w:rPr>
              <w:t>器进行处理，该工序会产生废过滤器（S</w:t>
            </w:r>
            <w:r>
              <w:rPr>
                <w:rFonts w:hint="eastAsia"/>
                <w:vertAlign w:val="subscript"/>
                <w:lang w:val="en-US" w:eastAsia="zh-CN"/>
              </w:rPr>
              <w:t>1-6</w:t>
            </w:r>
            <w:r>
              <w:rPr>
                <w:rFonts w:hint="eastAsia"/>
                <w:lang w:val="en-US" w:eastAsia="zh-CN"/>
              </w:rPr>
              <w:t>）。</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eastAsia"/>
                <w:lang w:val="en-US" w:eastAsia="zh-CN"/>
              </w:rPr>
            </w:pPr>
            <w:r>
              <w:rPr>
                <w:b/>
              </w:rPr>
              <w:t>产污及治理措施</w:t>
            </w:r>
            <w:r>
              <w:t>：</w:t>
            </w:r>
            <w:r>
              <w:rPr>
                <w:rFonts w:hint="eastAsia"/>
                <w:lang w:val="en-US" w:eastAsia="zh-CN"/>
              </w:rPr>
              <w:t>1</w:t>
            </w:r>
            <w:r>
              <w:t>μ</w:t>
            </w:r>
            <w:r>
              <w:rPr>
                <w:rFonts w:ascii="Times New Roman" w:hAnsi="Times New Roman" w:eastAsia="Times New Roman"/>
              </w:rPr>
              <w:t>m</w:t>
            </w:r>
            <w:r>
              <w:rPr>
                <w:rFonts w:hint="eastAsia" w:eastAsia="宋体"/>
                <w:lang w:val="en-US" w:eastAsia="zh-CN"/>
              </w:rPr>
              <w:t>+0.2</w:t>
            </w:r>
            <w:r>
              <w:t>μ</w:t>
            </w:r>
            <w:r>
              <w:rPr>
                <w:rFonts w:ascii="Times New Roman" w:hAnsi="Times New Roman" w:eastAsia="Times New Roman"/>
              </w:rPr>
              <w:t>m</w:t>
            </w:r>
            <w:r>
              <w:rPr>
                <w:rFonts w:hint="eastAsia"/>
                <w:lang w:val="en-US" w:eastAsia="zh-CN"/>
              </w:rPr>
              <w:t>过滤会产生废过滤器，该废过滤器暂存一般固废间，定期由供应厂家进行回收。</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0" w:firstLineChars="200"/>
              <w:jc w:val="left"/>
              <w:textAlignment w:val="auto"/>
              <w:rPr>
                <w:rFonts w:hint="eastAsia"/>
                <w:lang w:val="en-US" w:eastAsia="zh-CN"/>
              </w:rPr>
            </w:pPr>
            <w:r>
              <w:rPr>
                <w:rFonts w:hint="eastAsia" w:ascii="Times New Roman" w:hAnsi="Times New Roman" w:eastAsia="宋体" w:cs="Times New Roman"/>
                <w:kern w:val="2"/>
                <w:sz w:val="24"/>
                <w:szCs w:val="24"/>
                <w:lang w:val="en-US" w:eastAsia="zh-CN" w:bidi="ar-SA"/>
              </w:rPr>
              <w:t>（7）</w:t>
            </w:r>
            <w:r>
              <w:rPr>
                <w:rFonts w:hint="eastAsia"/>
                <w:lang w:val="en-US" w:eastAsia="zh-CN"/>
              </w:rPr>
              <w:t>UHT高温杀菌：前道工序的水通过UHT工艺，可将温度升高至102±1℃，进行高温杀菌处理。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lang w:val="en-US" w:eastAsia="zh-CN"/>
              </w:rPr>
              <w:t>（8）臭氧消毒：</w:t>
            </w:r>
            <w:r>
              <w:t>通过臭氧发生器制造的臭氧，在密闭管道中与经反渗透得到的水充分混合，通过臭氧在水中发生氧化还原反应，彻底地杀菌消毒，且不产生二次污染。臭氧不仅能杀死各类细菌和病毒，而且能杀死细菌芽孢，并且部分在水中一段时期内还有杀菌作用，即使有个别的细菌或芽孢混入其中，也不能生长繁殖。臭氧还能氧化水中的有机物，包括硫化物和亚硝酸盐等，达到提高纯净水质量的效果。臭氧消毒后即得到软化纯净水产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t>本项目臭氧发生器由制氧机和臭氧机两部分组成，制氧机先从空气中提取氧气输送至臭氧机。在臭氧机内两个氧原子的氧气经过高压电离被拆散再重新组合成三个氧原子的臭氧，臭氧具有强氧化性但不稳定，24小时内全部会分解还原成氧气，不会在产品内残留。</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0" w:firstLineChars="200"/>
              <w:jc w:val="left"/>
              <w:textAlignment w:val="auto"/>
              <w:rPr>
                <w:rFonts w:hint="default"/>
                <w:lang w:val="en-US" w:eastAsia="zh-CN"/>
              </w:rPr>
            </w:pPr>
            <w:r>
              <w:rPr>
                <w:rFonts w:hint="eastAsia"/>
                <w:lang w:val="en-US" w:eastAsia="zh-CN"/>
              </w:rPr>
              <w:t>（9）UV灯处理：臭氧消毒后的水，通过UV灯将不合格的臭氧进行处理后回用于超滤工序。</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0" w:firstLineChars="200"/>
              <w:jc w:val="left"/>
              <w:textAlignment w:val="auto"/>
              <w:rPr>
                <w:rFonts w:hint="default"/>
                <w:lang w:val="en-US" w:eastAsia="zh-CN"/>
              </w:rPr>
            </w:pPr>
            <w:r>
              <w:rPr>
                <w:rFonts w:hint="eastAsia"/>
                <w:lang w:val="en-US" w:eastAsia="zh-CN"/>
              </w:rPr>
              <w:t>（10）</w:t>
            </w:r>
            <w:r>
              <w:rPr>
                <w:rFonts w:hint="eastAsia" w:eastAsia="宋体"/>
                <w:lang w:val="en-US" w:eastAsia="zh-CN"/>
              </w:rPr>
              <w:t>0.2</w:t>
            </w:r>
            <w:r>
              <w:t>μ</w:t>
            </w:r>
            <w:r>
              <w:rPr>
                <w:rFonts w:ascii="Times New Roman" w:hAnsi="Times New Roman" w:eastAsia="Times New Roman"/>
              </w:rPr>
              <w:t>m</w:t>
            </w:r>
            <w:r>
              <w:rPr>
                <w:rFonts w:hint="eastAsia" w:ascii="Times New Roman" w:hAnsi="Times New Roman" w:eastAsia="宋体"/>
                <w:lang w:val="en-US" w:eastAsia="zh-CN"/>
              </w:rPr>
              <w:t>过滤</w:t>
            </w:r>
            <w:r>
              <w:rPr>
                <w:rFonts w:hint="eastAsia"/>
                <w:lang w:val="en-US" w:eastAsia="zh-CN"/>
              </w:rPr>
              <w:t>：前道工序的水通过</w:t>
            </w:r>
            <w:r>
              <w:rPr>
                <w:rFonts w:hint="eastAsia" w:eastAsia="宋体"/>
                <w:lang w:val="en-US" w:eastAsia="zh-CN"/>
              </w:rPr>
              <w:t>0.2</w:t>
            </w:r>
            <w:r>
              <w:t>μ</w:t>
            </w:r>
            <w:r>
              <w:rPr>
                <w:rFonts w:ascii="Times New Roman" w:hAnsi="Times New Roman" w:eastAsia="Times New Roman"/>
              </w:rPr>
              <w:t>m</w:t>
            </w:r>
            <w:r>
              <w:rPr>
                <w:rFonts w:hint="eastAsia" w:ascii="Times New Roman" w:hAnsi="Times New Roman" w:eastAsia="宋体"/>
                <w:lang w:val="en-US" w:eastAsia="zh-CN"/>
              </w:rPr>
              <w:t>过滤</w:t>
            </w:r>
            <w:r>
              <w:rPr>
                <w:rFonts w:hint="eastAsia"/>
                <w:lang w:val="en-US" w:eastAsia="zh-CN"/>
              </w:rPr>
              <w:t>器进行处理，该工序会产生废过滤器（S</w:t>
            </w:r>
            <w:r>
              <w:rPr>
                <w:rFonts w:hint="eastAsia"/>
                <w:vertAlign w:val="subscript"/>
                <w:lang w:val="en-US" w:eastAsia="zh-CN"/>
              </w:rPr>
              <w:t>1-7</w:t>
            </w:r>
            <w:r>
              <w:rPr>
                <w:rFonts w:hint="eastAsia"/>
                <w:lang w:val="en-US" w:eastAsia="zh-CN"/>
              </w:rPr>
              <w:t>）。</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eastAsia"/>
                <w:lang w:val="en-US" w:eastAsia="zh-CN"/>
              </w:rPr>
            </w:pPr>
            <w:r>
              <w:rPr>
                <w:b/>
              </w:rPr>
              <w:t>产污及治理措施</w:t>
            </w:r>
            <w:r>
              <w:t>：</w:t>
            </w:r>
            <w:r>
              <w:rPr>
                <w:rFonts w:hint="eastAsia" w:eastAsia="宋体"/>
                <w:lang w:val="en-US" w:eastAsia="zh-CN"/>
              </w:rPr>
              <w:t>0.2</w:t>
            </w:r>
            <w:r>
              <w:t>μ</w:t>
            </w:r>
            <w:r>
              <w:rPr>
                <w:rFonts w:ascii="Times New Roman" w:hAnsi="Times New Roman" w:eastAsia="Times New Roman"/>
              </w:rPr>
              <w:t>m</w:t>
            </w:r>
            <w:r>
              <w:rPr>
                <w:rFonts w:hint="eastAsia"/>
                <w:lang w:val="en-US" w:eastAsia="zh-CN"/>
              </w:rPr>
              <w:t>过滤会产生废过滤器，该废过滤器暂存一般固废间，定期由供应厂家进行回收。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lang w:val="en-US" w:eastAsia="zh-CN"/>
              </w:rPr>
            </w:pPr>
            <w:r>
              <w:rPr>
                <w:rFonts w:hint="eastAsia"/>
                <w:lang w:val="en-US" w:eastAsia="zh-CN"/>
              </w:rPr>
              <w:t>（11）</w:t>
            </w:r>
            <w:r>
              <w:t>装瓶、封盖、液位检测、喷码、</w:t>
            </w:r>
            <w:r>
              <w:rPr>
                <w:rFonts w:hint="eastAsia"/>
                <w:lang w:val="en-US" w:eastAsia="zh-CN"/>
              </w:rPr>
              <w:t>贴</w:t>
            </w:r>
            <w:r>
              <w:t>标</w:t>
            </w:r>
            <w:r>
              <w:rPr>
                <w:rFonts w:hint="eastAsia"/>
                <w:lang w:eastAsia="zh-CN"/>
              </w:rPr>
              <w:t>、</w:t>
            </w:r>
            <w:r>
              <w:rPr>
                <w:rFonts w:hint="eastAsia"/>
                <w:lang w:val="en-US" w:eastAsia="zh-CN"/>
              </w:rPr>
              <w:t>缩膜、码垛入库：</w:t>
            </w:r>
            <w:r>
              <w:rPr>
                <w:spacing w:val="-2"/>
                <w:sz w:val="24"/>
              </w:rPr>
              <w:t>过滤处理后经</w:t>
            </w:r>
            <w:r>
              <w:rPr>
                <w:rFonts w:hint="eastAsia"/>
                <w:spacing w:val="-2"/>
                <w:sz w:val="24"/>
                <w:lang w:val="en-US" w:eastAsia="zh-CN"/>
              </w:rPr>
              <w:t>UHT高温杀菌、</w:t>
            </w:r>
            <w:r>
              <w:rPr>
                <w:spacing w:val="-2"/>
                <w:sz w:val="24"/>
              </w:rPr>
              <w:t>臭氧消毒后制得</w:t>
            </w:r>
            <w:r>
              <w:rPr>
                <w:rFonts w:hint="eastAsia"/>
                <w:spacing w:val="-2"/>
                <w:sz w:val="24"/>
                <w:lang w:val="en-US" w:eastAsia="zh-CN"/>
              </w:rPr>
              <w:t>凉白开</w:t>
            </w:r>
            <w:r>
              <w:rPr>
                <w:spacing w:val="-2"/>
                <w:sz w:val="24"/>
              </w:rPr>
              <w:t>纯净水，然后装瓶、封盖。经厂区液位检测合格后，在瓶身上喷码、</w:t>
            </w:r>
            <w:r>
              <w:rPr>
                <w:rFonts w:hint="eastAsia"/>
                <w:spacing w:val="-2"/>
                <w:sz w:val="24"/>
                <w:lang w:val="en-US" w:eastAsia="zh-CN"/>
              </w:rPr>
              <w:t>贴</w:t>
            </w:r>
            <w:r>
              <w:rPr>
                <w:spacing w:val="-2"/>
                <w:sz w:val="24"/>
              </w:rPr>
              <w:t>标、缩膜外包装后入库存放。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color w:val="000000"/>
              </w:rPr>
              <w:t>2</w:t>
            </w:r>
            <w:r>
              <w:t>.1</w:t>
            </w:r>
            <w:r>
              <w:rPr>
                <w:rFonts w:hint="eastAsia"/>
              </w:rPr>
              <w:t>.</w:t>
            </w:r>
            <w:r>
              <w:rPr>
                <w:rFonts w:hint="eastAsia"/>
                <w:lang w:val="en-US" w:eastAsia="zh-CN"/>
              </w:rPr>
              <w:t>2 软化纯净水</w:t>
            </w:r>
            <w:r>
              <w:rPr>
                <w:rFonts w:hint="eastAsia"/>
              </w:rPr>
              <w:t>生产工艺流程及产污节点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pacing w:val="-13"/>
                <w:lang w:val="en-US" w:eastAsia="zh-CN"/>
              </w:rPr>
            </w:pPr>
            <w:r>
              <w:rPr>
                <w:rFonts w:hint="eastAsia" w:ascii="宋体" w:hAnsi="宋体"/>
                <w:bCs/>
                <w:szCs w:val="21"/>
                <w:lang w:val="en-US" w:eastAsia="zh-CN"/>
              </w:rPr>
              <w:t>软化纯净水生产以自来水为主要原料，经过叠片过滤、超滤、炭滤、</w:t>
            </w:r>
            <w:r>
              <w:rPr>
                <w:rFonts w:ascii="Times New Roman" w:hAnsi="Times New Roman" w:eastAsia="Times New Roman"/>
              </w:rPr>
              <w:t>5</w:t>
            </w:r>
            <w:r>
              <w:t>μ</w:t>
            </w:r>
            <w:r>
              <w:rPr>
                <w:rFonts w:ascii="Times New Roman" w:hAnsi="Times New Roman" w:eastAsia="Times New Roman"/>
              </w:rPr>
              <w:t>m</w:t>
            </w:r>
            <w:r>
              <w:t>过滤</w:t>
            </w:r>
            <w:r>
              <w:rPr>
                <w:rFonts w:hint="eastAsia"/>
                <w:lang w:eastAsia="zh-CN"/>
              </w:rPr>
              <w:t>、</w:t>
            </w:r>
            <w:r>
              <w:rPr>
                <w:rFonts w:hint="eastAsia" w:ascii="宋体" w:hAnsi="宋体"/>
                <w:bCs/>
                <w:szCs w:val="21"/>
                <w:lang w:val="en-US" w:eastAsia="zh-CN"/>
              </w:rPr>
              <w:t>两级RO膜反渗透、</w:t>
            </w:r>
            <w:r>
              <w:rPr>
                <w:rFonts w:ascii="Times New Roman" w:hAnsi="Times New Roman" w:eastAsia="Times New Roman"/>
              </w:rPr>
              <w:t>1</w:t>
            </w:r>
            <w:r>
              <w:t>μ</w:t>
            </w:r>
            <w:r>
              <w:rPr>
                <w:rFonts w:ascii="Times New Roman" w:hAnsi="Times New Roman" w:eastAsia="Times New Roman"/>
              </w:rPr>
              <w:t>m+0.2</w:t>
            </w:r>
            <w:r>
              <w:t>μ</w:t>
            </w:r>
            <w:r>
              <w:rPr>
                <w:rFonts w:ascii="Times New Roman" w:hAnsi="Times New Roman" w:eastAsia="Times New Roman"/>
              </w:rPr>
              <w:t>m</w:t>
            </w:r>
            <w:r>
              <w:rPr>
                <w:spacing w:val="-13"/>
              </w:rPr>
              <w:t>过滤</w:t>
            </w:r>
            <w:r>
              <w:rPr>
                <w:rFonts w:hint="eastAsia"/>
                <w:spacing w:val="-13"/>
                <w:lang w:eastAsia="zh-CN"/>
              </w:rPr>
              <w:t>、</w:t>
            </w:r>
            <w:r>
              <w:rPr>
                <w:rFonts w:hint="eastAsia"/>
                <w:spacing w:val="-13"/>
                <w:lang w:val="en-US" w:eastAsia="zh-CN"/>
              </w:rPr>
              <w:t>臭氧消毒、</w:t>
            </w:r>
            <w:r>
              <w:rPr>
                <w:rFonts w:ascii="Times New Roman" w:hAnsi="Times New Roman" w:eastAsia="Times New Roman"/>
              </w:rPr>
              <w:t>0.2</w:t>
            </w:r>
            <w:r>
              <w:t>μ</w:t>
            </w:r>
            <w:r>
              <w:rPr>
                <w:rFonts w:ascii="Times New Roman" w:hAnsi="Times New Roman" w:eastAsia="Times New Roman"/>
              </w:rPr>
              <w:t>m</w:t>
            </w:r>
            <w:r>
              <w:rPr>
                <w:spacing w:val="-13"/>
              </w:rPr>
              <w:t>过滤</w:t>
            </w:r>
            <w:r>
              <w:rPr>
                <w:rFonts w:hint="eastAsia"/>
                <w:spacing w:val="-13"/>
                <w:lang w:eastAsia="zh-CN"/>
              </w:rPr>
              <w:t>、</w:t>
            </w:r>
            <w:r>
              <w:rPr>
                <w:rFonts w:hint="eastAsia"/>
                <w:spacing w:val="-13"/>
                <w:lang w:val="en-US" w:eastAsia="zh-CN"/>
              </w:rPr>
              <w:t>装瓶、封盖等工序形成瓶装软化纯净水产品。瓶装软化纯净水生产工艺流程及产污节点如下图。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spacing w:val="-13"/>
                <w:lang w:val="en-US" w:eastAsia="zh-CN"/>
              </w:rPr>
            </w:pPr>
            <w:r>
              <w:rPr>
                <w:rFonts w:hint="default"/>
                <w:spacing w:val="-13"/>
                <w:lang w:val="en-US" w:eastAsia="zh-CN"/>
              </w:rPr>
              <w:pict>
                <v:shape id="_x0000_s1058" o:spid="_x0000_s1058" o:spt="75" type="#_x0000_t75" style="position:absolute;left:0pt;margin-left:-2.05pt;margin-top:1.45pt;height:446.3pt;width:442.2pt;z-index:-251653120;mso-width-relative:page;mso-height-relative:page;" o:ole="t" filled="f" o:preferrelative="t" stroked="f" coordsize="21600,21600">
                  <v:path/>
                  <v:fill on="f" focussize="0,0"/>
                  <v:stroke on="f"/>
                  <v:imagedata r:id="rId15" o:title=""/>
                  <o:lock v:ext="edit" aspectratio="t"/>
                </v:shape>
                <o:OLEObject Type="Embed" ProgID="RFFlow4" ShapeID="_x0000_s1058" DrawAspect="Content" ObjectID="_1468075728" r:id="rId14">
                  <o:LockedField>false</o:LockedField>
                </o:OLEObject>
              </w:pict>
            </w:r>
          </w:p>
          <w:p>
            <w:pPr>
              <w:keepNext w:val="0"/>
              <w:keepLines w:val="0"/>
              <w:pageBreakBefore w:val="0"/>
              <w:widowControl w:val="0"/>
              <w:kinsoku/>
              <w:wordWrap/>
              <w:overflowPunct/>
              <w:bidi w:val="0"/>
              <w:adjustRightInd w:val="0"/>
              <w:snapToGrid w:val="0"/>
              <w:rPr>
                <w:rFonts w:hint="default" w:ascii="Times New Roman" w:hAnsi="Times New Roman" w:eastAsia="宋体" w:cs="Times New Roman"/>
                <w:kern w:val="2"/>
                <w:sz w:val="24"/>
                <w:szCs w:val="24"/>
                <w:lang w:val="en-US" w:eastAsia="zh-CN" w:bidi="ar-SA"/>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kinsoku/>
              <w:wordWrap/>
              <w:overflowPunct/>
              <w:bidi w:val="0"/>
              <w:adjustRightInd w:val="0"/>
              <w:snapToGrid w:val="0"/>
              <w:jc w:val="right"/>
              <w:rPr>
                <w:rFonts w:hint="default"/>
                <w:lang w:val="en-US" w:eastAsia="zh-CN"/>
              </w:rPr>
            </w:pPr>
          </w:p>
          <w:p>
            <w:pPr>
              <w:keepNext w:val="0"/>
              <w:keepLines w:val="0"/>
              <w:pageBreakBefore w:val="0"/>
              <w:widowControl w:val="0"/>
              <w:tabs>
                <w:tab w:val="left" w:pos="525"/>
                <w:tab w:val="left" w:pos="798"/>
              </w:tabs>
              <w:kinsoku/>
              <w:wordWrap/>
              <w:overflowPunct/>
              <w:topLinePunct w:val="0"/>
              <w:bidi w:val="0"/>
              <w:adjustRightInd w:val="0"/>
              <w:snapToGrid w:val="0"/>
              <w:spacing w:line="360" w:lineRule="auto"/>
              <w:jc w:val="center"/>
              <w:rPr>
                <w:b/>
                <w:bCs/>
                <w:color w:val="0000FF"/>
              </w:rPr>
            </w:pPr>
          </w:p>
          <w:p>
            <w:pPr>
              <w:keepNext w:val="0"/>
              <w:keepLines w:val="0"/>
              <w:pageBreakBefore w:val="0"/>
              <w:widowControl w:val="0"/>
              <w:tabs>
                <w:tab w:val="left" w:pos="525"/>
                <w:tab w:val="left" w:pos="798"/>
              </w:tabs>
              <w:kinsoku/>
              <w:wordWrap/>
              <w:overflowPunct/>
              <w:topLinePunct w:val="0"/>
              <w:bidi w:val="0"/>
              <w:adjustRightInd w:val="0"/>
              <w:snapToGrid w:val="0"/>
              <w:spacing w:line="360" w:lineRule="auto"/>
              <w:jc w:val="center"/>
              <w:rPr>
                <w:b/>
                <w:bCs/>
                <w:color w:val="auto"/>
              </w:rPr>
            </w:pPr>
          </w:p>
          <w:p>
            <w:pPr>
              <w:keepNext w:val="0"/>
              <w:keepLines w:val="0"/>
              <w:pageBreakBefore w:val="0"/>
              <w:widowControl w:val="0"/>
              <w:tabs>
                <w:tab w:val="left" w:pos="525"/>
                <w:tab w:val="left" w:pos="798"/>
              </w:tabs>
              <w:kinsoku/>
              <w:wordWrap/>
              <w:overflowPunct/>
              <w:topLinePunct w:val="0"/>
              <w:bidi w:val="0"/>
              <w:adjustRightInd w:val="0"/>
              <w:snapToGrid w:val="0"/>
              <w:spacing w:line="360" w:lineRule="auto"/>
              <w:jc w:val="center"/>
              <w:rPr>
                <w:b/>
                <w:bCs/>
                <w:color w:val="auto"/>
              </w:rPr>
            </w:pPr>
          </w:p>
          <w:p>
            <w:pPr>
              <w:keepNext w:val="0"/>
              <w:keepLines w:val="0"/>
              <w:pageBreakBefore w:val="0"/>
              <w:widowControl w:val="0"/>
              <w:tabs>
                <w:tab w:val="left" w:pos="525"/>
                <w:tab w:val="left" w:pos="798"/>
              </w:tabs>
              <w:kinsoku/>
              <w:wordWrap/>
              <w:overflowPunct/>
              <w:topLinePunct w:val="0"/>
              <w:bidi w:val="0"/>
              <w:adjustRightInd w:val="0"/>
              <w:snapToGrid w:val="0"/>
              <w:spacing w:line="360" w:lineRule="auto"/>
              <w:jc w:val="center"/>
              <w:rPr>
                <w:b/>
                <w:bCs/>
                <w:color w:val="000000"/>
              </w:rPr>
            </w:pPr>
            <w:r>
              <w:rPr>
                <w:b/>
                <w:bCs/>
                <w:color w:val="auto"/>
              </w:rPr>
              <w:t>图2-</w:t>
            </w:r>
            <w:r>
              <w:rPr>
                <w:rFonts w:hint="eastAsia"/>
                <w:b/>
                <w:bCs/>
                <w:color w:val="auto"/>
                <w:lang w:val="en-US" w:eastAsia="zh-CN"/>
              </w:rPr>
              <w:t>4</w:t>
            </w:r>
            <w:r>
              <w:rPr>
                <w:b/>
                <w:bCs/>
                <w:color w:val="auto"/>
              </w:rPr>
              <w:t xml:space="preserve">  </w:t>
            </w:r>
            <w:r>
              <w:rPr>
                <w:rFonts w:hint="eastAsia"/>
                <w:b/>
                <w:bCs/>
                <w:color w:val="auto"/>
                <w:lang w:val="en-US" w:eastAsia="zh-CN"/>
              </w:rPr>
              <w:t>软化纯</w:t>
            </w:r>
            <w:r>
              <w:rPr>
                <w:rFonts w:hint="eastAsia"/>
                <w:b/>
                <w:bCs/>
                <w:color w:val="000000"/>
                <w:lang w:val="en-US" w:eastAsia="zh-CN"/>
              </w:rPr>
              <w:t>净水</w:t>
            </w:r>
            <w:r>
              <w:rPr>
                <w:rFonts w:hint="eastAsia"/>
                <w:b/>
                <w:bCs/>
              </w:rPr>
              <w:t>生产</w:t>
            </w:r>
            <w:r>
              <w:rPr>
                <w:b/>
                <w:bCs/>
              </w:rPr>
              <w:t>工艺流程及产污环节图</w:t>
            </w:r>
          </w:p>
          <w:p>
            <w:pPr>
              <w:keepNext w:val="0"/>
              <w:keepLines w:val="0"/>
              <w:pageBreakBefore w:val="0"/>
              <w:widowControl w:val="0"/>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eastAsia"/>
                <w:b/>
                <w:bCs/>
                <w:lang w:val="en-US" w:eastAsia="zh-CN"/>
              </w:rPr>
            </w:pPr>
            <w:r>
              <w:rPr>
                <w:rFonts w:hint="eastAsia"/>
                <w:b/>
                <w:bCs/>
                <w:lang w:val="en-US" w:eastAsia="zh-CN"/>
              </w:rPr>
              <w:t>软化纯净水生产工艺简述：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lang w:val="en-US" w:eastAsia="zh-CN"/>
              </w:rPr>
            </w:pPr>
            <w:r>
              <w:rPr>
                <w:rFonts w:hint="eastAsia"/>
                <w:lang w:val="en-US" w:eastAsia="zh-CN"/>
              </w:rPr>
              <w:t>（1）叠片过滤：</w:t>
            </w:r>
            <w:r>
              <w:t>叠片过滤分为过滤阶段和反冲洗阶段。在过滤阶段，水流通过过滤进水口进入过滤器内。通过过滤叠片时，过滤叠片在弹簧力和水力的作用下被紧紧地压在一起，水中的杂质颗粒被截留在叠片交叉点。经过过滤的水从过滤器主通道中流出，此时单向膈膜阀处于开启状态。在反冲洗阶段，当达到一定的压差时，或设定的时间内系统自动进入反冲洗状态。控制器控制阀门改变水流方向，过滤器底部单向隔膜关闭主通道，反冲洗进入四组喷嘴通道，和喷嘴通道连接的活塞腔内的水压上升。活塞向上运动克服弹簧对叠片的压力，并在叠片组顶部释放活塞空间。同时反冲洗水从四组喷嘴通道上面的喷嘴沿叠片切线的方向高速喷射，使叠片旋转并均匀分开。喷洗水喷洗叠片表面，将截留在叠片上的杂质喷洗甩出。当反冲洗结束时，水流方向再次改变，叠片再次被压紧，系统重新进入过滤状态。该工序会产生</w:t>
            </w:r>
            <w:r>
              <w:rPr>
                <w:rFonts w:hint="eastAsia"/>
                <w:lang w:val="en-US" w:eastAsia="zh-CN"/>
              </w:rPr>
              <w:t>废过滤器（S</w:t>
            </w:r>
            <w:r>
              <w:rPr>
                <w:rFonts w:hint="eastAsia"/>
                <w:vertAlign w:val="subscript"/>
                <w:lang w:val="en-US" w:eastAsia="zh-CN"/>
              </w:rPr>
              <w:t>2-1</w:t>
            </w:r>
            <w:r>
              <w:rPr>
                <w:rFonts w:hint="eastAsia"/>
                <w:lang w:val="en-US" w:eastAsia="zh-CN"/>
              </w:rPr>
              <w:t>）、叠片过滤反冲洗废水（W</w:t>
            </w:r>
            <w:r>
              <w:rPr>
                <w:rFonts w:hint="eastAsia"/>
                <w:vertAlign w:val="subscript"/>
                <w:lang w:val="en-US" w:eastAsia="zh-CN"/>
              </w:rPr>
              <w:t>2-1</w:t>
            </w:r>
            <w:r>
              <w:rPr>
                <w:rFonts w:hint="eastAsia"/>
                <w:lang w:val="en-US" w:eastAsia="zh-CN"/>
              </w:rPr>
              <w:t>）。</w:t>
            </w:r>
          </w:p>
          <w:p>
            <w:pPr>
              <w:keepNext w:val="0"/>
              <w:keepLines w:val="0"/>
              <w:pageBreakBefore w:val="0"/>
              <w:widowControl w:val="0"/>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default"/>
                <w:lang w:val="en-US" w:eastAsia="zh-CN"/>
              </w:rPr>
            </w:pPr>
            <w:r>
              <w:rPr>
                <w:b/>
              </w:rPr>
              <w:t>产污及治理措施</w:t>
            </w:r>
            <w:r>
              <w:t>：</w:t>
            </w:r>
            <w:r>
              <w:rPr>
                <w:rFonts w:hint="eastAsia"/>
                <w:lang w:val="en-US" w:eastAsia="zh-CN"/>
              </w:rPr>
              <w:t>自来水叠片过滤会产生废过滤器，该废过滤器暂存一般固废间，定期由供应厂家进行回收。叠片过滤反冲洗废水直排入市政污水管网，由园区污水处理厂进行处理。</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0" w:firstLineChars="200"/>
              <w:jc w:val="left"/>
              <w:textAlignment w:val="auto"/>
              <w:rPr>
                <w:rFonts w:hint="eastAsia"/>
                <w:lang w:val="en-US" w:eastAsia="zh-CN"/>
              </w:rPr>
            </w:pP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w:t>
            </w:r>
            <w:r>
              <w:rPr>
                <w:rFonts w:hint="eastAsia"/>
                <w:lang w:val="en-US" w:eastAsia="zh-CN"/>
              </w:rPr>
              <w:t>超滤：</w:t>
            </w:r>
            <w:r>
              <w:rPr>
                <w:spacing w:val="-2"/>
              </w:rPr>
              <w:t>超滤是以大分子与小分子分离为目的，是一种加压膜分离技术。即在一定的压力下，使小分子溶质和溶剂穿过一定孔径的特制的薄膜，而使大分子溶质不能透过，留在膜的一边，从而使大分子物质得到了部分的纯化。</w:t>
            </w:r>
            <w:r>
              <w:rPr>
                <w:rFonts w:hint="eastAsia"/>
                <w:spacing w:val="-2"/>
                <w:lang w:val="en-US" w:eastAsia="zh-CN"/>
              </w:rPr>
              <w:t>该工序需定时进行反冲洗，工序会产生废过滤器</w:t>
            </w:r>
            <w:r>
              <w:rPr>
                <w:rFonts w:hint="eastAsia"/>
                <w:lang w:val="en-US" w:eastAsia="zh-CN"/>
              </w:rPr>
              <w:t>（S</w:t>
            </w:r>
            <w:r>
              <w:rPr>
                <w:rFonts w:hint="eastAsia"/>
                <w:vertAlign w:val="subscript"/>
                <w:lang w:val="en-US" w:eastAsia="zh-CN"/>
              </w:rPr>
              <w:t>2-2</w:t>
            </w:r>
            <w:r>
              <w:rPr>
                <w:rFonts w:hint="eastAsia"/>
                <w:lang w:val="en-US" w:eastAsia="zh-CN"/>
              </w:rPr>
              <w:t>）、超滤反冲洗废水（W</w:t>
            </w:r>
            <w:r>
              <w:rPr>
                <w:rFonts w:hint="eastAsia"/>
                <w:vertAlign w:val="subscript"/>
                <w:lang w:val="en-US" w:eastAsia="zh-CN"/>
              </w:rPr>
              <w:t>2-2</w:t>
            </w:r>
            <w:r>
              <w:rPr>
                <w:rFonts w:hint="eastAsia"/>
                <w:lang w:val="en-US" w:eastAsia="zh-CN"/>
              </w:rPr>
              <w:t>）、超滤浓水（W</w:t>
            </w:r>
            <w:r>
              <w:rPr>
                <w:rFonts w:hint="eastAsia"/>
                <w:vertAlign w:val="subscript"/>
                <w:lang w:val="en-US" w:eastAsia="zh-CN"/>
              </w:rPr>
              <w:t>2-3</w:t>
            </w:r>
            <w:r>
              <w:rPr>
                <w:rFonts w:hint="eastAsia"/>
                <w:lang w:val="en-US" w:eastAsia="zh-CN"/>
              </w:rPr>
              <w:t>）。</w:t>
            </w:r>
          </w:p>
          <w:p>
            <w:pPr>
              <w:keepNext w:val="0"/>
              <w:keepLines w:val="0"/>
              <w:pageBreakBefore w:val="0"/>
              <w:widowControl w:val="0"/>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default"/>
                <w:lang w:val="en-US" w:eastAsia="zh-CN"/>
              </w:rPr>
            </w:pPr>
            <w:r>
              <w:rPr>
                <w:b/>
              </w:rPr>
              <w:t>产污及治理措施</w:t>
            </w:r>
            <w:r>
              <w:t>：</w:t>
            </w:r>
            <w:r>
              <w:rPr>
                <w:rFonts w:hint="eastAsia"/>
                <w:lang w:val="en-US" w:eastAsia="zh-CN"/>
              </w:rPr>
              <w:t>超滤会产生废过滤器、超滤反冲洗废水、超滤浓水，该废过滤器暂存一般固废间，定期由供应厂家进行回收。超滤反冲洗废水、超滤浓水直排入市政污水管网，由园区污水处理厂进行处理。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3）活性炭过滤：活性炭具有大量的微孔和巨大的比表面积，具有极强的物理吸附能力，能够有效吸附水中杂质，尤其是有机物、微生物和一部分金属离子，过滤后的水可满足后序水处理单元的入水要求。活性炭过滤后需用蒸汽对其处理再生，以便循环使用，再生不了的进行更换。</w:t>
            </w:r>
            <w:r>
              <w:rPr>
                <w:rFonts w:hint="eastAsia"/>
                <w:spacing w:val="-2"/>
                <w:lang w:val="en-US" w:eastAsia="zh-CN"/>
              </w:rPr>
              <w:t>该工序会产生废</w:t>
            </w:r>
            <w:r>
              <w:rPr>
                <w:rFonts w:hint="eastAsia"/>
                <w:lang w:val="en-US" w:eastAsia="zh-CN"/>
              </w:rPr>
              <w:t>活性炭（S</w:t>
            </w:r>
            <w:r>
              <w:rPr>
                <w:rFonts w:hint="eastAsia"/>
                <w:vertAlign w:val="subscript"/>
                <w:lang w:val="en-US" w:eastAsia="zh-CN"/>
              </w:rPr>
              <w:t>2-3</w:t>
            </w:r>
            <w:r>
              <w:rPr>
                <w:rFonts w:hint="eastAsia"/>
                <w:lang w:val="en-US" w:eastAsia="zh-CN"/>
              </w:rPr>
              <w:t>）。</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eastAsia"/>
                <w:lang w:val="en-US" w:eastAsia="zh-CN"/>
              </w:rPr>
            </w:pPr>
            <w:r>
              <w:rPr>
                <w:b/>
              </w:rPr>
              <w:t>产污及治理措施</w:t>
            </w:r>
            <w:r>
              <w:t>：</w:t>
            </w:r>
            <w:r>
              <w:rPr>
                <w:rFonts w:hint="eastAsia"/>
                <w:lang w:val="en-US" w:eastAsia="zh-CN"/>
              </w:rPr>
              <w:t>活性炭过滤会产生废活性炭，该废活性炭暂存一般固废间，定期由供应厂家进行回收。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r>
              <w:rPr>
                <w:rFonts w:hint="eastAsia"/>
                <w:lang w:val="en-US" w:eastAsia="zh-CN"/>
              </w:rPr>
              <w:t>（4）5</w:t>
            </w:r>
            <w:r>
              <w:t>μ</w:t>
            </w:r>
            <w:r>
              <w:rPr>
                <w:rFonts w:ascii="Times New Roman" w:hAnsi="Times New Roman" w:eastAsia="Times New Roman"/>
              </w:rPr>
              <w:t>m</w:t>
            </w:r>
            <w:r>
              <w:rPr>
                <w:rFonts w:hint="eastAsia" w:ascii="Times New Roman" w:hAnsi="Times New Roman" w:eastAsia="宋体"/>
                <w:lang w:val="en-US" w:eastAsia="zh-CN"/>
              </w:rPr>
              <w:t>过滤：炭滤后的水需经过</w:t>
            </w:r>
            <w:r>
              <w:rPr>
                <w:rFonts w:hint="eastAsia"/>
                <w:lang w:val="en-US" w:eastAsia="zh-CN"/>
              </w:rPr>
              <w:t>5</w:t>
            </w:r>
            <w:r>
              <w:t>μ</w:t>
            </w:r>
            <w:r>
              <w:rPr>
                <w:rFonts w:ascii="Times New Roman" w:hAnsi="Times New Roman" w:eastAsia="Times New Roman"/>
              </w:rPr>
              <w:t>m</w:t>
            </w:r>
            <w:r>
              <w:rPr>
                <w:rFonts w:hint="eastAsia" w:ascii="Times New Roman" w:hAnsi="Times New Roman" w:eastAsia="宋体"/>
                <w:lang w:val="en-US" w:eastAsia="zh-CN"/>
              </w:rPr>
              <w:t>过滤</w:t>
            </w:r>
            <w:r>
              <w:rPr>
                <w:rFonts w:hint="eastAsia"/>
                <w:lang w:val="en-US" w:eastAsia="zh-CN"/>
              </w:rPr>
              <w:t>器进行过滤，以便满足后序水处理单元的入水要求。</w:t>
            </w:r>
            <w:r>
              <w:rPr>
                <w:rFonts w:hint="eastAsia"/>
                <w:spacing w:val="-2"/>
                <w:lang w:val="en-US" w:eastAsia="zh-CN"/>
              </w:rPr>
              <w:t>该工序会产生废过滤器</w:t>
            </w:r>
            <w:r>
              <w:rPr>
                <w:rFonts w:hint="eastAsia"/>
                <w:lang w:val="en-US" w:eastAsia="zh-CN"/>
              </w:rPr>
              <w:t>（S</w:t>
            </w:r>
            <w:r>
              <w:rPr>
                <w:rFonts w:hint="eastAsia"/>
                <w:vertAlign w:val="subscript"/>
                <w:lang w:val="en-US" w:eastAsia="zh-CN"/>
              </w:rPr>
              <w:t>2-4</w:t>
            </w:r>
            <w:r>
              <w:rPr>
                <w:rFonts w:hint="eastAsia"/>
                <w:lang w:val="en-US" w:eastAsia="zh-CN"/>
              </w:rPr>
              <w:t>）。</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eastAsia"/>
                <w:lang w:val="en-US" w:eastAsia="zh-CN"/>
              </w:rPr>
            </w:pPr>
            <w:r>
              <w:rPr>
                <w:b/>
              </w:rPr>
              <w:t>产污及治理措施</w:t>
            </w:r>
            <w:r>
              <w:t>：</w:t>
            </w:r>
            <w:r>
              <w:rPr>
                <w:rFonts w:hint="eastAsia"/>
                <w:lang w:val="en-US" w:eastAsia="zh-CN"/>
              </w:rPr>
              <w:t>5</w:t>
            </w:r>
            <w:r>
              <w:t>μ</w:t>
            </w:r>
            <w:r>
              <w:rPr>
                <w:rFonts w:ascii="Times New Roman" w:hAnsi="Times New Roman" w:eastAsia="Times New Roman"/>
              </w:rPr>
              <w:t>m</w:t>
            </w:r>
            <w:r>
              <w:rPr>
                <w:rFonts w:hint="eastAsia"/>
                <w:lang w:val="en-US" w:eastAsia="zh-CN"/>
              </w:rPr>
              <w:t>过滤会产生废过滤器，该废过滤器暂存一般固废间，定期由供应厂家进行回收。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lang w:val="en-US" w:eastAsia="zh-CN"/>
              </w:rPr>
            </w:pPr>
            <w:r>
              <w:rPr>
                <w:rFonts w:hint="eastAsia" w:eastAsia="宋体"/>
                <w:lang w:val="en-US" w:eastAsia="zh-CN"/>
              </w:rPr>
              <w:t>（5）两级反渗透过滤：</w:t>
            </w:r>
            <w:r>
              <w:rPr>
                <w:spacing w:val="-2"/>
              </w:rPr>
              <w:t>反渗透是用足够的压力使水通过反渗透膜而分离出来，方向与渗</w:t>
            </w:r>
            <w:r>
              <w:rPr>
                <w:spacing w:val="-1"/>
              </w:rPr>
              <w:t>透方向相反，可有效去除水中的溶解盐、胶体、细菌、病毒和大部分有机物等杂质。</w:t>
            </w:r>
            <w:r>
              <w:rPr>
                <w:rFonts w:hint="eastAsia"/>
                <w:spacing w:val="-1"/>
                <w:lang w:val="en-US" w:eastAsia="zh-CN"/>
              </w:rPr>
              <w:t>反渗透过滤时添加少量氢氧化钠和阻垢剂，作用分别是调节电导率和阻垢。该</w:t>
            </w:r>
            <w:r>
              <w:rPr>
                <w:rFonts w:hint="eastAsia"/>
                <w:spacing w:val="-2"/>
                <w:lang w:val="en-US" w:eastAsia="zh-CN"/>
              </w:rPr>
              <w:t>工序需定时进行反冲洗，反冲洗时添加柠檬酸，防止</w:t>
            </w:r>
            <w:r>
              <w:rPr>
                <w:rFonts w:hint="eastAsia"/>
                <w:lang w:val="en-US" w:eastAsia="zh-CN"/>
              </w:rPr>
              <w:t>RO膜结垢，</w:t>
            </w:r>
            <w:r>
              <w:t>该工序会产生</w:t>
            </w:r>
            <w:r>
              <w:rPr>
                <w:rFonts w:hint="eastAsia"/>
                <w:lang w:val="en-US" w:eastAsia="zh-CN"/>
              </w:rPr>
              <w:t>废反渗透膜（S</w:t>
            </w:r>
            <w:r>
              <w:rPr>
                <w:rFonts w:hint="eastAsia"/>
                <w:vertAlign w:val="subscript"/>
                <w:lang w:val="en-US" w:eastAsia="zh-CN"/>
              </w:rPr>
              <w:t>2-5</w:t>
            </w:r>
            <w:r>
              <w:rPr>
                <w:rFonts w:hint="eastAsia"/>
                <w:lang w:val="en-US" w:eastAsia="zh-CN"/>
              </w:rPr>
              <w:t>）、RO膜浓水（W</w:t>
            </w:r>
            <w:r>
              <w:rPr>
                <w:rFonts w:hint="eastAsia"/>
                <w:vertAlign w:val="subscript"/>
                <w:lang w:val="en-US" w:eastAsia="zh-CN"/>
              </w:rPr>
              <w:t>2-4</w:t>
            </w:r>
            <w:r>
              <w:rPr>
                <w:rFonts w:hint="eastAsia"/>
                <w:lang w:val="en-US" w:eastAsia="zh-CN"/>
              </w:rPr>
              <w:t>）、RO膜反冲洗废水（W</w:t>
            </w:r>
            <w:r>
              <w:rPr>
                <w:rFonts w:hint="eastAsia"/>
                <w:vertAlign w:val="subscript"/>
                <w:lang w:val="en-US" w:eastAsia="zh-CN"/>
              </w:rPr>
              <w:t>2-5</w:t>
            </w:r>
            <w:r>
              <w:rPr>
                <w:rFonts w:hint="eastAsia"/>
                <w:lang w:val="en-US" w:eastAsia="zh-CN"/>
              </w:rPr>
              <w:t>）。</w:t>
            </w:r>
          </w:p>
          <w:p>
            <w:pPr>
              <w:keepNext w:val="0"/>
              <w:keepLines w:val="0"/>
              <w:pageBreakBefore w:val="0"/>
              <w:widowControl w:val="0"/>
              <w:tabs>
                <w:tab w:val="left" w:pos="372"/>
              </w:tabs>
              <w:kinsoku/>
              <w:wordWrap/>
              <w:overflowPunct/>
              <w:topLinePunct w:val="0"/>
              <w:autoSpaceDE/>
              <w:autoSpaceDN/>
              <w:bidi w:val="0"/>
              <w:adjustRightInd w:val="0"/>
              <w:snapToGrid w:val="0"/>
              <w:spacing w:line="360" w:lineRule="auto"/>
              <w:ind w:firstLine="482" w:firstLineChars="200"/>
              <w:jc w:val="both"/>
              <w:textAlignment w:val="auto"/>
              <w:rPr>
                <w:rFonts w:hint="default"/>
                <w:lang w:val="en-US" w:eastAsia="zh-CN"/>
              </w:rPr>
            </w:pPr>
            <w:r>
              <w:rPr>
                <w:b/>
              </w:rPr>
              <w:t>产污及治理措施</w:t>
            </w:r>
            <w:r>
              <w:t>：</w:t>
            </w:r>
            <w:r>
              <w:rPr>
                <w:rFonts w:hint="eastAsia" w:eastAsia="宋体"/>
                <w:lang w:val="en-US" w:eastAsia="zh-CN"/>
              </w:rPr>
              <w:t>两级反渗透</w:t>
            </w:r>
            <w:r>
              <w:rPr>
                <w:rFonts w:hint="eastAsia"/>
                <w:lang w:val="en-US" w:eastAsia="zh-CN"/>
              </w:rPr>
              <w:t>过滤会产生废反渗透膜、RO膜浓水，该废反渗透膜暂存一般固废间，定期由供应厂家进行回收。RO膜浓水、反冲洗废水直排入市政污水管网，由园区污水处理厂进行处理。</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0" w:firstLineChars="200"/>
              <w:jc w:val="both"/>
              <w:textAlignment w:val="auto"/>
              <w:rPr>
                <w:rFonts w:hint="default"/>
                <w:lang w:val="en-US" w:eastAsia="zh-CN"/>
              </w:rPr>
            </w:pPr>
            <w:r>
              <w:rPr>
                <w:rFonts w:hint="eastAsia"/>
                <w:lang w:val="en-US" w:eastAsia="zh-CN"/>
              </w:rPr>
              <w:t>（6）1</w:t>
            </w:r>
            <w:r>
              <w:t>μ</w:t>
            </w:r>
            <w:r>
              <w:rPr>
                <w:rFonts w:ascii="Times New Roman" w:hAnsi="Times New Roman" w:eastAsia="Times New Roman"/>
              </w:rPr>
              <w:t>m</w:t>
            </w:r>
            <w:r>
              <w:rPr>
                <w:rFonts w:hint="eastAsia" w:eastAsia="宋体"/>
                <w:lang w:val="en-US" w:eastAsia="zh-CN"/>
              </w:rPr>
              <w:t>+0.2</w:t>
            </w:r>
            <w:r>
              <w:t>μ</w:t>
            </w:r>
            <w:r>
              <w:rPr>
                <w:rFonts w:ascii="Times New Roman" w:hAnsi="Times New Roman" w:eastAsia="Times New Roman"/>
              </w:rPr>
              <w:t>m</w:t>
            </w:r>
            <w:r>
              <w:rPr>
                <w:rFonts w:hint="eastAsia" w:ascii="Times New Roman" w:hAnsi="Times New Roman" w:eastAsia="宋体"/>
                <w:lang w:val="en-US" w:eastAsia="zh-CN"/>
              </w:rPr>
              <w:t>过滤</w:t>
            </w:r>
            <w:r>
              <w:rPr>
                <w:rFonts w:hint="eastAsia"/>
                <w:lang w:val="en-US" w:eastAsia="zh-CN"/>
              </w:rPr>
              <w:t>：前道工序的水通过1</w:t>
            </w:r>
            <w:r>
              <w:t>μ</w:t>
            </w:r>
            <w:r>
              <w:rPr>
                <w:rFonts w:ascii="Times New Roman" w:hAnsi="Times New Roman" w:eastAsia="Times New Roman"/>
              </w:rPr>
              <w:t>m</w:t>
            </w:r>
            <w:r>
              <w:rPr>
                <w:rFonts w:hint="eastAsia" w:eastAsia="宋体"/>
                <w:lang w:val="en-US" w:eastAsia="zh-CN"/>
              </w:rPr>
              <w:t>+0.2</w:t>
            </w:r>
            <w:r>
              <w:t>μ</w:t>
            </w:r>
            <w:r>
              <w:rPr>
                <w:rFonts w:ascii="Times New Roman" w:hAnsi="Times New Roman" w:eastAsia="Times New Roman"/>
              </w:rPr>
              <w:t>m</w:t>
            </w:r>
            <w:r>
              <w:rPr>
                <w:rFonts w:hint="eastAsia" w:ascii="Times New Roman" w:hAnsi="Times New Roman" w:eastAsia="宋体"/>
                <w:lang w:val="en-US" w:eastAsia="zh-CN"/>
              </w:rPr>
              <w:t>过滤</w:t>
            </w:r>
            <w:r>
              <w:rPr>
                <w:rFonts w:hint="eastAsia"/>
                <w:lang w:val="en-US" w:eastAsia="zh-CN"/>
              </w:rPr>
              <w:t>器进行处理，该工序会产生废过滤器（S</w:t>
            </w:r>
            <w:r>
              <w:rPr>
                <w:rFonts w:hint="eastAsia"/>
                <w:vertAlign w:val="subscript"/>
                <w:lang w:val="en-US" w:eastAsia="zh-CN"/>
              </w:rPr>
              <w:t>2-6</w:t>
            </w:r>
            <w:r>
              <w:rPr>
                <w:rFonts w:hint="eastAsia"/>
                <w:lang w:val="en-US" w:eastAsia="zh-CN"/>
              </w:rPr>
              <w:t>）。</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eastAsia"/>
                <w:lang w:val="en-US" w:eastAsia="zh-CN"/>
              </w:rPr>
            </w:pPr>
            <w:r>
              <w:rPr>
                <w:b/>
              </w:rPr>
              <w:t>产污及治理措施</w:t>
            </w:r>
            <w:r>
              <w:t>：</w:t>
            </w:r>
            <w:r>
              <w:rPr>
                <w:rFonts w:hint="eastAsia"/>
                <w:lang w:val="en-US" w:eastAsia="zh-CN"/>
              </w:rPr>
              <w:t>1</w:t>
            </w:r>
            <w:r>
              <w:t>μ</w:t>
            </w:r>
            <w:r>
              <w:rPr>
                <w:rFonts w:ascii="Times New Roman" w:hAnsi="Times New Roman" w:eastAsia="Times New Roman"/>
              </w:rPr>
              <w:t>m</w:t>
            </w:r>
            <w:r>
              <w:rPr>
                <w:rFonts w:hint="eastAsia" w:eastAsia="宋体"/>
                <w:lang w:val="en-US" w:eastAsia="zh-CN"/>
              </w:rPr>
              <w:t>+0.2</w:t>
            </w:r>
            <w:r>
              <w:t>μ</w:t>
            </w:r>
            <w:r>
              <w:rPr>
                <w:rFonts w:ascii="Times New Roman" w:hAnsi="Times New Roman" w:eastAsia="Times New Roman"/>
              </w:rPr>
              <w:t>m</w:t>
            </w:r>
            <w:r>
              <w:rPr>
                <w:rFonts w:hint="eastAsia"/>
                <w:lang w:val="en-US" w:eastAsia="zh-CN"/>
              </w:rPr>
              <w:t>过滤会产生废过滤器，该废过滤器暂存一般固废间，定期由供应厂家进行回收。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lang w:val="en-US" w:eastAsia="zh-CN"/>
              </w:rPr>
              <w:t>（7）臭氧消毒：</w:t>
            </w:r>
            <w:r>
              <w:t>通过臭氧发生器制造的臭氧，在密闭管道中与经反渗透得到的水充分混合，通过臭氧在水中发生氧化还原反应，彻底地杀菌消毒，且不产生二次污染。臭氧不仅能杀死各类细菌和病毒，而且能杀死细菌芽孢，并且部分在水中一段时期内还有杀菌作用，即使有个别的细菌或芽孢混入其中，也不能生长繁殖。臭氧还能氧化水中的有机物，包括硫化物和亚硝酸盐等，达到提高纯净水质量的效果。臭氧消毒后即得到软化纯净水产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t>本项目臭氧发生器由制氧机和臭氧机两部分组成，制氧机先从空气中提取氧气输送至臭氧机。在臭氧机内两个氧原子的氧气经过高压电离被拆散再重新组合成三个氧原子的臭氧，臭氧具有强氧化性但不稳定，24小时内全部会分解还原成氧气，不会在产品内残留。</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0" w:firstLineChars="200"/>
              <w:jc w:val="left"/>
              <w:textAlignment w:val="auto"/>
              <w:rPr>
                <w:rFonts w:hint="default"/>
                <w:lang w:val="en-US" w:eastAsia="zh-CN"/>
              </w:rPr>
            </w:pPr>
            <w:r>
              <w:rPr>
                <w:rFonts w:hint="eastAsia"/>
                <w:lang w:val="en-US" w:eastAsia="zh-CN"/>
              </w:rPr>
              <w:t>（8）</w:t>
            </w:r>
            <w:r>
              <w:rPr>
                <w:rFonts w:hint="eastAsia" w:eastAsia="宋体"/>
                <w:lang w:val="en-US" w:eastAsia="zh-CN"/>
              </w:rPr>
              <w:t>0.2</w:t>
            </w:r>
            <w:r>
              <w:t>μ</w:t>
            </w:r>
            <w:r>
              <w:rPr>
                <w:rFonts w:ascii="Times New Roman" w:hAnsi="Times New Roman" w:eastAsia="Times New Roman"/>
              </w:rPr>
              <w:t>m</w:t>
            </w:r>
            <w:r>
              <w:rPr>
                <w:rFonts w:hint="eastAsia" w:ascii="Times New Roman" w:hAnsi="Times New Roman" w:eastAsia="宋体"/>
                <w:lang w:val="en-US" w:eastAsia="zh-CN"/>
              </w:rPr>
              <w:t>过滤</w:t>
            </w:r>
            <w:r>
              <w:rPr>
                <w:rFonts w:hint="eastAsia"/>
                <w:lang w:val="en-US" w:eastAsia="zh-CN"/>
              </w:rPr>
              <w:t>：前道工序的水通过</w:t>
            </w:r>
            <w:r>
              <w:rPr>
                <w:rFonts w:hint="eastAsia" w:eastAsia="宋体"/>
                <w:lang w:val="en-US" w:eastAsia="zh-CN"/>
              </w:rPr>
              <w:t>0.2</w:t>
            </w:r>
            <w:r>
              <w:t>μ</w:t>
            </w:r>
            <w:r>
              <w:rPr>
                <w:rFonts w:ascii="Times New Roman" w:hAnsi="Times New Roman" w:eastAsia="Times New Roman"/>
              </w:rPr>
              <w:t>m</w:t>
            </w:r>
            <w:r>
              <w:rPr>
                <w:rFonts w:hint="eastAsia" w:ascii="Times New Roman" w:hAnsi="Times New Roman" w:eastAsia="宋体"/>
                <w:lang w:val="en-US" w:eastAsia="zh-CN"/>
              </w:rPr>
              <w:t>过滤</w:t>
            </w:r>
            <w:r>
              <w:rPr>
                <w:rFonts w:hint="eastAsia"/>
                <w:lang w:val="en-US" w:eastAsia="zh-CN"/>
              </w:rPr>
              <w:t>器进行处理，该工序会产生废过滤器（S</w:t>
            </w:r>
            <w:r>
              <w:rPr>
                <w:rFonts w:hint="eastAsia"/>
                <w:vertAlign w:val="subscript"/>
                <w:lang w:val="en-US" w:eastAsia="zh-CN"/>
              </w:rPr>
              <w:t>2-7</w:t>
            </w:r>
            <w:r>
              <w:rPr>
                <w:rFonts w:hint="eastAsia"/>
                <w:lang w:val="en-US" w:eastAsia="zh-CN"/>
              </w:rPr>
              <w:t>）。</w:t>
            </w:r>
          </w:p>
          <w:p>
            <w:pPr>
              <w:keepNext w:val="0"/>
              <w:keepLines w:val="0"/>
              <w:pageBreakBefore w:val="0"/>
              <w:widowControl w:val="0"/>
              <w:numPr>
                <w:ilvl w:val="0"/>
                <w:numId w:val="0"/>
              </w:numPr>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eastAsia"/>
                <w:lang w:val="en-US" w:eastAsia="zh-CN"/>
              </w:rPr>
            </w:pPr>
            <w:r>
              <w:rPr>
                <w:b/>
              </w:rPr>
              <w:t>产污及治理措施</w:t>
            </w:r>
            <w:r>
              <w:t>：</w:t>
            </w:r>
            <w:r>
              <w:rPr>
                <w:rFonts w:hint="eastAsia" w:eastAsia="宋体"/>
                <w:lang w:val="en-US" w:eastAsia="zh-CN"/>
              </w:rPr>
              <w:t>0.2</w:t>
            </w:r>
            <w:r>
              <w:t>μ</w:t>
            </w:r>
            <w:r>
              <w:rPr>
                <w:rFonts w:ascii="Times New Roman" w:hAnsi="Times New Roman" w:eastAsia="Times New Roman"/>
              </w:rPr>
              <w:t>m</w:t>
            </w:r>
            <w:r>
              <w:rPr>
                <w:rFonts w:hint="eastAsia"/>
                <w:lang w:val="en-US" w:eastAsia="zh-CN"/>
              </w:rPr>
              <w:t>过滤会产生废过滤器，该废过滤器暂存一般固废间，定期由供应厂家进行回收。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lang w:val="en-US" w:eastAsia="zh-CN"/>
              </w:rPr>
            </w:pPr>
            <w:r>
              <w:rPr>
                <w:rFonts w:hint="eastAsia"/>
                <w:lang w:val="en-US" w:eastAsia="zh-CN"/>
              </w:rPr>
              <w:t>（9）</w:t>
            </w:r>
            <w:r>
              <w:t>装瓶、封盖、液位检测、喷码、</w:t>
            </w:r>
            <w:r>
              <w:rPr>
                <w:rFonts w:hint="eastAsia"/>
                <w:lang w:val="en-US" w:eastAsia="zh-CN"/>
              </w:rPr>
              <w:t>贴</w:t>
            </w:r>
            <w:r>
              <w:t>标</w:t>
            </w:r>
            <w:r>
              <w:rPr>
                <w:rFonts w:hint="eastAsia"/>
                <w:lang w:eastAsia="zh-CN"/>
              </w:rPr>
              <w:t>、</w:t>
            </w:r>
            <w:r>
              <w:rPr>
                <w:rFonts w:hint="eastAsia"/>
                <w:lang w:val="en-US" w:eastAsia="zh-CN"/>
              </w:rPr>
              <w:t>缩膜、码垛入库：</w:t>
            </w:r>
            <w:r>
              <w:rPr>
                <w:spacing w:val="-2"/>
                <w:sz w:val="24"/>
              </w:rPr>
              <w:t>过滤处理后经</w:t>
            </w:r>
            <w:r>
              <w:rPr>
                <w:rFonts w:hint="eastAsia"/>
                <w:spacing w:val="-2"/>
                <w:sz w:val="24"/>
                <w:lang w:val="en-US" w:eastAsia="zh-CN"/>
              </w:rPr>
              <w:t>UHT高温杀菌、</w:t>
            </w:r>
            <w:r>
              <w:rPr>
                <w:spacing w:val="-2"/>
                <w:sz w:val="24"/>
              </w:rPr>
              <w:t>臭氧消毒后制得</w:t>
            </w:r>
            <w:r>
              <w:rPr>
                <w:rFonts w:hint="eastAsia"/>
                <w:spacing w:val="-2"/>
                <w:sz w:val="24"/>
                <w:lang w:val="en-US" w:eastAsia="zh-CN"/>
              </w:rPr>
              <w:t>凉白开</w:t>
            </w:r>
            <w:r>
              <w:rPr>
                <w:spacing w:val="-2"/>
                <w:sz w:val="24"/>
              </w:rPr>
              <w:t>纯净水，然后装瓶、封盖。经厂区液位检测合格后，在瓶身上喷码、</w:t>
            </w:r>
            <w:r>
              <w:rPr>
                <w:rFonts w:hint="eastAsia"/>
                <w:spacing w:val="-2"/>
                <w:sz w:val="24"/>
                <w:lang w:val="en-US" w:eastAsia="zh-CN"/>
              </w:rPr>
              <w:t>贴</w:t>
            </w:r>
            <w:r>
              <w:rPr>
                <w:spacing w:val="-2"/>
                <w:sz w:val="24"/>
              </w:rPr>
              <w:t>标、缩膜外包装后入库存放。</w:t>
            </w:r>
          </w:p>
          <w:p>
            <w:pPr>
              <w:keepNext w:val="0"/>
              <w:keepLines w:val="0"/>
              <w:pageBreakBefore w:val="0"/>
              <w:widowControl w:val="0"/>
              <w:tabs>
                <w:tab w:val="left" w:pos="2172"/>
              </w:tabs>
              <w:kinsoku/>
              <w:wordWrap/>
              <w:overflowPunct/>
              <w:topLinePunct w:val="0"/>
              <w:autoSpaceDE/>
              <w:autoSpaceDN/>
              <w:bidi w:val="0"/>
              <w:adjustRightInd w:val="0"/>
              <w:snapToGrid w:val="0"/>
              <w:spacing w:line="360" w:lineRule="auto"/>
              <w:ind w:firstLine="480" w:firstLineChars="200"/>
              <w:jc w:val="left"/>
              <w:textAlignment w:val="auto"/>
              <w:rPr>
                <w:rFonts w:hint="default"/>
                <w:lang w:val="en-US" w:eastAsia="zh-CN"/>
              </w:rPr>
            </w:pPr>
            <w:r>
              <w:rPr>
                <w:rFonts w:hint="eastAsia"/>
                <w:color w:val="000000"/>
              </w:rPr>
              <w:t>2</w:t>
            </w:r>
            <w:r>
              <w:t>.1</w:t>
            </w:r>
            <w:r>
              <w:rPr>
                <w:rFonts w:hint="eastAsia"/>
              </w:rPr>
              <w:t>.</w:t>
            </w:r>
            <w:r>
              <w:rPr>
                <w:rFonts w:hint="eastAsia"/>
                <w:lang w:val="en-US" w:eastAsia="zh-CN"/>
              </w:rPr>
              <w:t xml:space="preserve">3 </w:t>
            </w:r>
            <w:r>
              <w:rPr>
                <w:rFonts w:ascii="Times New Roman" w:eastAsia="Times New Roman"/>
                <w:b/>
                <w:sz w:val="24"/>
              </w:rPr>
              <w:t>PET</w:t>
            </w:r>
            <w:r>
              <w:rPr>
                <w:spacing w:val="-2"/>
                <w:sz w:val="24"/>
              </w:rPr>
              <w:t>塑料瓶</w:t>
            </w:r>
            <w:r>
              <w:rPr>
                <w:rFonts w:hint="eastAsia"/>
                <w:spacing w:val="-2"/>
                <w:sz w:val="24"/>
                <w:lang w:eastAsia="zh-CN"/>
              </w:rPr>
              <w:t>坯</w:t>
            </w:r>
            <w:r>
              <w:rPr>
                <w:rFonts w:hint="eastAsia"/>
              </w:rPr>
              <w:t>生产工艺流程及产污节点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lang w:val="en-US" w:eastAsia="zh-CN"/>
              </w:rPr>
              <w:pict>
                <v:shape id="_x0000_s1059" o:spid="_x0000_s1059" o:spt="75" type="#_x0000_t75" style="position:absolute;left:0pt;margin-left:43.6pt;margin-top:61.4pt;height:227.4pt;width:334.7pt;z-index:-251654144;mso-width-relative:page;mso-height-relative:page;" o:ole="t" filled="f" o:preferrelative="t" stroked="f" coordsize="21600,21600">
                  <v:path/>
                  <v:fill on="f" focussize="0,0"/>
                  <v:stroke on="f"/>
                  <v:imagedata r:id="rId17" o:title=""/>
                  <o:lock v:ext="edit" aspectratio="t"/>
                </v:shape>
                <o:OLEObject Type="Embed" ProgID="RFFlow4" ShapeID="_x0000_s1059" DrawAspect="Content" ObjectID="_1468075729" r:id="rId16">
                  <o:LockedField>false</o:LockedField>
                </o:OLEObject>
              </w:pict>
            </w:r>
            <w:r>
              <w:rPr>
                <w:rFonts w:ascii="Times New Roman" w:eastAsia="Times New Roman"/>
                <w:b/>
                <w:sz w:val="24"/>
              </w:rPr>
              <w:t>PET</w:t>
            </w:r>
            <w:r>
              <w:rPr>
                <w:spacing w:val="-2"/>
                <w:sz w:val="24"/>
              </w:rPr>
              <w:t>塑料瓶</w:t>
            </w:r>
            <w:r>
              <w:rPr>
                <w:rFonts w:hint="eastAsia"/>
                <w:spacing w:val="-2"/>
                <w:sz w:val="24"/>
                <w:lang w:eastAsia="zh-CN"/>
              </w:rPr>
              <w:t>坯</w:t>
            </w:r>
            <w:r>
              <w:rPr>
                <w:rFonts w:hint="eastAsia"/>
              </w:rPr>
              <w:t>生产</w:t>
            </w:r>
            <w:r>
              <w:rPr>
                <w:rFonts w:hint="eastAsia"/>
                <w:lang w:val="en-US" w:eastAsia="zh-CN"/>
              </w:rPr>
              <w:t>以</w:t>
            </w:r>
            <w:r>
              <w:rPr>
                <w:rFonts w:ascii="Times New Roman" w:eastAsia="Times New Roman"/>
                <w:b/>
                <w:sz w:val="24"/>
              </w:rPr>
              <w:t>PET</w:t>
            </w:r>
            <w:r>
              <w:rPr>
                <w:rFonts w:hint="eastAsia" w:eastAsia="宋体"/>
                <w:b w:val="0"/>
                <w:bCs/>
                <w:sz w:val="24"/>
                <w:lang w:val="en-US" w:eastAsia="zh-CN"/>
              </w:rPr>
              <w:t>粒子、</w:t>
            </w:r>
            <w:r>
              <w:rPr>
                <w:rFonts w:ascii="Times New Roman" w:eastAsia="Times New Roman"/>
                <w:b/>
                <w:sz w:val="24"/>
              </w:rPr>
              <w:t>PE</w:t>
            </w:r>
            <w:r>
              <w:rPr>
                <w:rFonts w:hint="eastAsia" w:eastAsia="宋体"/>
                <w:b w:val="0"/>
                <w:bCs/>
                <w:sz w:val="24"/>
                <w:lang w:val="en-US" w:eastAsia="zh-CN"/>
              </w:rPr>
              <w:t>膜为主要原料，经过干燥、熔塑、注塑成型、吹塑成型、检查、包装入库等工序形成</w:t>
            </w:r>
            <w:r>
              <w:rPr>
                <w:rFonts w:ascii="Times New Roman" w:eastAsia="Times New Roman"/>
                <w:b/>
                <w:sz w:val="24"/>
              </w:rPr>
              <w:t>PET</w:t>
            </w:r>
            <w:r>
              <w:rPr>
                <w:spacing w:val="-2"/>
                <w:sz w:val="24"/>
              </w:rPr>
              <w:t>塑料瓶</w:t>
            </w:r>
            <w:r>
              <w:rPr>
                <w:rFonts w:hint="eastAsia"/>
                <w:spacing w:val="-2"/>
                <w:sz w:val="24"/>
                <w:lang w:eastAsia="zh-CN"/>
              </w:rPr>
              <w:t>坯</w:t>
            </w:r>
            <w:r>
              <w:rPr>
                <w:rFonts w:hint="eastAsia"/>
                <w:spacing w:val="-2"/>
                <w:sz w:val="24"/>
                <w:lang w:val="en-US" w:eastAsia="zh-CN"/>
              </w:rPr>
              <w:t>产品。</w:t>
            </w:r>
            <w:r>
              <w:rPr>
                <w:rFonts w:ascii="Times New Roman" w:eastAsia="Times New Roman"/>
                <w:b/>
                <w:sz w:val="24"/>
              </w:rPr>
              <w:t>PET</w:t>
            </w:r>
            <w:r>
              <w:rPr>
                <w:spacing w:val="-2"/>
                <w:sz w:val="24"/>
              </w:rPr>
              <w:t>塑料瓶</w:t>
            </w:r>
            <w:r>
              <w:rPr>
                <w:rFonts w:hint="eastAsia"/>
                <w:spacing w:val="-2"/>
                <w:sz w:val="24"/>
                <w:lang w:eastAsia="zh-CN"/>
              </w:rPr>
              <w:t>坯</w:t>
            </w:r>
            <w:r>
              <w:rPr>
                <w:rFonts w:hint="eastAsia"/>
                <w:spacing w:val="-13"/>
                <w:lang w:val="en-US" w:eastAsia="zh-CN"/>
              </w:rPr>
              <w:t>生产工艺流程及产污节点如下图。</w:t>
            </w:r>
          </w:p>
          <w:p>
            <w:pPr>
              <w:keepNext w:val="0"/>
              <w:keepLines w:val="0"/>
              <w:pageBreakBefore w:val="0"/>
              <w:widowControl w:val="0"/>
              <w:kinsoku/>
              <w:wordWrap/>
              <w:overflowPunct/>
              <w:bidi w:val="0"/>
              <w:adjustRightInd w:val="0"/>
              <w:snapToGrid w:val="0"/>
              <w:ind w:firstLine="478" w:firstLineChars="0"/>
              <w:jc w:val="left"/>
              <w:rPr>
                <w:rFonts w:hint="default"/>
                <w:lang w:val="en-US" w:eastAsia="zh-CN"/>
              </w:rPr>
            </w:pPr>
          </w:p>
          <w:p>
            <w:pPr>
              <w:keepNext w:val="0"/>
              <w:keepLines w:val="0"/>
              <w:pageBreakBefore w:val="0"/>
              <w:widowControl w:val="0"/>
              <w:kinsoku/>
              <w:wordWrap/>
              <w:overflowPunct/>
              <w:bidi w:val="0"/>
              <w:adjustRightInd w:val="0"/>
              <w:snapToGrid w:val="0"/>
              <w:rPr>
                <w:rFonts w:hint="default" w:ascii="Times New Roman" w:hAnsi="Times New Roman" w:eastAsia="宋体" w:cs="Times New Roman"/>
                <w:kern w:val="2"/>
                <w:sz w:val="24"/>
                <w:szCs w:val="24"/>
                <w:lang w:val="en-US" w:eastAsia="zh-CN" w:bidi="ar-SA"/>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kinsoku/>
              <w:wordWrap/>
              <w:overflowPunct/>
              <w:bidi w:val="0"/>
              <w:adjustRightInd w:val="0"/>
              <w:snapToGrid w:val="0"/>
              <w:rPr>
                <w:rFonts w:hint="default"/>
                <w:lang w:val="en-US" w:eastAsia="zh-CN"/>
              </w:rPr>
            </w:pPr>
          </w:p>
          <w:p>
            <w:pPr>
              <w:keepNext w:val="0"/>
              <w:keepLines w:val="0"/>
              <w:pageBreakBefore w:val="0"/>
              <w:widowControl w:val="0"/>
              <w:tabs>
                <w:tab w:val="left" w:pos="7310"/>
              </w:tabs>
              <w:kinsoku/>
              <w:wordWrap/>
              <w:overflowPunct/>
              <w:topLinePunct w:val="0"/>
              <w:autoSpaceDE/>
              <w:autoSpaceDN/>
              <w:bidi w:val="0"/>
              <w:adjustRightInd w:val="0"/>
              <w:snapToGrid w:val="0"/>
              <w:spacing w:line="360" w:lineRule="auto"/>
              <w:jc w:val="center"/>
              <w:textAlignment w:val="auto"/>
              <w:rPr>
                <w:rFonts w:hint="eastAsia"/>
                <w:lang w:val="en-US" w:eastAsia="zh-CN"/>
              </w:rPr>
            </w:pPr>
            <w:r>
              <w:rPr>
                <w:b/>
                <w:bCs/>
                <w:color w:val="auto"/>
              </w:rPr>
              <w:t>图2-</w:t>
            </w:r>
            <w:r>
              <w:rPr>
                <w:rFonts w:hint="eastAsia"/>
                <w:b/>
                <w:bCs/>
                <w:color w:val="auto"/>
                <w:lang w:val="en-US" w:eastAsia="zh-CN"/>
              </w:rPr>
              <w:t>5</w:t>
            </w:r>
            <w:r>
              <w:rPr>
                <w:b/>
                <w:bCs/>
                <w:color w:val="auto"/>
              </w:rPr>
              <w:t xml:space="preserve">  </w:t>
            </w:r>
            <w:r>
              <w:rPr>
                <w:rFonts w:hint="eastAsia"/>
                <w:b/>
                <w:bCs/>
                <w:color w:val="auto"/>
                <w:lang w:val="en-US" w:eastAsia="zh-CN"/>
              </w:rPr>
              <w:t>PET瓶坯</w:t>
            </w:r>
            <w:r>
              <w:rPr>
                <w:rFonts w:hint="eastAsia"/>
                <w:b/>
                <w:bCs/>
                <w:color w:val="auto"/>
              </w:rPr>
              <w:t>生</w:t>
            </w:r>
            <w:r>
              <w:rPr>
                <w:rFonts w:hint="eastAsia"/>
                <w:b/>
                <w:bCs/>
              </w:rPr>
              <w:t>产</w:t>
            </w:r>
            <w:r>
              <w:rPr>
                <w:b/>
                <w:bCs/>
              </w:rPr>
              <w:t>工艺流程及产污环节图</w:t>
            </w:r>
          </w:p>
          <w:p>
            <w:pPr>
              <w:keepNext w:val="0"/>
              <w:keepLines w:val="0"/>
              <w:pageBreakBefore w:val="0"/>
              <w:widowControl w:val="0"/>
              <w:tabs>
                <w:tab w:val="left" w:pos="372"/>
              </w:tabs>
              <w:kinsoku/>
              <w:wordWrap/>
              <w:overflowPunct/>
              <w:topLinePunct w:val="0"/>
              <w:autoSpaceDE/>
              <w:autoSpaceDN/>
              <w:bidi w:val="0"/>
              <w:adjustRightInd w:val="0"/>
              <w:snapToGrid w:val="0"/>
              <w:spacing w:line="360" w:lineRule="auto"/>
              <w:ind w:firstLine="482" w:firstLineChars="200"/>
              <w:jc w:val="left"/>
              <w:textAlignment w:val="auto"/>
              <w:rPr>
                <w:rFonts w:hint="eastAsia"/>
                <w:b/>
                <w:bCs/>
                <w:lang w:val="en-US" w:eastAsia="zh-CN"/>
              </w:rPr>
            </w:pPr>
            <w:r>
              <w:rPr>
                <w:rFonts w:hint="eastAsia"/>
                <w:b/>
                <w:bCs/>
                <w:color w:val="auto"/>
                <w:lang w:val="en-US" w:eastAsia="zh-CN"/>
              </w:rPr>
              <w:t>PET瓶坯</w:t>
            </w:r>
            <w:r>
              <w:rPr>
                <w:rFonts w:hint="eastAsia"/>
                <w:b/>
                <w:bCs/>
                <w:lang w:val="en-US" w:eastAsia="zh-CN"/>
              </w:rPr>
              <w:t>生产工艺简述：</w:t>
            </w:r>
          </w:p>
          <w:p>
            <w:pPr>
              <w:keepNext w:val="0"/>
              <w:keepLines w:val="0"/>
              <w:pageBreakBefore w:val="0"/>
              <w:widowControl w:val="0"/>
              <w:tabs>
                <w:tab w:val="left" w:pos="372"/>
              </w:tabs>
              <w:kinsoku/>
              <w:wordWrap/>
              <w:overflowPunct/>
              <w:topLinePunct w:val="0"/>
              <w:autoSpaceDE/>
              <w:autoSpaceDN/>
              <w:bidi w:val="0"/>
              <w:adjustRightInd w:val="0"/>
              <w:snapToGrid w:val="0"/>
              <w:spacing w:line="360" w:lineRule="auto"/>
              <w:ind w:firstLine="480" w:firstLineChars="200"/>
              <w:jc w:val="left"/>
              <w:textAlignment w:val="auto"/>
              <w:rPr>
                <w:sz w:val="24"/>
              </w:rPr>
            </w:pPr>
            <w:r>
              <w:rPr>
                <w:rFonts w:hint="eastAsia"/>
                <w:lang w:val="en-US" w:eastAsia="zh-CN"/>
              </w:rPr>
              <w:t>（1）干燥：</w:t>
            </w:r>
            <w:r>
              <w:rPr>
                <w:spacing w:val="-46"/>
                <w:w w:val="95"/>
                <w:sz w:val="24"/>
              </w:rPr>
              <w:t>将</w:t>
            </w:r>
            <w:r>
              <w:rPr>
                <w:sz w:val="24"/>
              </w:rPr>
              <w:t xml:space="preserve"> </w:t>
            </w:r>
            <w:r>
              <w:rPr>
                <w:rFonts w:ascii="Times New Roman" w:hAnsi="Times New Roman" w:eastAsia="Times New Roman"/>
                <w:w w:val="95"/>
                <w:sz w:val="24"/>
              </w:rPr>
              <w:t>PET</w:t>
            </w:r>
            <w:r>
              <w:rPr>
                <w:rFonts w:hint="eastAsia"/>
                <w:w w:val="95"/>
                <w:sz w:val="24"/>
                <w:lang w:eastAsia="zh-CN"/>
              </w:rPr>
              <w:t>（</w:t>
            </w:r>
            <w:r>
              <w:rPr>
                <w:w w:val="95"/>
                <w:sz w:val="24"/>
              </w:rPr>
              <w:t>聚对苯二甲酸乙二醇酯</w:t>
            </w:r>
            <w:r>
              <w:rPr>
                <w:rFonts w:hint="eastAsia"/>
                <w:w w:val="95"/>
                <w:sz w:val="24"/>
                <w:lang w:eastAsia="zh-CN"/>
              </w:rPr>
              <w:t>）</w:t>
            </w:r>
            <w:r>
              <w:rPr>
                <w:w w:val="95"/>
                <w:sz w:val="24"/>
              </w:rPr>
              <w:t>粒子</w:t>
            </w:r>
            <w:r>
              <w:rPr>
                <w:rFonts w:hint="eastAsia"/>
                <w:w w:val="95"/>
                <w:sz w:val="24"/>
                <w:lang w:eastAsia="zh-CN"/>
              </w:rPr>
              <w:t>，</w:t>
            </w:r>
            <w:r>
              <w:rPr>
                <w:w w:val="95"/>
                <w:sz w:val="24"/>
              </w:rPr>
              <w:t>用真空吸入干燥机内</w:t>
            </w:r>
            <w:r>
              <w:rPr>
                <w:spacing w:val="-45"/>
                <w:w w:val="95"/>
                <w:sz w:val="24"/>
              </w:rPr>
              <w:t>，</w:t>
            </w:r>
            <w:r>
              <w:rPr>
                <w:spacing w:val="-3"/>
                <w:sz w:val="24"/>
              </w:rPr>
              <w:t>干燥时间</w:t>
            </w:r>
            <w:r>
              <w:rPr>
                <w:rFonts w:ascii="Times New Roman" w:hAnsi="Times New Roman" w:eastAsia="Times New Roman"/>
                <w:sz w:val="24"/>
              </w:rPr>
              <w:t>4-6</w:t>
            </w:r>
            <w:r>
              <w:rPr>
                <w:spacing w:val="-6"/>
                <w:sz w:val="24"/>
              </w:rPr>
              <w:t>小时</w:t>
            </w:r>
            <w:r>
              <w:rPr>
                <w:sz w:val="24"/>
              </w:rPr>
              <w:t>。干燥机</w:t>
            </w:r>
            <w:r>
              <w:rPr>
                <w:spacing w:val="-2"/>
                <w:sz w:val="24"/>
              </w:rPr>
              <w:t>仅对原料进行烘干除湿，该过程中仅有水蒸气产生，无其他有机废气。</w:t>
            </w:r>
          </w:p>
          <w:p>
            <w:pPr>
              <w:pStyle w:val="4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eastAsia="宋体"/>
                <w:lang w:val="en-US" w:eastAsia="zh-CN"/>
              </w:rPr>
            </w:pPr>
            <w:r>
              <w:rPr>
                <w:rFonts w:hint="eastAsia"/>
                <w:lang w:val="en-US" w:eastAsia="zh-CN"/>
              </w:rPr>
              <w:t>（2）熔塑：</w:t>
            </w:r>
            <w:r>
              <w:rPr>
                <w:rFonts w:hint="eastAsia"/>
                <w:color w:val="000000"/>
                <w:szCs w:val="24"/>
              </w:rPr>
              <w:t>将注塑机预热2~3 h，干燥后的PET粒子进行熔塑。熔塑温度：260~295℃</w:t>
            </w:r>
            <w:r>
              <w:rPr>
                <w:rFonts w:hint="eastAsia"/>
                <w:color w:val="000000"/>
                <w:szCs w:val="24"/>
                <w:lang w:eastAsia="zh-CN"/>
              </w:rPr>
              <w:t>，</w:t>
            </w:r>
            <w:r>
              <w:rPr>
                <w:rFonts w:hint="eastAsia"/>
                <w:color w:val="000000"/>
                <w:szCs w:val="24"/>
              </w:rPr>
              <w:t>挤出压力：160~180bar。</w:t>
            </w:r>
            <w:r>
              <w:rPr>
                <w:rFonts w:hint="eastAsia"/>
                <w:color w:val="000000"/>
                <w:szCs w:val="24"/>
                <w:lang w:val="en-US" w:eastAsia="zh-CN"/>
              </w:rPr>
              <w:t>该工序会产生废气（G</w:t>
            </w:r>
            <w:r>
              <w:rPr>
                <w:rFonts w:hint="eastAsia"/>
                <w:color w:val="000000"/>
                <w:szCs w:val="24"/>
                <w:vertAlign w:val="subscript"/>
                <w:lang w:val="en-US" w:eastAsia="zh-CN"/>
              </w:rPr>
              <w:t>3-1</w:t>
            </w:r>
            <w:r>
              <w:rPr>
                <w:rFonts w:hint="eastAsia"/>
                <w:color w:val="000000"/>
                <w:szCs w:val="24"/>
                <w:lang w:val="en-US" w:eastAsia="zh-CN"/>
              </w:rPr>
              <w:t>）。</w:t>
            </w:r>
          </w:p>
          <w:p>
            <w:pPr>
              <w:keepNext w:val="0"/>
              <w:keepLines w:val="0"/>
              <w:pageBreakBefore w:val="0"/>
              <w:widowControl w:val="0"/>
              <w:tabs>
                <w:tab w:val="left" w:pos="7310"/>
              </w:tabs>
              <w:kinsoku/>
              <w:wordWrap/>
              <w:overflowPunct/>
              <w:topLinePunct w:val="0"/>
              <w:autoSpaceDE/>
              <w:autoSpaceDN/>
              <w:bidi w:val="0"/>
              <w:adjustRightInd w:val="0"/>
              <w:snapToGrid w:val="0"/>
              <w:spacing w:line="360" w:lineRule="auto"/>
              <w:ind w:firstLine="482" w:firstLineChars="200"/>
              <w:jc w:val="left"/>
              <w:textAlignment w:val="auto"/>
              <w:rPr>
                <w:rFonts w:hint="default" w:eastAsia="宋体"/>
                <w:lang w:val="en-US" w:eastAsia="zh-CN"/>
              </w:rPr>
            </w:pPr>
            <w:r>
              <w:rPr>
                <w:b/>
              </w:rPr>
              <w:t>产污及治理措施</w:t>
            </w:r>
            <w:r>
              <w:t>：</w:t>
            </w:r>
            <w:r>
              <w:rPr>
                <w:rFonts w:hint="eastAsia"/>
                <w:lang w:val="en-US" w:eastAsia="zh-CN"/>
              </w:rPr>
              <w:t>熔塑工序产生的非甲烷总烃，该废气经过催化燃烧装置处理后，由20m高的排气筒（DA005）排放。</w:t>
            </w:r>
          </w:p>
          <w:p>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lang w:val="en-US" w:eastAsia="zh-CN"/>
              </w:rPr>
            </w:pPr>
            <w:r>
              <w:rPr>
                <w:rFonts w:hint="eastAsia"/>
                <w:lang w:val="en-US" w:eastAsia="zh-CN"/>
              </w:rPr>
              <w:t>（3）注塑成型：</w:t>
            </w:r>
            <w:r>
              <w:rPr>
                <w:rFonts w:hint="eastAsia"/>
                <w:color w:val="000000"/>
                <w:szCs w:val="24"/>
              </w:rPr>
              <w:t>而后将粒子经过注塑机加温285-295℃，注入瓶</w:t>
            </w:r>
            <w:r>
              <w:rPr>
                <w:rFonts w:hint="eastAsia"/>
                <w:color w:val="000000"/>
                <w:szCs w:val="24"/>
                <w:lang w:eastAsia="zh-CN"/>
              </w:rPr>
              <w:t>坯</w:t>
            </w:r>
            <w:r>
              <w:rPr>
                <w:rFonts w:hint="eastAsia"/>
                <w:color w:val="000000"/>
                <w:szCs w:val="24"/>
              </w:rPr>
              <w:t>模具内，成型至成品。注塑时间为12±1s。</w:t>
            </w:r>
            <w:r>
              <w:rPr>
                <w:rFonts w:hint="eastAsia"/>
                <w:color w:val="000000"/>
                <w:szCs w:val="24"/>
                <w:lang w:val="en-US" w:eastAsia="zh-CN"/>
              </w:rPr>
              <w:t>该工序会产生废气（G</w:t>
            </w:r>
            <w:r>
              <w:rPr>
                <w:rFonts w:hint="eastAsia"/>
                <w:color w:val="000000"/>
                <w:szCs w:val="24"/>
                <w:vertAlign w:val="subscript"/>
                <w:lang w:val="en-US" w:eastAsia="zh-CN"/>
              </w:rPr>
              <w:t>3-2</w:t>
            </w:r>
            <w:r>
              <w:rPr>
                <w:rFonts w:hint="eastAsia"/>
                <w:color w:val="000000"/>
                <w:szCs w:val="24"/>
                <w:lang w:val="en-US" w:eastAsia="zh-CN"/>
              </w:rPr>
              <w:t>）。</w:t>
            </w:r>
            <w:r>
              <w:rPr>
                <w:rFonts w:hint="eastAsia"/>
                <w:lang w:val="en-US" w:eastAsia="zh-CN"/>
              </w:rPr>
              <w:t>注塑生产的瓶坯，由瓶坯筐储存。</w:t>
            </w:r>
          </w:p>
          <w:p>
            <w:pPr>
              <w:keepNext w:val="0"/>
              <w:keepLines w:val="0"/>
              <w:pageBreakBefore w:val="0"/>
              <w:widowControl w:val="0"/>
              <w:tabs>
                <w:tab w:val="left" w:pos="7310"/>
              </w:tabs>
              <w:kinsoku/>
              <w:wordWrap/>
              <w:overflowPunct/>
              <w:topLinePunct w:val="0"/>
              <w:autoSpaceDE/>
              <w:autoSpaceDN/>
              <w:bidi w:val="0"/>
              <w:adjustRightInd w:val="0"/>
              <w:snapToGrid w:val="0"/>
              <w:spacing w:line="360" w:lineRule="auto"/>
              <w:ind w:firstLine="482" w:firstLineChars="200"/>
              <w:jc w:val="left"/>
              <w:textAlignment w:val="auto"/>
              <w:rPr>
                <w:rFonts w:hint="eastAsia"/>
                <w:lang w:val="en-US" w:eastAsia="zh-CN"/>
              </w:rPr>
            </w:pPr>
            <w:r>
              <w:rPr>
                <w:b/>
              </w:rPr>
              <w:t>产污及治理措施</w:t>
            </w:r>
            <w:r>
              <w:t>：</w:t>
            </w:r>
            <w:r>
              <w:rPr>
                <w:rFonts w:hint="eastAsia"/>
                <w:lang w:val="en-US" w:eastAsia="zh-CN"/>
              </w:rPr>
              <w:t>注塑成型工序产生的非甲烷总烃，该废气经过催化燃烧装置处理后，由20m高的排气筒（DA005）排放。</w:t>
            </w:r>
          </w:p>
          <w:p>
            <w:pPr>
              <w:keepNext w:val="0"/>
              <w:keepLines w:val="0"/>
              <w:pageBreakBefore w:val="0"/>
              <w:widowControl w:val="0"/>
              <w:tabs>
                <w:tab w:val="left" w:pos="7310"/>
              </w:tabs>
              <w:kinsoku/>
              <w:wordWrap/>
              <w:overflowPunct/>
              <w:topLinePunct w:val="0"/>
              <w:autoSpaceDE/>
              <w:autoSpaceDN/>
              <w:bidi w:val="0"/>
              <w:adjustRightInd w:val="0"/>
              <w:snapToGrid w:val="0"/>
              <w:spacing w:line="360" w:lineRule="auto"/>
              <w:ind w:firstLine="480" w:firstLineChars="200"/>
              <w:jc w:val="left"/>
              <w:textAlignment w:val="auto"/>
              <w:rPr>
                <w:rFonts w:hint="default"/>
                <w:lang w:val="en-US" w:eastAsia="zh-CN"/>
              </w:rPr>
            </w:pPr>
            <w:r>
              <w:rPr>
                <w:rFonts w:hint="eastAsia"/>
                <w:lang w:val="en-US" w:eastAsia="zh-CN"/>
              </w:rPr>
              <w:t>（4）瓶坯调温：前道工序产出的制品经过冷却系统进行温度调节。</w:t>
            </w:r>
          </w:p>
          <w:p>
            <w:pPr>
              <w:keepNext w:val="0"/>
              <w:keepLines w:val="0"/>
              <w:pageBreakBefore w:val="0"/>
              <w:widowControl w:val="0"/>
              <w:tabs>
                <w:tab w:val="left" w:pos="7310"/>
              </w:tabs>
              <w:kinsoku/>
              <w:wordWrap/>
              <w:overflowPunct/>
              <w:topLinePunct w:val="0"/>
              <w:autoSpaceDE/>
              <w:autoSpaceDN/>
              <w:bidi w:val="0"/>
              <w:adjustRightInd w:val="0"/>
              <w:snapToGrid w:val="0"/>
              <w:spacing w:line="360" w:lineRule="auto"/>
              <w:ind w:firstLine="480" w:firstLineChars="200"/>
              <w:jc w:val="left"/>
              <w:textAlignment w:val="auto"/>
              <w:rPr>
                <w:rFonts w:hint="default"/>
                <w:lang w:val="en-US" w:eastAsia="zh-CN"/>
              </w:rPr>
            </w:pPr>
            <w:r>
              <w:rPr>
                <w:rFonts w:hint="eastAsia"/>
                <w:lang w:val="en-US" w:eastAsia="zh-CN"/>
              </w:rPr>
              <w:t>（5）吹塑成型：将瓶坯调温后，</w:t>
            </w:r>
            <w:r>
              <w:rPr>
                <w:rFonts w:hint="eastAsia"/>
                <w:color w:val="auto"/>
                <w:lang w:val="en-US" w:eastAsia="zh-CN"/>
              </w:rPr>
              <w:t>进行二次吹塑</w:t>
            </w:r>
            <w:r>
              <w:rPr>
                <w:rFonts w:hint="eastAsia"/>
                <w:lang w:val="en-US" w:eastAsia="zh-CN"/>
              </w:rPr>
              <w:t>。工艺参数为：吹塑温度：110~120℃；吹模表面温度：＞115℃；预热时间：30 min；水分含量：＜50 ppm；一次吹塑时间：0.3±0.1s；二次吹塑时间：4.9±0.8s；一次吹塑压力：10bar；二次吹塑压力：36~40bar。该工序</w:t>
            </w:r>
            <w:r>
              <w:rPr>
                <w:rFonts w:hint="eastAsia"/>
                <w:color w:val="000000"/>
                <w:szCs w:val="24"/>
                <w:lang w:val="en-US" w:eastAsia="zh-CN"/>
              </w:rPr>
              <w:t>会产生废气（G</w:t>
            </w:r>
            <w:r>
              <w:rPr>
                <w:rFonts w:hint="eastAsia"/>
                <w:color w:val="000000"/>
                <w:szCs w:val="24"/>
                <w:vertAlign w:val="subscript"/>
                <w:lang w:val="en-US" w:eastAsia="zh-CN"/>
              </w:rPr>
              <w:t>3-3</w:t>
            </w:r>
            <w:r>
              <w:rPr>
                <w:rFonts w:hint="eastAsia"/>
                <w:color w:val="000000"/>
                <w:szCs w:val="24"/>
                <w:lang w:val="en-US" w:eastAsia="zh-CN"/>
              </w:rPr>
              <w:t>）。</w:t>
            </w:r>
          </w:p>
          <w:p>
            <w:pPr>
              <w:keepNext w:val="0"/>
              <w:keepLines w:val="0"/>
              <w:pageBreakBefore w:val="0"/>
              <w:widowControl w:val="0"/>
              <w:tabs>
                <w:tab w:val="left" w:pos="7310"/>
              </w:tabs>
              <w:kinsoku/>
              <w:wordWrap/>
              <w:overflowPunct/>
              <w:topLinePunct w:val="0"/>
              <w:autoSpaceDE/>
              <w:autoSpaceDN/>
              <w:bidi w:val="0"/>
              <w:adjustRightInd w:val="0"/>
              <w:snapToGrid w:val="0"/>
              <w:spacing w:line="360" w:lineRule="auto"/>
              <w:ind w:firstLine="482" w:firstLineChars="200"/>
              <w:jc w:val="left"/>
              <w:textAlignment w:val="auto"/>
              <w:rPr>
                <w:rFonts w:hint="eastAsia"/>
                <w:lang w:val="en-US" w:eastAsia="zh-CN"/>
              </w:rPr>
            </w:pPr>
            <w:r>
              <w:rPr>
                <w:b/>
              </w:rPr>
              <w:t>产污及治理措施</w:t>
            </w:r>
            <w:r>
              <w:t>：</w:t>
            </w:r>
            <w:r>
              <w:rPr>
                <w:rFonts w:hint="eastAsia"/>
                <w:lang w:val="en-US" w:eastAsia="zh-CN"/>
              </w:rPr>
              <w:t>吹塑成型工序产生的非甲烷总烃，该废气经过催化燃烧装置处理后，由20m高的排气筒（DA006）排放。</w:t>
            </w:r>
          </w:p>
          <w:p>
            <w:pPr>
              <w:keepNext w:val="0"/>
              <w:keepLines w:val="0"/>
              <w:pageBreakBefore w:val="0"/>
              <w:widowControl w:val="0"/>
              <w:numPr>
                <w:ilvl w:val="0"/>
                <w:numId w:val="0"/>
              </w:numPr>
              <w:tabs>
                <w:tab w:val="left" w:pos="7310"/>
              </w:tabs>
              <w:kinsoku/>
              <w:wordWrap/>
              <w:overflowPunct/>
              <w:topLinePunct w:val="0"/>
              <w:autoSpaceDE/>
              <w:autoSpaceDN/>
              <w:bidi w:val="0"/>
              <w:adjustRightInd w:val="0"/>
              <w:snapToGrid w:val="0"/>
              <w:spacing w:line="360" w:lineRule="auto"/>
              <w:ind w:firstLine="480" w:firstLineChars="200"/>
              <w:jc w:val="left"/>
              <w:textAlignment w:val="auto"/>
              <w:rPr>
                <w:rFonts w:hint="eastAsia"/>
                <w:lang w:val="en-US" w:eastAsia="zh-CN"/>
              </w:rPr>
            </w:pPr>
            <w:r>
              <w:rPr>
                <w:rFonts w:hint="eastAsia" w:ascii="Times New Roman" w:hAnsi="Times New Roman" w:eastAsia="宋体" w:cs="Times New Roman"/>
                <w:kern w:val="2"/>
                <w:sz w:val="24"/>
                <w:szCs w:val="24"/>
                <w:lang w:val="en-US" w:eastAsia="zh-CN" w:bidi="ar-SA"/>
              </w:rPr>
              <w:t>（6）</w:t>
            </w:r>
            <w:r>
              <w:rPr>
                <w:rFonts w:hint="eastAsia"/>
                <w:lang w:val="en-US" w:eastAsia="zh-CN"/>
              </w:rPr>
              <w:t>检查：熔塑、注塑、吹塑工序加工后，通过检查是否符合要求，会产生不合格品（S</w:t>
            </w:r>
            <w:r>
              <w:rPr>
                <w:rFonts w:hint="eastAsia"/>
                <w:vertAlign w:val="subscript"/>
                <w:lang w:val="en-US" w:eastAsia="zh-CN"/>
              </w:rPr>
              <w:t>3-1</w:t>
            </w:r>
            <w:r>
              <w:rPr>
                <w:rFonts w:hint="eastAsia"/>
                <w:lang w:val="en-US" w:eastAsia="zh-CN"/>
              </w:rPr>
              <w:t>）。</w:t>
            </w:r>
          </w:p>
          <w:p>
            <w:pPr>
              <w:keepNext w:val="0"/>
              <w:keepLines w:val="0"/>
              <w:pageBreakBefore w:val="0"/>
              <w:widowControl w:val="0"/>
              <w:numPr>
                <w:ilvl w:val="0"/>
                <w:numId w:val="0"/>
              </w:numPr>
              <w:tabs>
                <w:tab w:val="left" w:pos="7310"/>
              </w:tabs>
              <w:kinsoku/>
              <w:wordWrap/>
              <w:overflowPunct/>
              <w:topLinePunct w:val="0"/>
              <w:autoSpaceDE/>
              <w:autoSpaceDN/>
              <w:bidi w:val="0"/>
              <w:adjustRightInd w:val="0"/>
              <w:snapToGrid w:val="0"/>
              <w:spacing w:line="360" w:lineRule="auto"/>
              <w:ind w:firstLine="482" w:firstLineChars="200"/>
              <w:jc w:val="left"/>
              <w:textAlignment w:val="auto"/>
              <w:rPr>
                <w:rFonts w:hint="default"/>
                <w:lang w:val="en-US" w:eastAsia="zh-CN"/>
              </w:rPr>
            </w:pPr>
            <w:r>
              <w:rPr>
                <w:b/>
              </w:rPr>
              <w:t>产污及治理措施</w:t>
            </w:r>
            <w:r>
              <w:t>：</w:t>
            </w:r>
            <w:r>
              <w:rPr>
                <w:rFonts w:hint="eastAsia"/>
                <w:lang w:val="en-US" w:eastAsia="zh-CN"/>
              </w:rPr>
              <w:t>检查工序会产生不合格品，该不合格品收集后暂存一般固废间，定期外售综合利用。</w:t>
            </w:r>
          </w:p>
          <w:p>
            <w:pPr>
              <w:keepNext w:val="0"/>
              <w:keepLines w:val="0"/>
              <w:pageBreakBefore w:val="0"/>
              <w:widowControl w:val="0"/>
              <w:tabs>
                <w:tab w:val="left" w:pos="7310"/>
              </w:tabs>
              <w:kinsoku/>
              <w:wordWrap/>
              <w:overflowPunct/>
              <w:topLinePunct w:val="0"/>
              <w:autoSpaceDE/>
              <w:autoSpaceDN/>
              <w:bidi w:val="0"/>
              <w:adjustRightInd w:val="0"/>
              <w:snapToGrid w:val="0"/>
              <w:spacing w:line="360" w:lineRule="auto"/>
              <w:ind w:firstLine="480" w:firstLineChars="200"/>
              <w:jc w:val="left"/>
              <w:textAlignment w:val="auto"/>
              <w:rPr>
                <w:rFonts w:hint="default"/>
                <w:lang w:val="en-US" w:eastAsia="zh-CN"/>
              </w:rPr>
            </w:pPr>
            <w:r>
              <w:rPr>
                <w:rFonts w:hint="eastAsia"/>
                <w:lang w:val="en-US" w:eastAsia="zh-CN"/>
              </w:rPr>
              <w:t>（7）包装入库：合格的产品已24瓶为一提，通过PE膜包装，包装后入库。</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2" w:firstLineChars="200"/>
              <w:textAlignment w:val="auto"/>
              <w:rPr>
                <w:b/>
                <w:color w:val="000000"/>
                <w:szCs w:val="24"/>
              </w:rPr>
            </w:pPr>
            <w:r>
              <w:rPr>
                <w:rFonts w:hint="eastAsia"/>
                <w:b/>
                <w:color w:val="000000"/>
                <w:szCs w:val="24"/>
              </w:rPr>
              <w:t>2.</w:t>
            </w:r>
            <w:r>
              <w:rPr>
                <w:rFonts w:hint="eastAsia"/>
                <w:b/>
                <w:color w:val="000000"/>
                <w:szCs w:val="24"/>
                <w:lang w:val="en-US" w:eastAsia="zh-CN"/>
              </w:rPr>
              <w:t>2</w:t>
            </w:r>
            <w:r>
              <w:rPr>
                <w:b/>
                <w:color w:val="000000"/>
                <w:szCs w:val="24"/>
              </w:rPr>
              <w:t>产污环节分析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rPr>
            </w:pPr>
            <w:r>
              <w:rPr>
                <w:color w:val="000000"/>
                <w:kern w:val="0"/>
              </w:rPr>
              <w:t>本项目产污情况详见下表：</w:t>
            </w:r>
          </w:p>
          <w:p>
            <w:pPr>
              <w:keepNext w:val="0"/>
              <w:keepLines w:val="0"/>
              <w:pageBreakBefore w:val="0"/>
              <w:widowControl w:val="0"/>
              <w:tabs>
                <w:tab w:val="left" w:pos="0"/>
              </w:tabs>
              <w:kinsoku/>
              <w:wordWrap/>
              <w:overflowPunct/>
              <w:topLinePunct w:val="0"/>
              <w:bidi w:val="0"/>
              <w:adjustRightInd w:val="0"/>
              <w:snapToGrid w:val="0"/>
              <w:jc w:val="center"/>
              <w:rPr>
                <w:b/>
                <w:color w:val="000000"/>
              </w:rPr>
            </w:pPr>
            <w:r>
              <w:rPr>
                <w:rFonts w:cs="宋体"/>
                <w:b/>
                <w:color w:val="auto"/>
                <w:szCs w:val="21"/>
              </w:rPr>
              <w:t>表2-</w:t>
            </w:r>
            <w:r>
              <w:rPr>
                <w:rFonts w:hint="eastAsia" w:cs="宋体"/>
                <w:b/>
                <w:color w:val="auto"/>
                <w:szCs w:val="21"/>
                <w:lang w:val="en-US" w:eastAsia="zh-CN"/>
              </w:rPr>
              <w:t>8</w:t>
            </w:r>
            <w:r>
              <w:rPr>
                <w:rFonts w:cs="宋体"/>
                <w:b/>
                <w:color w:val="000000"/>
                <w:szCs w:val="21"/>
              </w:rPr>
              <w:t xml:space="preserve"> </w:t>
            </w:r>
            <w:r>
              <w:rPr>
                <w:b/>
                <w:color w:val="000000"/>
              </w:rPr>
              <w:t>项目产污情况一览表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459"/>
              <w:gridCol w:w="1571"/>
              <w:gridCol w:w="1939"/>
              <w:gridCol w:w="1139"/>
              <w:gridCol w:w="3056"/>
              <w:gridCol w:w="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90" w:hRule="atLeast"/>
                <w:tblHeader/>
                <w:jc w:val="center"/>
              </w:trPr>
              <w:tc>
                <w:tcPr>
                  <w:tcW w:w="549"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b/>
                      <w:bCs/>
                      <w:sz w:val="21"/>
                      <w:szCs w:val="21"/>
                    </w:rPr>
                  </w:pPr>
                  <w:r>
                    <w:rPr>
                      <w:b/>
                      <w:bCs/>
                      <w:sz w:val="21"/>
                      <w:szCs w:val="21"/>
                    </w:rPr>
                    <w:t>类别</w:t>
                  </w: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b/>
                      <w:bCs/>
                      <w:sz w:val="21"/>
                      <w:szCs w:val="21"/>
                    </w:rPr>
                  </w:pPr>
                  <w:r>
                    <w:rPr>
                      <w:b/>
                      <w:bCs/>
                      <w:sz w:val="21"/>
                      <w:szCs w:val="21"/>
                    </w:rPr>
                    <w:t>污染物</w:t>
                  </w:r>
                </w:p>
                <w:p>
                  <w:pPr>
                    <w:keepNext w:val="0"/>
                    <w:keepLines w:val="0"/>
                    <w:pageBreakBefore w:val="0"/>
                    <w:widowControl w:val="0"/>
                    <w:kinsoku/>
                    <w:wordWrap/>
                    <w:overflowPunct/>
                    <w:topLinePunct w:val="0"/>
                    <w:bidi w:val="0"/>
                    <w:adjustRightInd w:val="0"/>
                    <w:snapToGrid w:val="0"/>
                    <w:jc w:val="center"/>
                    <w:rPr>
                      <w:b/>
                      <w:bCs/>
                      <w:sz w:val="21"/>
                      <w:szCs w:val="21"/>
                    </w:rPr>
                  </w:pPr>
                  <w:r>
                    <w:rPr>
                      <w:b/>
                      <w:bCs/>
                      <w:sz w:val="21"/>
                      <w:szCs w:val="21"/>
                    </w:rPr>
                    <w:t>名称</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b/>
                      <w:bCs/>
                      <w:sz w:val="21"/>
                      <w:szCs w:val="21"/>
                    </w:rPr>
                  </w:pPr>
                  <w:r>
                    <w:rPr>
                      <w:rFonts w:hint="eastAsia"/>
                      <w:b/>
                      <w:bCs/>
                      <w:sz w:val="21"/>
                      <w:szCs w:val="21"/>
                    </w:rPr>
                    <w:t>主要污染</w:t>
                  </w:r>
                </w:p>
                <w:p>
                  <w:pPr>
                    <w:keepNext w:val="0"/>
                    <w:keepLines w:val="0"/>
                    <w:pageBreakBefore w:val="0"/>
                    <w:widowControl w:val="0"/>
                    <w:kinsoku/>
                    <w:wordWrap/>
                    <w:overflowPunct/>
                    <w:topLinePunct w:val="0"/>
                    <w:bidi w:val="0"/>
                    <w:adjustRightInd w:val="0"/>
                    <w:snapToGrid w:val="0"/>
                    <w:jc w:val="center"/>
                    <w:rPr>
                      <w:b/>
                      <w:bCs/>
                      <w:sz w:val="21"/>
                      <w:szCs w:val="21"/>
                    </w:rPr>
                  </w:pPr>
                  <w:r>
                    <w:rPr>
                      <w:rFonts w:hint="eastAsia"/>
                      <w:b/>
                      <w:bCs/>
                      <w:sz w:val="21"/>
                      <w:szCs w:val="21"/>
                    </w:rPr>
                    <w:t>因子</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b/>
                      <w:bCs/>
                      <w:sz w:val="21"/>
                      <w:szCs w:val="21"/>
                    </w:rPr>
                  </w:pPr>
                  <w:r>
                    <w:rPr>
                      <w:rFonts w:hint="eastAsia"/>
                      <w:b/>
                      <w:bCs/>
                      <w:sz w:val="21"/>
                      <w:szCs w:val="21"/>
                    </w:rPr>
                    <w:t>污染源</w:t>
                  </w:r>
                </w:p>
              </w:tc>
              <w:tc>
                <w:tcPr>
                  <w:tcW w:w="174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b/>
                      <w:bCs/>
                      <w:sz w:val="21"/>
                      <w:szCs w:val="21"/>
                    </w:rPr>
                  </w:pPr>
                  <w:r>
                    <w:rPr>
                      <w:rFonts w:hint="eastAsia"/>
                      <w:b/>
                      <w:bCs/>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90" w:hRule="atLeast"/>
                <w:tblHeader/>
                <w:jc w:val="center"/>
              </w:trPr>
              <w:tc>
                <w:tcPr>
                  <w:tcW w:w="549" w:type="pct"/>
                  <w:gridSpan w:val="2"/>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废气</w:t>
                  </w: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vertAlign w:val="baseline"/>
                      <w:lang w:val="en-US" w:eastAsia="zh-CN"/>
                    </w:rPr>
                  </w:pPr>
                  <w:r>
                    <w:rPr>
                      <w:rFonts w:hint="eastAsia"/>
                      <w:sz w:val="21"/>
                      <w:szCs w:val="21"/>
                      <w:lang w:val="en-US" w:eastAsia="zh-CN"/>
                    </w:rPr>
                    <w:t>G</w:t>
                  </w:r>
                  <w:r>
                    <w:rPr>
                      <w:rFonts w:hint="eastAsia"/>
                      <w:sz w:val="21"/>
                      <w:szCs w:val="21"/>
                      <w:vertAlign w:val="subscript"/>
                      <w:lang w:val="en-US" w:eastAsia="zh-CN"/>
                    </w:rPr>
                    <w:t>3-1</w:t>
                  </w:r>
                  <w:r>
                    <w:rPr>
                      <w:rFonts w:hint="eastAsia"/>
                      <w:sz w:val="21"/>
                      <w:szCs w:val="21"/>
                      <w:vertAlign w:val="baseline"/>
                      <w:lang w:val="en-US" w:eastAsia="zh-CN"/>
                    </w:rPr>
                    <w:t>熔塑废气</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非甲烷总烃</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熔塑</w:t>
                  </w:r>
                </w:p>
              </w:tc>
              <w:tc>
                <w:tcPr>
                  <w:tcW w:w="1749"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rPr>
                  </w:pPr>
                  <w:r>
                    <w:rPr>
                      <w:rFonts w:hint="eastAsia"/>
                      <w:sz w:val="21"/>
                      <w:szCs w:val="21"/>
                      <w:lang w:val="en-US" w:eastAsia="zh-CN"/>
                    </w:rPr>
                    <w:t>经过催化燃烧装置处理后，由20m高的排气筒（DA005）排放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90" w:hRule="atLeast"/>
                <w:tblHeader/>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G</w:t>
                  </w:r>
                  <w:r>
                    <w:rPr>
                      <w:rFonts w:hint="eastAsia"/>
                      <w:sz w:val="21"/>
                      <w:szCs w:val="21"/>
                      <w:vertAlign w:val="subscript"/>
                      <w:lang w:val="en-US" w:eastAsia="zh-CN"/>
                    </w:rPr>
                    <w:t>3-2</w:t>
                  </w:r>
                  <w:r>
                    <w:rPr>
                      <w:rFonts w:hint="eastAsia"/>
                      <w:sz w:val="21"/>
                      <w:szCs w:val="21"/>
                      <w:vertAlign w:val="baseline"/>
                      <w:lang w:val="en-US" w:eastAsia="zh-CN"/>
                    </w:rPr>
                    <w:t>注塑废气</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lang w:val="en-US" w:eastAsia="zh-CN"/>
                    </w:rPr>
                    <w:t>非甲烷总烃</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注塑</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90" w:hRule="atLeast"/>
                <w:tblHeader/>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vertAlign w:val="baseline"/>
                      <w:lang w:val="en-US" w:eastAsia="zh-CN"/>
                    </w:rPr>
                  </w:pPr>
                  <w:r>
                    <w:rPr>
                      <w:rFonts w:hint="eastAsia"/>
                      <w:sz w:val="21"/>
                      <w:szCs w:val="21"/>
                      <w:lang w:val="en-US" w:eastAsia="zh-CN"/>
                    </w:rPr>
                    <w:t>G</w:t>
                  </w:r>
                  <w:r>
                    <w:rPr>
                      <w:rFonts w:hint="eastAsia"/>
                      <w:sz w:val="21"/>
                      <w:szCs w:val="21"/>
                      <w:vertAlign w:val="subscript"/>
                      <w:lang w:val="en-US" w:eastAsia="zh-CN"/>
                    </w:rPr>
                    <w:t>3-3</w:t>
                  </w:r>
                  <w:r>
                    <w:rPr>
                      <w:rFonts w:hint="eastAsia"/>
                      <w:sz w:val="21"/>
                      <w:szCs w:val="21"/>
                      <w:vertAlign w:val="baseline"/>
                      <w:lang w:val="en-US" w:eastAsia="zh-CN"/>
                    </w:rPr>
                    <w:t>吹塑废气</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lang w:val="en-US" w:eastAsia="zh-CN"/>
                    </w:rPr>
                    <w:t>非甲烷总烃</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eastAsia="宋体"/>
                      <w:sz w:val="21"/>
                      <w:szCs w:val="21"/>
                      <w:lang w:val="en-US" w:eastAsia="zh-CN"/>
                    </w:rPr>
                  </w:pPr>
                  <w:r>
                    <w:rPr>
                      <w:rFonts w:hint="eastAsia"/>
                      <w:sz w:val="21"/>
                      <w:szCs w:val="21"/>
                      <w:lang w:val="en-US" w:eastAsia="zh-CN"/>
                    </w:rPr>
                    <w:t>吹塑</w:t>
                  </w:r>
                </w:p>
              </w:tc>
              <w:tc>
                <w:tcPr>
                  <w:tcW w:w="174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lang w:val="en-US" w:eastAsia="zh-CN"/>
                    </w:rPr>
                    <w:t>经过催化燃烧装置处理后，由20m高的排气筒（DA006）排放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食堂油烟废气</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eastAsia="宋体"/>
                      <w:color w:val="000000"/>
                      <w:sz w:val="21"/>
                      <w:szCs w:val="18"/>
                      <w:lang w:val="en-US" w:eastAsia="zh-CN"/>
                    </w:rPr>
                  </w:pPr>
                  <w:r>
                    <w:rPr>
                      <w:rFonts w:hint="eastAsia"/>
                      <w:color w:val="000000"/>
                      <w:sz w:val="21"/>
                      <w:szCs w:val="18"/>
                      <w:lang w:val="en-US" w:eastAsia="zh-CN"/>
                    </w:rPr>
                    <w:t>油烟</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烹饪</w:t>
                  </w:r>
                </w:p>
              </w:tc>
              <w:tc>
                <w:tcPr>
                  <w:tcW w:w="174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经油烟净化器处理后，由20m高的排气筒（DA004）排放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eastAsia="宋体"/>
                      <w:sz w:val="21"/>
                      <w:szCs w:val="21"/>
                      <w:lang w:val="en-US" w:eastAsia="zh-CN"/>
                    </w:rPr>
                  </w:pPr>
                  <w:r>
                    <w:rPr>
                      <w:rFonts w:hint="eastAsia"/>
                      <w:sz w:val="21"/>
                      <w:szCs w:val="21"/>
                      <w:lang w:val="en-US" w:eastAsia="zh-CN"/>
                    </w:rPr>
                    <w:t>废水</w:t>
                  </w: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W</w:t>
                  </w:r>
                  <w:r>
                    <w:rPr>
                      <w:rFonts w:hint="eastAsia"/>
                      <w:sz w:val="21"/>
                      <w:szCs w:val="21"/>
                      <w:vertAlign w:val="subscript"/>
                      <w:lang w:val="en-US" w:eastAsia="zh-CN"/>
                    </w:rPr>
                    <w:t>1-1</w:t>
                  </w:r>
                  <w:r>
                    <w:rPr>
                      <w:rFonts w:hint="eastAsia"/>
                      <w:sz w:val="21"/>
                      <w:szCs w:val="21"/>
                      <w:vertAlign w:val="baseline"/>
                      <w:lang w:val="en-US" w:eastAsia="zh-CN"/>
                    </w:rPr>
                    <w:t>叠片过滤反冲洗废水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COD、SS、</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color w:val="000000"/>
                      <w:sz w:val="21"/>
                      <w:szCs w:val="18"/>
                      <w:lang w:eastAsia="zh-CN"/>
                    </w:rPr>
                    <w:t>、</w:t>
                  </w:r>
                  <w:r>
                    <w:rPr>
                      <w:rFonts w:hint="eastAsia"/>
                      <w:sz w:val="21"/>
                      <w:szCs w:val="21"/>
                    </w:rPr>
                    <w:t>BOD</w:t>
                  </w:r>
                  <w:r>
                    <w:rPr>
                      <w:rFonts w:hint="eastAsia"/>
                      <w:sz w:val="21"/>
                      <w:szCs w:val="21"/>
                      <w:vertAlign w:val="subscript"/>
                    </w:rPr>
                    <w:t>5</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反冲洗</w:t>
                  </w:r>
                </w:p>
              </w:tc>
              <w:tc>
                <w:tcPr>
                  <w:tcW w:w="1749"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rPr>
                    <w:t>经</w:t>
                  </w:r>
                  <w:r>
                    <w:rPr>
                      <w:rFonts w:hint="eastAsia"/>
                      <w:sz w:val="21"/>
                      <w:szCs w:val="21"/>
                      <w:lang w:val="en-US" w:eastAsia="zh-CN"/>
                    </w:rPr>
                    <w:t>厂区总排口流入</w:t>
                  </w:r>
                  <w:r>
                    <w:rPr>
                      <w:rFonts w:hint="eastAsia"/>
                      <w:sz w:val="21"/>
                      <w:szCs w:val="21"/>
                    </w:rPr>
                    <w:t>市政</w:t>
                  </w:r>
                  <w:r>
                    <w:rPr>
                      <w:rFonts w:hint="eastAsia"/>
                      <w:sz w:val="21"/>
                      <w:szCs w:val="21"/>
                      <w:lang w:val="en-US" w:eastAsia="zh-CN"/>
                    </w:rPr>
                    <w:t>污水</w:t>
                  </w:r>
                </w:p>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管网</w:t>
                  </w:r>
                  <w:r>
                    <w:rPr>
                      <w:rFonts w:hint="eastAsia"/>
                      <w:sz w:val="21"/>
                      <w:szCs w:val="21"/>
                      <w:lang w:eastAsia="zh-CN"/>
                    </w:rPr>
                    <w:t>，</w:t>
                  </w:r>
                  <w:r>
                    <w:rPr>
                      <w:rFonts w:hint="eastAsia"/>
                      <w:sz w:val="21"/>
                      <w:szCs w:val="21"/>
                      <w:lang w:val="en-US" w:eastAsia="zh-CN"/>
                    </w:rPr>
                    <w:t>再</w:t>
                  </w:r>
                  <w:r>
                    <w:rPr>
                      <w:rFonts w:hint="eastAsia"/>
                      <w:sz w:val="21"/>
                      <w:szCs w:val="21"/>
                    </w:rPr>
                    <w:t>排入园区污水处理厂</w:t>
                  </w:r>
                </w:p>
                <w:p>
                  <w:pPr>
                    <w:keepNext w:val="0"/>
                    <w:keepLines w:val="0"/>
                    <w:pageBreakBefore w:val="0"/>
                    <w:widowControl w:val="0"/>
                    <w:kinsoku/>
                    <w:wordWrap/>
                    <w:overflowPunct/>
                    <w:topLinePunct w:val="0"/>
                    <w:bidi w:val="0"/>
                    <w:adjustRightInd w:val="0"/>
                    <w:snapToGrid w:val="0"/>
                    <w:jc w:val="center"/>
                    <w:rPr>
                      <w:rFonts w:hint="eastAsia" w:eastAsia="宋体"/>
                      <w:sz w:val="21"/>
                      <w:szCs w:val="21"/>
                      <w:lang w:val="en-US" w:eastAsia="zh-CN"/>
                    </w:rPr>
                  </w:pPr>
                  <w:r>
                    <w:rPr>
                      <w:rFonts w:hint="eastAsia"/>
                      <w:sz w:val="21"/>
                      <w:szCs w:val="21"/>
                      <w:lang w:val="en-US" w:eastAsia="zh-CN"/>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W</w:t>
                  </w:r>
                  <w:r>
                    <w:rPr>
                      <w:rFonts w:hint="eastAsia"/>
                      <w:sz w:val="21"/>
                      <w:szCs w:val="21"/>
                      <w:vertAlign w:val="subscript"/>
                      <w:lang w:val="en-US" w:eastAsia="zh-CN"/>
                    </w:rPr>
                    <w:t>1-2</w:t>
                  </w:r>
                  <w:r>
                    <w:rPr>
                      <w:rFonts w:hint="eastAsia"/>
                      <w:sz w:val="21"/>
                      <w:szCs w:val="21"/>
                      <w:vertAlign w:val="baseline"/>
                      <w:lang w:val="en-US" w:eastAsia="zh-CN"/>
                    </w:rPr>
                    <w:t>超滤反冲洗废水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COD、SS、</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sz w:val="21"/>
                      <w:szCs w:val="21"/>
                    </w:rPr>
                    <w:t>、BOD</w:t>
                  </w:r>
                  <w:r>
                    <w:rPr>
                      <w:rFonts w:hint="eastAsia"/>
                      <w:sz w:val="21"/>
                      <w:szCs w:val="21"/>
                      <w:vertAlign w:val="subscript"/>
                    </w:rPr>
                    <w:t>5</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反冲洗</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W</w:t>
                  </w:r>
                  <w:r>
                    <w:rPr>
                      <w:rFonts w:hint="eastAsia"/>
                      <w:sz w:val="21"/>
                      <w:szCs w:val="21"/>
                      <w:vertAlign w:val="subscript"/>
                      <w:lang w:val="en-US" w:eastAsia="zh-CN"/>
                    </w:rPr>
                    <w:t>1-3</w:t>
                  </w:r>
                  <w:r>
                    <w:rPr>
                      <w:rFonts w:hint="eastAsia"/>
                      <w:sz w:val="21"/>
                      <w:szCs w:val="21"/>
                      <w:lang w:val="en-US" w:eastAsia="zh-CN"/>
                    </w:rPr>
                    <w:t>超滤</w:t>
                  </w:r>
                </w:p>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浓水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COD、SS、</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sz w:val="21"/>
                      <w:szCs w:val="21"/>
                    </w:rPr>
                    <w:t>、BOD</w:t>
                  </w:r>
                  <w:r>
                    <w:rPr>
                      <w:rFonts w:hint="eastAsia"/>
                      <w:sz w:val="21"/>
                      <w:szCs w:val="21"/>
                      <w:vertAlign w:val="subscript"/>
                    </w:rPr>
                    <w:t>5</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超滤</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W</w:t>
                  </w:r>
                  <w:r>
                    <w:rPr>
                      <w:rFonts w:hint="eastAsia"/>
                      <w:sz w:val="21"/>
                      <w:szCs w:val="21"/>
                      <w:vertAlign w:val="subscript"/>
                      <w:lang w:val="en-US" w:eastAsia="zh-CN"/>
                    </w:rPr>
                    <w:t>1-4</w:t>
                  </w:r>
                  <w:r>
                    <w:rPr>
                      <w:rFonts w:hint="eastAsia"/>
                      <w:sz w:val="21"/>
                      <w:szCs w:val="21"/>
                      <w:lang w:val="en-US" w:eastAsia="zh-CN"/>
                    </w:rPr>
                    <w:t>RO膜</w:t>
                  </w:r>
                </w:p>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浓</w:t>
                  </w:r>
                  <w:r>
                    <w:rPr>
                      <w:rFonts w:hint="eastAsia"/>
                      <w:sz w:val="21"/>
                      <w:szCs w:val="21"/>
                      <w:vertAlign w:val="baseline"/>
                      <w:lang w:val="en-US" w:eastAsia="zh-CN"/>
                    </w:rPr>
                    <w:t>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COD、SS、</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sz w:val="21"/>
                      <w:szCs w:val="21"/>
                    </w:rPr>
                    <w:t>、BOD</w:t>
                  </w:r>
                  <w:r>
                    <w:rPr>
                      <w:rFonts w:hint="eastAsia"/>
                      <w:sz w:val="21"/>
                      <w:szCs w:val="21"/>
                      <w:vertAlign w:val="subscript"/>
                    </w:rPr>
                    <w:t>5</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反渗透</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157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W</w:t>
                  </w:r>
                  <w:r>
                    <w:rPr>
                      <w:rFonts w:hint="eastAsia"/>
                      <w:sz w:val="21"/>
                      <w:szCs w:val="21"/>
                      <w:vertAlign w:val="subscript"/>
                      <w:lang w:val="en-US" w:eastAsia="zh-CN"/>
                    </w:rPr>
                    <w:t>1-5</w:t>
                  </w:r>
                  <w:r>
                    <w:rPr>
                      <w:rFonts w:hint="eastAsia"/>
                      <w:sz w:val="21"/>
                      <w:szCs w:val="21"/>
                      <w:lang w:val="en-US" w:eastAsia="zh-CN"/>
                    </w:rPr>
                    <w:t>RO</w:t>
                  </w:r>
                </w:p>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反冲洗废水</w:t>
                  </w:r>
                </w:p>
              </w:tc>
              <w:tc>
                <w:tcPr>
                  <w:tcW w:w="1939"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COD、SS、</w:t>
                  </w:r>
                </w:p>
                <w:p>
                  <w:pPr>
                    <w:keepNext w:val="0"/>
                    <w:keepLines w:val="0"/>
                    <w:pageBreakBefore w:val="0"/>
                    <w:widowControl w:val="0"/>
                    <w:kinsoku/>
                    <w:wordWrap/>
                    <w:overflowPunct/>
                    <w:topLinePunct w:val="0"/>
                    <w:bidi w:val="0"/>
                    <w:adjustRightInd w:val="0"/>
                    <w:snapToGrid w:val="0"/>
                    <w:jc w:val="center"/>
                    <w:rPr>
                      <w:rFonts w:hint="eastAsia"/>
                      <w:color w:val="000000"/>
                      <w:sz w:val="21"/>
                      <w:szCs w:val="18"/>
                    </w:rPr>
                  </w:pP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sz w:val="21"/>
                      <w:szCs w:val="21"/>
                    </w:rPr>
                    <w:t>、BOD</w:t>
                  </w:r>
                  <w:r>
                    <w:rPr>
                      <w:rFonts w:hint="eastAsia"/>
                      <w:sz w:val="21"/>
                      <w:szCs w:val="21"/>
                      <w:vertAlign w:val="subscript"/>
                    </w:rPr>
                    <w:t>5</w:t>
                  </w:r>
                </w:p>
              </w:tc>
              <w:tc>
                <w:tcPr>
                  <w:tcW w:w="1139"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反冲洗</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W</w:t>
                  </w:r>
                  <w:r>
                    <w:rPr>
                      <w:rFonts w:hint="eastAsia"/>
                      <w:sz w:val="21"/>
                      <w:szCs w:val="21"/>
                      <w:vertAlign w:val="subscript"/>
                      <w:lang w:val="en-US" w:eastAsia="zh-CN"/>
                    </w:rPr>
                    <w:t>2-1</w:t>
                  </w:r>
                  <w:r>
                    <w:rPr>
                      <w:rFonts w:hint="eastAsia"/>
                      <w:sz w:val="21"/>
                      <w:szCs w:val="21"/>
                      <w:vertAlign w:val="baseline"/>
                      <w:lang w:val="en-US" w:eastAsia="zh-CN"/>
                    </w:rPr>
                    <w:t>叠片过滤反冲洗废水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COD、SS、</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sz w:val="21"/>
                      <w:szCs w:val="21"/>
                    </w:rPr>
                    <w:t>、BOD</w:t>
                  </w:r>
                  <w:r>
                    <w:rPr>
                      <w:rFonts w:hint="eastAsia"/>
                      <w:sz w:val="21"/>
                      <w:szCs w:val="21"/>
                      <w:vertAlign w:val="subscript"/>
                    </w:rPr>
                    <w:t>5</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反冲洗</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W</w:t>
                  </w:r>
                  <w:r>
                    <w:rPr>
                      <w:rFonts w:hint="eastAsia"/>
                      <w:sz w:val="21"/>
                      <w:szCs w:val="21"/>
                      <w:vertAlign w:val="subscript"/>
                      <w:lang w:val="en-US" w:eastAsia="zh-CN"/>
                    </w:rPr>
                    <w:t>2-2</w:t>
                  </w:r>
                  <w:r>
                    <w:rPr>
                      <w:rFonts w:hint="eastAsia"/>
                      <w:sz w:val="21"/>
                      <w:szCs w:val="21"/>
                      <w:vertAlign w:val="baseline"/>
                      <w:lang w:val="en-US" w:eastAsia="zh-CN"/>
                    </w:rPr>
                    <w:t>超滤反冲洗废水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COD、SS、</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sz w:val="21"/>
                      <w:szCs w:val="21"/>
                    </w:rPr>
                    <w:t>、BOD</w:t>
                  </w:r>
                  <w:r>
                    <w:rPr>
                      <w:rFonts w:hint="eastAsia"/>
                      <w:sz w:val="21"/>
                      <w:szCs w:val="21"/>
                      <w:vertAlign w:val="subscript"/>
                    </w:rPr>
                    <w:t>5</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反冲洗</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W</w:t>
                  </w:r>
                  <w:r>
                    <w:rPr>
                      <w:rFonts w:hint="eastAsia"/>
                      <w:sz w:val="21"/>
                      <w:szCs w:val="21"/>
                      <w:vertAlign w:val="subscript"/>
                      <w:lang w:val="en-US" w:eastAsia="zh-CN"/>
                    </w:rPr>
                    <w:t>2-3</w:t>
                  </w:r>
                  <w:r>
                    <w:rPr>
                      <w:rFonts w:hint="eastAsia"/>
                      <w:sz w:val="21"/>
                      <w:szCs w:val="21"/>
                      <w:lang w:val="en-US" w:eastAsia="zh-CN"/>
                    </w:rPr>
                    <w:t>超滤</w:t>
                  </w:r>
                </w:p>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浓</w:t>
                  </w:r>
                  <w:r>
                    <w:rPr>
                      <w:rFonts w:hint="eastAsia"/>
                      <w:sz w:val="21"/>
                      <w:szCs w:val="21"/>
                      <w:vertAlign w:val="baseline"/>
                      <w:lang w:val="en-US" w:eastAsia="zh-CN"/>
                    </w:rPr>
                    <w:t>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COD、SS、</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sz w:val="21"/>
                      <w:szCs w:val="21"/>
                    </w:rPr>
                    <w:t>、BOD</w:t>
                  </w:r>
                  <w:r>
                    <w:rPr>
                      <w:rFonts w:hint="eastAsia"/>
                      <w:sz w:val="21"/>
                      <w:szCs w:val="21"/>
                      <w:vertAlign w:val="subscript"/>
                    </w:rPr>
                    <w:t>5</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超滤</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W</w:t>
                  </w:r>
                  <w:r>
                    <w:rPr>
                      <w:rFonts w:hint="eastAsia"/>
                      <w:sz w:val="21"/>
                      <w:szCs w:val="21"/>
                      <w:vertAlign w:val="subscript"/>
                      <w:lang w:val="en-US" w:eastAsia="zh-CN"/>
                    </w:rPr>
                    <w:t>2-4</w:t>
                  </w:r>
                  <w:r>
                    <w:rPr>
                      <w:rFonts w:hint="eastAsia"/>
                      <w:sz w:val="21"/>
                      <w:szCs w:val="21"/>
                      <w:lang w:val="en-US" w:eastAsia="zh-CN"/>
                    </w:rPr>
                    <w:t>RO膜</w:t>
                  </w:r>
                </w:p>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浓</w:t>
                  </w:r>
                  <w:r>
                    <w:rPr>
                      <w:rFonts w:hint="eastAsia"/>
                      <w:sz w:val="21"/>
                      <w:szCs w:val="21"/>
                      <w:vertAlign w:val="baseline"/>
                      <w:lang w:val="en-US" w:eastAsia="zh-CN"/>
                    </w:rPr>
                    <w:t>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COD、SS、</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sz w:val="21"/>
                      <w:szCs w:val="21"/>
                    </w:rPr>
                    <w:t>、BOD</w:t>
                  </w:r>
                  <w:r>
                    <w:rPr>
                      <w:rFonts w:hint="eastAsia"/>
                      <w:sz w:val="21"/>
                      <w:szCs w:val="21"/>
                      <w:vertAlign w:val="subscript"/>
                    </w:rPr>
                    <w:t>5</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反渗透</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1571"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W</w:t>
                  </w:r>
                  <w:r>
                    <w:rPr>
                      <w:rFonts w:hint="eastAsia"/>
                      <w:sz w:val="21"/>
                      <w:szCs w:val="21"/>
                      <w:vertAlign w:val="subscript"/>
                      <w:lang w:val="en-US" w:eastAsia="zh-CN"/>
                    </w:rPr>
                    <w:t>2-5</w:t>
                  </w:r>
                  <w:r>
                    <w:rPr>
                      <w:rFonts w:hint="eastAsia"/>
                      <w:sz w:val="21"/>
                      <w:szCs w:val="21"/>
                      <w:lang w:val="en-US" w:eastAsia="zh-CN"/>
                    </w:rPr>
                    <w:t>RO膜</w:t>
                  </w:r>
                </w:p>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反冲洗废水</w:t>
                  </w:r>
                </w:p>
              </w:tc>
              <w:tc>
                <w:tcPr>
                  <w:tcW w:w="1939"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COD、SS、</w:t>
                  </w:r>
                </w:p>
                <w:p>
                  <w:pPr>
                    <w:keepNext w:val="0"/>
                    <w:keepLines w:val="0"/>
                    <w:pageBreakBefore w:val="0"/>
                    <w:widowControl w:val="0"/>
                    <w:kinsoku/>
                    <w:wordWrap/>
                    <w:overflowPunct/>
                    <w:topLinePunct w:val="0"/>
                    <w:bidi w:val="0"/>
                    <w:adjustRightInd w:val="0"/>
                    <w:snapToGrid w:val="0"/>
                    <w:jc w:val="center"/>
                    <w:rPr>
                      <w:rFonts w:hint="eastAsia"/>
                      <w:color w:val="000000"/>
                      <w:sz w:val="21"/>
                      <w:szCs w:val="18"/>
                    </w:rPr>
                  </w:pP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sz w:val="21"/>
                      <w:szCs w:val="21"/>
                    </w:rPr>
                    <w:t>、BOD</w:t>
                  </w:r>
                  <w:r>
                    <w:rPr>
                      <w:rFonts w:hint="eastAsia"/>
                      <w:sz w:val="21"/>
                      <w:szCs w:val="21"/>
                      <w:vertAlign w:val="subscript"/>
                    </w:rPr>
                    <w:t>5</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反冲洗</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设备清洗废水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SS、</w:t>
                  </w:r>
                  <w:r>
                    <w:rPr>
                      <w:rFonts w:hint="eastAsia"/>
                      <w:sz w:val="21"/>
                      <w:szCs w:val="21"/>
                      <w:lang w:val="en-US" w:eastAsia="zh-CN"/>
                    </w:rPr>
                    <w:t>TN</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水处理生产线设备清洗</w:t>
                  </w:r>
                </w:p>
              </w:tc>
              <w:tc>
                <w:tcPr>
                  <w:tcW w:w="1749"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rPr>
                    <w:t>生活污水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w:t>
                  </w:r>
                  <w:r>
                    <w:rPr>
                      <w:rFonts w:hint="eastAsia"/>
                      <w:sz w:val="21"/>
                      <w:szCs w:val="21"/>
                    </w:rPr>
                    <w:t>BOD</w:t>
                  </w:r>
                  <w:r>
                    <w:rPr>
                      <w:rFonts w:hint="eastAsia"/>
                      <w:sz w:val="21"/>
                      <w:szCs w:val="21"/>
                      <w:vertAlign w:val="subscript"/>
                    </w:rPr>
                    <w:t>5</w:t>
                  </w:r>
                  <w:r>
                    <w:rPr>
                      <w:rFonts w:hint="eastAsia"/>
                      <w:sz w:val="21"/>
                      <w:szCs w:val="21"/>
                    </w:rPr>
                    <w:t>、</w:t>
                  </w:r>
                  <w:r>
                    <w:rPr>
                      <w:rFonts w:hint="eastAsia"/>
                      <w:sz w:val="21"/>
                      <w:szCs w:val="21"/>
                      <w:lang w:val="en-US" w:eastAsia="zh-CN"/>
                    </w:rPr>
                    <w:t>TN</w:t>
                  </w:r>
                  <w:r>
                    <w:rPr>
                      <w:rFonts w:hint="eastAsia"/>
                      <w:sz w:val="21"/>
                      <w:szCs w:val="21"/>
                    </w:rPr>
                    <w:t>、</w:t>
                  </w:r>
                  <w:r>
                    <w:rPr>
                      <w:rFonts w:hint="eastAsia"/>
                      <w:sz w:val="21"/>
                      <w:szCs w:val="21"/>
                      <w:lang w:val="en-US" w:eastAsia="zh-CN"/>
                    </w:rPr>
                    <w:t>TP</w:t>
                  </w:r>
                  <w:r>
                    <w:rPr>
                      <w:sz w:val="21"/>
                      <w:szCs w:val="21"/>
                    </w:rPr>
                    <w:t>、SS、</w:t>
                  </w: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员工</w:t>
                  </w:r>
                </w:p>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rPr>
                    <w:t>生活</w:t>
                  </w:r>
                </w:p>
              </w:tc>
              <w:tc>
                <w:tcPr>
                  <w:tcW w:w="174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由市政</w:t>
                  </w:r>
                  <w:r>
                    <w:rPr>
                      <w:rFonts w:hint="eastAsia"/>
                      <w:sz w:val="21"/>
                      <w:szCs w:val="21"/>
                      <w:lang w:val="en-US" w:eastAsia="zh-CN"/>
                    </w:rPr>
                    <w:t>污水</w:t>
                  </w:r>
                  <w:r>
                    <w:rPr>
                      <w:rFonts w:hint="eastAsia"/>
                      <w:sz w:val="21"/>
                      <w:szCs w:val="21"/>
                    </w:rPr>
                    <w:t>管网排入园区污水处理厂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食堂废水</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COD、</w:t>
                  </w:r>
                  <w:r>
                    <w:rPr>
                      <w:rFonts w:hint="eastAsia"/>
                      <w:sz w:val="21"/>
                      <w:szCs w:val="21"/>
                    </w:rPr>
                    <w:t>BOD</w:t>
                  </w:r>
                  <w:r>
                    <w:rPr>
                      <w:rFonts w:hint="eastAsia"/>
                      <w:sz w:val="21"/>
                      <w:szCs w:val="21"/>
                      <w:vertAlign w:val="subscript"/>
                    </w:rPr>
                    <w:t>5</w:t>
                  </w:r>
                  <w:r>
                    <w:rPr>
                      <w:rFonts w:hint="eastAsia"/>
                      <w:sz w:val="21"/>
                      <w:szCs w:val="21"/>
                    </w:rPr>
                    <w:t>、</w:t>
                  </w:r>
                  <w:r>
                    <w:rPr>
                      <w:rFonts w:hint="eastAsia"/>
                      <w:sz w:val="21"/>
                      <w:szCs w:val="21"/>
                      <w:lang w:val="en-US" w:eastAsia="zh-CN"/>
                    </w:rPr>
                    <w:t>TN</w:t>
                  </w:r>
                  <w:r>
                    <w:rPr>
                      <w:rFonts w:hint="eastAsia"/>
                      <w:sz w:val="21"/>
                      <w:szCs w:val="21"/>
                    </w:rPr>
                    <w:t>、</w:t>
                  </w:r>
                  <w:r>
                    <w:rPr>
                      <w:rFonts w:hint="eastAsia"/>
                      <w:sz w:val="21"/>
                      <w:szCs w:val="21"/>
                      <w:lang w:val="en-US" w:eastAsia="zh-CN"/>
                    </w:rPr>
                    <w:t>TP</w:t>
                  </w:r>
                  <w:r>
                    <w:rPr>
                      <w:sz w:val="21"/>
                      <w:szCs w:val="21"/>
                    </w:rPr>
                    <w:t>、SS、</w:t>
                  </w:r>
                  <w:r>
                    <w:rPr>
                      <w:rFonts w:hint="eastAsia"/>
                      <w:color w:val="000000"/>
                      <w:sz w:val="21"/>
                      <w:szCs w:val="18"/>
                    </w:rPr>
                    <w:t>NH</w:t>
                  </w:r>
                  <w:r>
                    <w:rPr>
                      <w:rFonts w:hint="eastAsia"/>
                      <w:color w:val="000000"/>
                      <w:sz w:val="21"/>
                      <w:szCs w:val="18"/>
                      <w:vertAlign w:val="subscript"/>
                    </w:rPr>
                    <w:t>3</w:t>
                  </w:r>
                  <w:r>
                    <w:rPr>
                      <w:rFonts w:hint="eastAsia"/>
                      <w:color w:val="000000"/>
                      <w:sz w:val="21"/>
                      <w:szCs w:val="18"/>
                    </w:rPr>
                    <w:t>-N</w:t>
                  </w:r>
                  <w:r>
                    <w:rPr>
                      <w:rFonts w:hint="eastAsia"/>
                      <w:color w:val="000000"/>
                      <w:sz w:val="21"/>
                      <w:szCs w:val="18"/>
                      <w:lang w:eastAsia="zh-CN"/>
                    </w:rPr>
                    <w:t>、</w:t>
                  </w:r>
                  <w:r>
                    <w:rPr>
                      <w:rFonts w:hint="eastAsia"/>
                      <w:sz w:val="21"/>
                      <w:szCs w:val="21"/>
                    </w:rPr>
                    <w:t>动植物油</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eastAsia="zh-CN"/>
                    </w:rPr>
                  </w:pPr>
                  <w:r>
                    <w:rPr>
                      <w:rFonts w:hint="eastAsia"/>
                      <w:sz w:val="21"/>
                      <w:szCs w:val="21"/>
                      <w:lang w:val="en-US" w:eastAsia="zh-CN"/>
                    </w:rPr>
                    <w:t>餐饮服务</w:t>
                  </w:r>
                </w:p>
              </w:tc>
              <w:tc>
                <w:tcPr>
                  <w:tcW w:w="174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经</w:t>
                  </w:r>
                  <w:r>
                    <w:rPr>
                      <w:rFonts w:hint="eastAsia"/>
                      <w:sz w:val="21"/>
                      <w:szCs w:val="21"/>
                      <w:lang w:val="en-US" w:eastAsia="zh-CN"/>
                    </w:rPr>
                    <w:t>隔油</w:t>
                  </w:r>
                  <w:r>
                    <w:rPr>
                      <w:rFonts w:hint="eastAsia"/>
                      <w:sz w:val="21"/>
                      <w:szCs w:val="21"/>
                    </w:rPr>
                    <w:t>池处理后由市政</w:t>
                  </w:r>
                  <w:r>
                    <w:rPr>
                      <w:rFonts w:hint="eastAsia"/>
                      <w:sz w:val="21"/>
                      <w:szCs w:val="21"/>
                      <w:lang w:val="en-US" w:eastAsia="zh-CN"/>
                    </w:rPr>
                    <w:t>污水</w:t>
                  </w:r>
                  <w:r>
                    <w:rPr>
                      <w:rFonts w:hint="eastAsia"/>
                      <w:sz w:val="21"/>
                      <w:szCs w:val="21"/>
                    </w:rPr>
                    <w:t>管网排入园区污水处理厂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8" w:type="pct"/>
                <w:cantSplit/>
                <w:trHeight w:val="113" w:hRule="atLeast"/>
                <w:jc w:val="center"/>
              </w:trPr>
              <w:tc>
                <w:tcPr>
                  <w:tcW w:w="549"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噪声</w:t>
                  </w: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设备</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rPr>
                    <w:t>噪声</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等效连续A声级</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rPr>
                    <w:t>设备运行</w:t>
                  </w:r>
                </w:p>
              </w:tc>
              <w:tc>
                <w:tcPr>
                  <w:tcW w:w="174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合理布局、墙体隔声、</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rPr>
                    <w:t>加装消音器、减震垫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86"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both"/>
                    <w:rPr>
                      <w:rFonts w:hint="eastAsia"/>
                      <w:color w:val="000000"/>
                      <w:kern w:val="0"/>
                      <w:sz w:val="21"/>
                      <w:szCs w:val="21"/>
                    </w:rPr>
                  </w:pPr>
                  <w:r>
                    <w:rPr>
                      <w:rFonts w:hint="eastAsia"/>
                      <w:color w:val="000000"/>
                      <w:kern w:val="0"/>
                      <w:sz w:val="21"/>
                      <w:szCs w:val="21"/>
                    </w:rPr>
                    <w:t>固废</w:t>
                  </w:r>
                </w:p>
              </w:tc>
              <w:tc>
                <w:tcPr>
                  <w:tcW w:w="262"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rPr>
                    <w:t>一般固废</w:t>
                  </w: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vertAlign w:val="subscript"/>
                      <w:lang w:val="en-US" w:eastAsia="zh-CN"/>
                    </w:rPr>
                  </w:pPr>
                  <w:r>
                    <w:rPr>
                      <w:rFonts w:hint="eastAsia"/>
                      <w:sz w:val="21"/>
                      <w:szCs w:val="21"/>
                      <w:lang w:val="en-US" w:eastAsia="zh-CN"/>
                    </w:rPr>
                    <w:t>S</w:t>
                  </w:r>
                  <w:r>
                    <w:rPr>
                      <w:rFonts w:hint="eastAsia"/>
                      <w:sz w:val="21"/>
                      <w:szCs w:val="21"/>
                      <w:vertAlign w:val="subscript"/>
                      <w:lang w:val="en-US" w:eastAsia="zh-CN"/>
                    </w:rPr>
                    <w:t>1-1、2、4、6、7</w:t>
                  </w:r>
                </w:p>
                <w:p>
                  <w:pPr>
                    <w:keepNext w:val="0"/>
                    <w:keepLines w:val="0"/>
                    <w:pageBreakBefore w:val="0"/>
                    <w:widowControl w:val="0"/>
                    <w:kinsoku/>
                    <w:wordWrap/>
                    <w:overflowPunct/>
                    <w:topLinePunct w:val="0"/>
                    <w:bidi w:val="0"/>
                    <w:adjustRightInd w:val="0"/>
                    <w:snapToGrid w:val="0"/>
                    <w:jc w:val="center"/>
                    <w:rPr>
                      <w:rFonts w:hint="default"/>
                      <w:sz w:val="21"/>
                      <w:szCs w:val="21"/>
                      <w:lang w:val="en-US"/>
                    </w:rPr>
                  </w:pPr>
                  <w:r>
                    <w:rPr>
                      <w:rFonts w:hint="eastAsia"/>
                      <w:sz w:val="21"/>
                      <w:szCs w:val="21"/>
                      <w:vertAlign w:val="baseline"/>
                      <w:lang w:val="en-US" w:eastAsia="zh-CN"/>
                    </w:rPr>
                    <w:t>废过滤器</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lang w:val="en-US"/>
                    </w:rPr>
                  </w:pPr>
                  <w:r>
                    <w:rPr>
                      <w:rFonts w:hint="eastAsia"/>
                      <w:sz w:val="21"/>
                      <w:szCs w:val="21"/>
                      <w:lang w:val="en-US" w:eastAsia="zh-CN"/>
                    </w:rPr>
                    <w:t>废过滤器</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eastAsia="宋体"/>
                      <w:sz w:val="21"/>
                      <w:szCs w:val="21"/>
                      <w:lang w:val="en-US" w:eastAsia="zh-CN"/>
                    </w:rPr>
                  </w:pPr>
                  <w:r>
                    <w:rPr>
                      <w:rFonts w:hint="eastAsia"/>
                      <w:sz w:val="21"/>
                      <w:szCs w:val="21"/>
                      <w:lang w:val="en-US" w:eastAsia="zh-CN"/>
                    </w:rPr>
                    <w:t>过滤</w:t>
                  </w:r>
                </w:p>
              </w:tc>
              <w:tc>
                <w:tcPr>
                  <w:tcW w:w="1788" w:type="pct"/>
                  <w:gridSpan w:val="2"/>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rPr>
                    <w:t>暂存一般固废暂存间，定期</w:t>
                  </w:r>
                  <w:r>
                    <w:rPr>
                      <w:rFonts w:hint="eastAsia"/>
                      <w:sz w:val="21"/>
                      <w:szCs w:val="21"/>
                      <w:lang w:val="en-US" w:eastAsia="zh-CN"/>
                    </w:rPr>
                    <w:t>由供应厂家进行回收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both"/>
                    <w:rPr>
                      <w:rFonts w:hint="eastAsia"/>
                      <w:color w:val="000000"/>
                      <w:kern w:val="0"/>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vertAlign w:val="baseline"/>
                      <w:lang w:val="en-US" w:eastAsia="zh-CN"/>
                    </w:rPr>
                  </w:pPr>
                  <w:r>
                    <w:rPr>
                      <w:rFonts w:hint="eastAsia"/>
                      <w:sz w:val="21"/>
                      <w:szCs w:val="21"/>
                      <w:lang w:val="en-US" w:eastAsia="zh-CN"/>
                    </w:rPr>
                    <w:t>S</w:t>
                  </w:r>
                  <w:r>
                    <w:rPr>
                      <w:rFonts w:hint="eastAsia"/>
                      <w:sz w:val="21"/>
                      <w:szCs w:val="21"/>
                      <w:vertAlign w:val="subscript"/>
                      <w:lang w:val="en-US" w:eastAsia="zh-CN"/>
                    </w:rPr>
                    <w:t>1-3</w:t>
                  </w:r>
                  <w:r>
                    <w:rPr>
                      <w:rFonts w:hint="eastAsia"/>
                      <w:sz w:val="21"/>
                      <w:szCs w:val="21"/>
                      <w:vertAlign w:val="baseline"/>
                      <w:lang w:val="en-US" w:eastAsia="zh-CN"/>
                    </w:rPr>
                    <w:t>废活性炭</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vertAlign w:val="baseline"/>
                      <w:lang w:val="en-US" w:eastAsia="zh-CN"/>
                    </w:rPr>
                    <w:t>废活性炭</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过滤</w:t>
                  </w:r>
                </w:p>
              </w:tc>
              <w:tc>
                <w:tcPr>
                  <w:tcW w:w="1788"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both"/>
                    <w:rPr>
                      <w:rFonts w:hint="eastAsia"/>
                      <w:color w:val="000000"/>
                      <w:kern w:val="0"/>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vertAlign w:val="baseline"/>
                      <w:lang w:val="en-US" w:eastAsia="zh-CN"/>
                    </w:rPr>
                  </w:pPr>
                  <w:r>
                    <w:rPr>
                      <w:rFonts w:hint="eastAsia"/>
                      <w:sz w:val="21"/>
                      <w:szCs w:val="21"/>
                      <w:lang w:val="en-US" w:eastAsia="zh-CN"/>
                    </w:rPr>
                    <w:t>S</w:t>
                  </w:r>
                  <w:r>
                    <w:rPr>
                      <w:rFonts w:hint="eastAsia"/>
                      <w:sz w:val="21"/>
                      <w:szCs w:val="21"/>
                      <w:vertAlign w:val="subscript"/>
                      <w:lang w:val="en-US" w:eastAsia="zh-CN"/>
                    </w:rPr>
                    <w:t>1-5</w:t>
                  </w:r>
                  <w:r>
                    <w:rPr>
                      <w:rFonts w:hint="eastAsia"/>
                      <w:sz w:val="21"/>
                      <w:szCs w:val="21"/>
                      <w:vertAlign w:val="baseline"/>
                      <w:lang w:val="en-US" w:eastAsia="zh-CN"/>
                    </w:rPr>
                    <w:t>废</w:t>
                  </w:r>
                </w:p>
                <w:p>
                  <w:pPr>
                    <w:keepNext w:val="0"/>
                    <w:keepLines w:val="0"/>
                    <w:pageBreakBefore w:val="0"/>
                    <w:widowControl w:val="0"/>
                    <w:kinsoku/>
                    <w:wordWrap/>
                    <w:overflowPunct/>
                    <w:topLinePunct w:val="0"/>
                    <w:bidi w:val="0"/>
                    <w:adjustRightInd w:val="0"/>
                    <w:snapToGrid w:val="0"/>
                    <w:jc w:val="center"/>
                    <w:rPr>
                      <w:rFonts w:hint="default"/>
                      <w:sz w:val="21"/>
                      <w:szCs w:val="21"/>
                      <w:vertAlign w:val="baseline"/>
                      <w:lang w:val="en-US" w:eastAsia="zh-CN"/>
                    </w:rPr>
                  </w:pPr>
                  <w:r>
                    <w:rPr>
                      <w:rFonts w:hint="eastAsia"/>
                      <w:sz w:val="21"/>
                      <w:szCs w:val="21"/>
                      <w:vertAlign w:val="baseline"/>
                      <w:lang w:val="en-US" w:eastAsia="zh-CN"/>
                    </w:rPr>
                    <w:t>反渗透膜</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vertAlign w:val="baseline"/>
                      <w:lang w:val="en-US" w:eastAsia="zh-CN"/>
                    </w:rPr>
                    <w:t>废反渗透膜</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过滤</w:t>
                  </w:r>
                </w:p>
              </w:tc>
              <w:tc>
                <w:tcPr>
                  <w:tcW w:w="1788"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vertAlign w:val="subscript"/>
                      <w:lang w:val="en-US" w:eastAsia="zh-CN"/>
                    </w:rPr>
                  </w:pPr>
                  <w:r>
                    <w:rPr>
                      <w:rFonts w:hint="eastAsia"/>
                      <w:sz w:val="21"/>
                      <w:szCs w:val="21"/>
                      <w:lang w:val="en-US" w:eastAsia="zh-CN"/>
                    </w:rPr>
                    <w:t>S</w:t>
                  </w:r>
                  <w:r>
                    <w:rPr>
                      <w:rFonts w:hint="eastAsia"/>
                      <w:sz w:val="21"/>
                      <w:szCs w:val="21"/>
                      <w:vertAlign w:val="subscript"/>
                      <w:lang w:val="en-US" w:eastAsia="zh-CN"/>
                    </w:rPr>
                    <w:t>2-1、2、4、6、7</w:t>
                  </w:r>
                </w:p>
                <w:p>
                  <w:pPr>
                    <w:keepNext w:val="0"/>
                    <w:keepLines w:val="0"/>
                    <w:pageBreakBefore w:val="0"/>
                    <w:widowControl w:val="0"/>
                    <w:kinsoku/>
                    <w:wordWrap/>
                    <w:overflowPunct/>
                    <w:topLinePunct w:val="0"/>
                    <w:bidi w:val="0"/>
                    <w:adjustRightInd w:val="0"/>
                    <w:snapToGrid w:val="0"/>
                    <w:jc w:val="center"/>
                    <w:rPr>
                      <w:rFonts w:hint="default"/>
                      <w:sz w:val="21"/>
                      <w:szCs w:val="21"/>
                      <w:lang w:val="en-US"/>
                    </w:rPr>
                  </w:pPr>
                  <w:r>
                    <w:rPr>
                      <w:rFonts w:hint="eastAsia"/>
                      <w:sz w:val="21"/>
                      <w:szCs w:val="21"/>
                      <w:vertAlign w:val="baseline"/>
                      <w:lang w:val="en-US" w:eastAsia="zh-CN"/>
                    </w:rPr>
                    <w:t>废过滤器</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lang w:val="en-US" w:eastAsia="zh-CN"/>
                    </w:rPr>
                    <w:t>废过滤器</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lang w:val="en-US" w:eastAsia="zh-CN"/>
                    </w:rPr>
                    <w:t>过滤</w:t>
                  </w:r>
                </w:p>
              </w:tc>
              <w:tc>
                <w:tcPr>
                  <w:tcW w:w="1788"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vertAlign w:val="baseline"/>
                      <w:lang w:val="en-US" w:eastAsia="zh-CN"/>
                    </w:rPr>
                  </w:pPr>
                  <w:r>
                    <w:rPr>
                      <w:rFonts w:hint="eastAsia"/>
                      <w:sz w:val="21"/>
                      <w:szCs w:val="21"/>
                      <w:lang w:val="en-US" w:eastAsia="zh-CN"/>
                    </w:rPr>
                    <w:t>S</w:t>
                  </w:r>
                  <w:r>
                    <w:rPr>
                      <w:rFonts w:hint="eastAsia"/>
                      <w:sz w:val="21"/>
                      <w:szCs w:val="21"/>
                      <w:vertAlign w:val="subscript"/>
                      <w:lang w:val="en-US" w:eastAsia="zh-CN"/>
                    </w:rPr>
                    <w:t>2-3</w:t>
                  </w:r>
                  <w:r>
                    <w:rPr>
                      <w:rFonts w:hint="eastAsia"/>
                      <w:sz w:val="21"/>
                      <w:szCs w:val="21"/>
                      <w:vertAlign w:val="baseline"/>
                      <w:lang w:val="en-US" w:eastAsia="zh-CN"/>
                    </w:rPr>
                    <w:t>废活性炭</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vertAlign w:val="baseline"/>
                      <w:lang w:val="en-US" w:eastAsia="zh-CN"/>
                    </w:rPr>
                    <w:t>废活性炭</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过滤</w:t>
                  </w:r>
                </w:p>
              </w:tc>
              <w:tc>
                <w:tcPr>
                  <w:tcW w:w="1788"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vertAlign w:val="baseline"/>
                      <w:lang w:val="en-US" w:eastAsia="zh-CN"/>
                    </w:rPr>
                  </w:pPr>
                  <w:r>
                    <w:rPr>
                      <w:rFonts w:hint="eastAsia"/>
                      <w:sz w:val="21"/>
                      <w:szCs w:val="21"/>
                      <w:lang w:val="en-US" w:eastAsia="zh-CN"/>
                    </w:rPr>
                    <w:t>S</w:t>
                  </w:r>
                  <w:r>
                    <w:rPr>
                      <w:rFonts w:hint="eastAsia"/>
                      <w:sz w:val="21"/>
                      <w:szCs w:val="21"/>
                      <w:vertAlign w:val="subscript"/>
                      <w:lang w:val="en-US" w:eastAsia="zh-CN"/>
                    </w:rPr>
                    <w:t>2-5</w:t>
                  </w:r>
                  <w:r>
                    <w:rPr>
                      <w:rFonts w:hint="eastAsia"/>
                      <w:sz w:val="21"/>
                      <w:szCs w:val="21"/>
                      <w:vertAlign w:val="baseline"/>
                      <w:lang w:val="en-US" w:eastAsia="zh-CN"/>
                    </w:rPr>
                    <w:t>废</w:t>
                  </w:r>
                </w:p>
                <w:p>
                  <w:pPr>
                    <w:keepNext w:val="0"/>
                    <w:keepLines w:val="0"/>
                    <w:pageBreakBefore w:val="0"/>
                    <w:widowControl w:val="0"/>
                    <w:kinsoku/>
                    <w:wordWrap/>
                    <w:overflowPunct/>
                    <w:topLinePunct w:val="0"/>
                    <w:bidi w:val="0"/>
                    <w:adjustRightInd w:val="0"/>
                    <w:snapToGrid w:val="0"/>
                    <w:jc w:val="center"/>
                    <w:rPr>
                      <w:rFonts w:hint="eastAsia"/>
                      <w:sz w:val="21"/>
                      <w:szCs w:val="21"/>
                      <w:vertAlign w:val="baseline"/>
                      <w:lang w:val="en-US" w:eastAsia="zh-CN"/>
                    </w:rPr>
                  </w:pPr>
                  <w:r>
                    <w:rPr>
                      <w:rFonts w:hint="eastAsia"/>
                      <w:sz w:val="21"/>
                      <w:szCs w:val="21"/>
                      <w:vertAlign w:val="baseline"/>
                      <w:lang w:val="en-US" w:eastAsia="zh-CN"/>
                    </w:rPr>
                    <w:t>反渗透膜</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vertAlign w:val="baseline"/>
                      <w:lang w:val="en-US" w:eastAsia="zh-CN"/>
                    </w:rPr>
                    <w:t>废反渗透膜</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过滤</w:t>
                  </w:r>
                </w:p>
              </w:tc>
              <w:tc>
                <w:tcPr>
                  <w:tcW w:w="1788"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sz w:val="21"/>
                      <w:szCs w:val="21"/>
                      <w:vertAlign w:val="subscript"/>
                      <w:lang w:val="en-US" w:eastAsia="zh-CN"/>
                    </w:rPr>
                  </w:pPr>
                  <w:r>
                    <w:rPr>
                      <w:rFonts w:hint="eastAsia"/>
                      <w:sz w:val="21"/>
                      <w:szCs w:val="21"/>
                      <w:lang w:val="en-US" w:eastAsia="zh-CN"/>
                    </w:rPr>
                    <w:t>S</w:t>
                  </w:r>
                  <w:r>
                    <w:rPr>
                      <w:rFonts w:hint="eastAsia"/>
                      <w:sz w:val="21"/>
                      <w:szCs w:val="21"/>
                      <w:vertAlign w:val="subscript"/>
                      <w:lang w:val="en-US" w:eastAsia="zh-CN"/>
                    </w:rPr>
                    <w:t>3-1</w:t>
                  </w:r>
                </w:p>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PET瓶坯</w:t>
                  </w:r>
                </w:p>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不合格品</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eastAsia="宋体"/>
                      <w:sz w:val="21"/>
                      <w:szCs w:val="21"/>
                      <w:lang w:val="en-US" w:eastAsia="zh-CN"/>
                    </w:rPr>
                  </w:pPr>
                  <w:r>
                    <w:rPr>
                      <w:rFonts w:hint="eastAsia"/>
                      <w:sz w:val="21"/>
                      <w:szCs w:val="21"/>
                      <w:lang w:val="en-US" w:eastAsia="zh-CN"/>
                    </w:rPr>
                    <w:t>塑料</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eastAsia="宋体"/>
                      <w:sz w:val="21"/>
                      <w:szCs w:val="21"/>
                      <w:lang w:val="en-US" w:eastAsia="zh-CN"/>
                    </w:rPr>
                  </w:pPr>
                  <w:r>
                    <w:rPr>
                      <w:rFonts w:hint="eastAsia"/>
                      <w:sz w:val="21"/>
                      <w:szCs w:val="21"/>
                    </w:rPr>
                    <w:t>检</w:t>
                  </w:r>
                  <w:r>
                    <w:rPr>
                      <w:rFonts w:hint="eastAsia"/>
                      <w:sz w:val="21"/>
                      <w:szCs w:val="21"/>
                      <w:lang w:val="en-US" w:eastAsia="zh-CN"/>
                    </w:rPr>
                    <w:t>查</w:t>
                  </w:r>
                </w:p>
              </w:tc>
              <w:tc>
                <w:tcPr>
                  <w:tcW w:w="1788"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rPr>
                    <w:t>暂存一般固废暂存间，定期</w:t>
                  </w:r>
                  <w:r>
                    <w:rPr>
                      <w:rFonts w:hint="eastAsia"/>
                      <w:sz w:val="21"/>
                      <w:szCs w:val="21"/>
                      <w:lang w:val="en-US" w:eastAsia="zh-CN"/>
                    </w:rPr>
                    <w:t>外售</w:t>
                  </w:r>
                </w:p>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lang w:val="en-US"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废包装</w:t>
                  </w:r>
                </w:p>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材料</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废包装</w:t>
                  </w:r>
                </w:p>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材料</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rPr>
                    <w:t>原辅料使用及产品包装</w:t>
                  </w:r>
                </w:p>
              </w:tc>
              <w:tc>
                <w:tcPr>
                  <w:tcW w:w="1788"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rPr>
                    <w:t>暂存一般固废暂存间，定期</w:t>
                  </w:r>
                  <w:r>
                    <w:rPr>
                      <w:rFonts w:hint="eastAsia"/>
                      <w:sz w:val="21"/>
                      <w:szCs w:val="21"/>
                      <w:lang w:val="en-US" w:eastAsia="zh-CN"/>
                    </w:rPr>
                    <w:t>外售</w:t>
                  </w:r>
                </w:p>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lang w:val="en-US"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化学品库废物</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水处理生产线清洗</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lang w:val="en-US" w:eastAsia="zh-CN"/>
                    </w:rPr>
                    <w:t>清洗剂</w:t>
                  </w:r>
                </w:p>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包装</w:t>
                  </w:r>
                </w:p>
              </w:tc>
              <w:tc>
                <w:tcPr>
                  <w:tcW w:w="1788"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lang w:val="en-US" w:eastAsia="zh-CN"/>
                    </w:rPr>
                  </w:pPr>
                  <w:r>
                    <w:rPr>
                      <w:rFonts w:hint="eastAsia"/>
                      <w:sz w:val="21"/>
                      <w:szCs w:val="21"/>
                    </w:rPr>
                    <w:t>暂存一般固废暂存间，定期</w:t>
                  </w:r>
                  <w:r>
                    <w:rPr>
                      <w:rFonts w:hint="eastAsia"/>
                      <w:sz w:val="21"/>
                      <w:szCs w:val="21"/>
                      <w:lang w:val="en-US" w:eastAsia="zh-CN"/>
                    </w:rPr>
                    <w:t>外售</w:t>
                  </w:r>
                </w:p>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lang w:val="en-US"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p>
              </w:tc>
              <w:tc>
                <w:tcPr>
                  <w:tcW w:w="262"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r>
                    <w:rPr>
                      <w:rFonts w:hint="eastAsia"/>
                      <w:color w:val="000000"/>
                      <w:kern w:val="0"/>
                      <w:sz w:val="21"/>
                      <w:szCs w:val="21"/>
                    </w:rPr>
                    <w:t>生活垃圾</w:t>
                  </w:r>
                </w:p>
              </w:tc>
              <w:tc>
                <w:tcPr>
                  <w:tcW w:w="89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rPr>
                      <w:color w:val="000000"/>
                      <w:kern w:val="0"/>
                      <w:sz w:val="21"/>
                      <w:szCs w:val="21"/>
                    </w:rPr>
                  </w:pPr>
                  <w:r>
                    <w:rPr>
                      <w:rFonts w:hint="eastAsia"/>
                      <w:color w:val="000000"/>
                      <w:kern w:val="0"/>
                      <w:sz w:val="21"/>
                      <w:szCs w:val="21"/>
                    </w:rPr>
                    <w:t>生活垃圾</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r>
                    <w:rPr>
                      <w:rFonts w:hint="eastAsia"/>
                      <w:color w:val="000000"/>
                      <w:kern w:val="0"/>
                      <w:sz w:val="21"/>
                      <w:szCs w:val="21"/>
                    </w:rPr>
                    <w:t>生活垃圾</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r>
                    <w:rPr>
                      <w:rFonts w:hint="eastAsia"/>
                      <w:color w:val="000000"/>
                      <w:kern w:val="0"/>
                      <w:sz w:val="21"/>
                      <w:szCs w:val="21"/>
                    </w:rPr>
                    <w:t>员工生活</w:t>
                  </w:r>
                </w:p>
              </w:tc>
              <w:tc>
                <w:tcPr>
                  <w:tcW w:w="1788"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r>
                    <w:rPr>
                      <w:rFonts w:hint="eastAsia"/>
                      <w:sz w:val="21"/>
                      <w:szCs w:val="21"/>
                      <w:lang w:val="en-US" w:eastAsia="zh-CN"/>
                    </w:rPr>
                    <w:t>收集后</w:t>
                  </w:r>
                  <w:r>
                    <w:rPr>
                      <w:rFonts w:hint="eastAsia"/>
                      <w:sz w:val="21"/>
                      <w:szCs w:val="21"/>
                    </w:rPr>
                    <w:t>交给环卫部门清运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210" w:firstLineChars="100"/>
                    <w:jc w:val="both"/>
                    <w:rPr>
                      <w:rFonts w:hint="eastAsia"/>
                      <w:color w:val="000000"/>
                      <w:kern w:val="0"/>
                      <w:sz w:val="21"/>
                      <w:szCs w:val="21"/>
                    </w:rPr>
                  </w:pPr>
                  <w:r>
                    <w:rPr>
                      <w:rFonts w:hint="eastAsia"/>
                      <w:sz w:val="21"/>
                      <w:szCs w:val="21"/>
                      <w:lang w:val="en-US" w:eastAsia="zh-CN"/>
                    </w:rPr>
                    <w:t>餐厨</w:t>
                  </w:r>
                  <w:r>
                    <w:rPr>
                      <w:rFonts w:hint="eastAsia"/>
                      <w:sz w:val="21"/>
                      <w:szCs w:val="21"/>
                    </w:rPr>
                    <w:t>垃圾</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color w:val="000000"/>
                      <w:kern w:val="0"/>
                      <w:sz w:val="21"/>
                      <w:szCs w:val="21"/>
                    </w:rPr>
                  </w:pPr>
                  <w:r>
                    <w:rPr>
                      <w:rFonts w:hint="eastAsia"/>
                      <w:sz w:val="21"/>
                      <w:szCs w:val="21"/>
                      <w:lang w:val="en-US" w:eastAsia="zh-CN"/>
                    </w:rPr>
                    <w:t>餐厨</w:t>
                  </w:r>
                  <w:r>
                    <w:rPr>
                      <w:rFonts w:hint="eastAsia"/>
                      <w:sz w:val="21"/>
                      <w:szCs w:val="21"/>
                    </w:rPr>
                    <w:t>垃圾</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color w:val="000000"/>
                      <w:kern w:val="0"/>
                      <w:sz w:val="21"/>
                      <w:szCs w:val="21"/>
                      <w:lang w:val="en-US"/>
                    </w:rPr>
                  </w:pPr>
                  <w:r>
                    <w:rPr>
                      <w:rFonts w:hint="eastAsia"/>
                      <w:sz w:val="21"/>
                      <w:szCs w:val="21"/>
                      <w:lang w:val="en-US" w:eastAsia="zh-CN"/>
                    </w:rPr>
                    <w:t>员工餐饮</w:t>
                  </w:r>
                </w:p>
              </w:tc>
              <w:tc>
                <w:tcPr>
                  <w:tcW w:w="1788"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lang w:val="en-US" w:eastAsia="zh-CN"/>
                    </w:rPr>
                    <w:t>收集后</w:t>
                  </w:r>
                  <w:r>
                    <w:rPr>
                      <w:rFonts w:hint="eastAsia"/>
                      <w:sz w:val="21"/>
                      <w:szCs w:val="21"/>
                    </w:rPr>
                    <w:t>交给环卫部门清运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p>
              </w:tc>
              <w:tc>
                <w:tcPr>
                  <w:tcW w:w="262"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color w:val="000000"/>
                      <w:kern w:val="0"/>
                      <w:sz w:val="21"/>
                      <w:szCs w:val="21"/>
                    </w:rPr>
                  </w:pPr>
                  <w:r>
                    <w:rPr>
                      <w:rFonts w:hint="eastAsia"/>
                      <w:color w:val="000000"/>
                      <w:kern w:val="0"/>
                      <w:sz w:val="21"/>
                      <w:szCs w:val="21"/>
                    </w:rPr>
                    <w:t>危废</w:t>
                  </w: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rPr>
                    <w:t>废</w:t>
                  </w:r>
                  <w:r>
                    <w:rPr>
                      <w:rFonts w:hint="eastAsia"/>
                      <w:sz w:val="21"/>
                      <w:szCs w:val="21"/>
                      <w:lang w:val="en-US" w:eastAsia="zh-CN"/>
                    </w:rPr>
                    <w:t>矿物</w:t>
                  </w:r>
                  <w:r>
                    <w:rPr>
                      <w:rFonts w:hint="eastAsia"/>
                      <w:sz w:val="21"/>
                      <w:szCs w:val="21"/>
                    </w:rPr>
                    <w:t>油</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rPr>
                    <w:t>废</w:t>
                  </w:r>
                  <w:r>
                    <w:rPr>
                      <w:rFonts w:hint="eastAsia"/>
                      <w:sz w:val="21"/>
                      <w:szCs w:val="21"/>
                      <w:lang w:val="en-US" w:eastAsia="zh-CN"/>
                    </w:rPr>
                    <w:t>矿物</w:t>
                  </w:r>
                  <w:r>
                    <w:rPr>
                      <w:rFonts w:hint="eastAsia"/>
                      <w:sz w:val="21"/>
                      <w:szCs w:val="21"/>
                    </w:rPr>
                    <w:t>油</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rPr>
                    <w:t>设备保养</w:t>
                  </w:r>
                </w:p>
              </w:tc>
              <w:tc>
                <w:tcPr>
                  <w:tcW w:w="1788"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rFonts w:hint="eastAsia"/>
                      <w:sz w:val="21"/>
                      <w:szCs w:val="21"/>
                    </w:rPr>
                    <w:t>暂存危废暂存间，交由有资质单位处理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color w:val="000000"/>
                      <w:kern w:val="0"/>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eastAsia="宋体"/>
                      <w:sz w:val="21"/>
                      <w:szCs w:val="21"/>
                      <w:lang w:val="en-US" w:eastAsia="zh-CN"/>
                    </w:rPr>
                  </w:pPr>
                  <w:r>
                    <w:rPr>
                      <w:rFonts w:hint="eastAsia"/>
                      <w:sz w:val="21"/>
                      <w:szCs w:val="21"/>
                    </w:rPr>
                    <w:t>废</w:t>
                  </w:r>
                  <w:r>
                    <w:rPr>
                      <w:rFonts w:hint="eastAsia"/>
                      <w:sz w:val="21"/>
                      <w:szCs w:val="21"/>
                      <w:lang w:val="en-US" w:eastAsia="zh-CN"/>
                    </w:rPr>
                    <w:t>矿物</w:t>
                  </w:r>
                  <w:r>
                    <w:rPr>
                      <w:rFonts w:hint="eastAsia"/>
                      <w:sz w:val="21"/>
                      <w:szCs w:val="21"/>
                    </w:rPr>
                    <w:t>油</w:t>
                  </w:r>
                  <w:r>
                    <w:rPr>
                      <w:rFonts w:hint="eastAsia"/>
                      <w:sz w:val="21"/>
                      <w:szCs w:val="21"/>
                      <w:lang w:val="en-US" w:eastAsia="zh-CN"/>
                    </w:rPr>
                    <w:t>桶</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废</w:t>
                  </w:r>
                  <w:r>
                    <w:rPr>
                      <w:rFonts w:hint="eastAsia"/>
                      <w:sz w:val="21"/>
                      <w:szCs w:val="21"/>
                      <w:lang w:val="en-US" w:eastAsia="zh-CN"/>
                    </w:rPr>
                    <w:t>矿物</w:t>
                  </w:r>
                  <w:r>
                    <w:rPr>
                      <w:rFonts w:hint="eastAsia"/>
                      <w:sz w:val="21"/>
                      <w:szCs w:val="21"/>
                    </w:rPr>
                    <w:t>油</w:t>
                  </w:r>
                  <w:r>
                    <w:rPr>
                      <w:rFonts w:hint="eastAsia"/>
                      <w:sz w:val="21"/>
                      <w:szCs w:val="21"/>
                      <w:lang w:val="en-US" w:eastAsia="zh-CN"/>
                    </w:rPr>
                    <w:t>桶</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rPr>
                    <w:t>设备保养</w:t>
                  </w:r>
                </w:p>
              </w:tc>
              <w:tc>
                <w:tcPr>
                  <w:tcW w:w="1788"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暂存危废暂存间，交由有资质单位处理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color w:val="000000"/>
                      <w:kern w:val="0"/>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废滤袋</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废滤袋</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废气处理</w:t>
                  </w:r>
                </w:p>
              </w:tc>
              <w:tc>
                <w:tcPr>
                  <w:tcW w:w="1788"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暂存危废暂存间，交由有资质单位处理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286"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color w:val="000000"/>
                      <w:kern w:val="0"/>
                      <w:sz w:val="21"/>
                      <w:szCs w:val="21"/>
                    </w:rPr>
                  </w:pPr>
                </w:p>
              </w:tc>
              <w:tc>
                <w:tcPr>
                  <w:tcW w:w="26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color w:val="000000"/>
                      <w:kern w:val="0"/>
                      <w:sz w:val="21"/>
                      <w:szCs w:val="21"/>
                    </w:rPr>
                  </w:pP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废活性炭</w:t>
                  </w:r>
                </w:p>
              </w:tc>
              <w:tc>
                <w:tcPr>
                  <w:tcW w:w="11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废活性炭</w:t>
                  </w:r>
                </w:p>
              </w:tc>
              <w:tc>
                <w:tcPr>
                  <w:tcW w:w="65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default" w:eastAsia="宋体"/>
                      <w:sz w:val="21"/>
                      <w:szCs w:val="21"/>
                      <w:lang w:val="en-US" w:eastAsia="zh-CN"/>
                    </w:rPr>
                  </w:pPr>
                  <w:r>
                    <w:rPr>
                      <w:rFonts w:hint="eastAsia"/>
                      <w:sz w:val="21"/>
                      <w:szCs w:val="21"/>
                      <w:lang w:val="en-US" w:eastAsia="zh-CN"/>
                    </w:rPr>
                    <w:t>废气处理</w:t>
                  </w:r>
                </w:p>
              </w:tc>
              <w:tc>
                <w:tcPr>
                  <w:tcW w:w="1788"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sz w:val="21"/>
                      <w:szCs w:val="21"/>
                    </w:rPr>
                  </w:pPr>
                  <w:r>
                    <w:rPr>
                      <w:rFonts w:hint="eastAsia"/>
                      <w:sz w:val="21"/>
                      <w:szCs w:val="21"/>
                    </w:rPr>
                    <w:t>暂存危废暂存间，交由有资质单位处理</w:t>
                  </w:r>
                </w:p>
              </w:tc>
            </w:tr>
          </w:tbl>
          <w:p>
            <w:pPr>
              <w:keepNext w:val="0"/>
              <w:keepLines w:val="0"/>
              <w:pageBreakBefore w:val="0"/>
              <w:widowControl w:val="0"/>
              <w:kinsoku/>
              <w:wordWrap/>
              <w:overflowPunct/>
              <w:bidi w:val="0"/>
              <w:adjustRightInd w:val="0"/>
              <w:snapToGrid w:val="0"/>
              <w:rPr>
                <w:rFonts w:ascii="宋体" w:hAnsi="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42" w:hRule="atLeast"/>
          <w:jc w:val="center"/>
        </w:trPr>
        <w:tc>
          <w:tcPr>
            <w:tcW w:w="457" w:type="pct"/>
            <w:noWrap w:val="0"/>
            <w:vAlign w:val="center"/>
          </w:tcPr>
          <w:p>
            <w:pPr>
              <w:keepNext w:val="0"/>
              <w:keepLines w:val="0"/>
              <w:pageBreakBefore w:val="0"/>
              <w:widowControl w:val="0"/>
              <w:kinsoku/>
              <w:wordWrap/>
              <w:overflowPunct/>
              <w:bidi w:val="0"/>
              <w:adjustRightInd w:val="0"/>
              <w:snapToGrid w:val="0"/>
              <w:jc w:val="center"/>
              <w:rPr>
                <w:b/>
                <w:bCs/>
              </w:rPr>
            </w:pPr>
            <w:r>
              <w:rPr>
                <w:rFonts w:hint="eastAsia"/>
                <w:b/>
                <w:bCs/>
              </w:rPr>
              <w:t>与项目有关的原有环境污染问题</w:t>
            </w:r>
          </w:p>
        </w:tc>
        <w:tc>
          <w:tcPr>
            <w:tcW w:w="4542"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b/>
                <w:color w:val="000000"/>
                <w:szCs w:val="21"/>
                <w:lang w:val="en-US" w:eastAsia="zh-CN"/>
              </w:rPr>
            </w:pPr>
            <w:r>
              <w:rPr>
                <w:rFonts w:hint="eastAsia"/>
                <w:b/>
                <w:color w:val="000000"/>
                <w:szCs w:val="21"/>
                <w:lang w:val="en-US" w:eastAsia="zh-CN"/>
              </w:rPr>
              <w:t>1、现有工程概况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5" w:firstLineChars="0"/>
              <w:textAlignment w:val="auto"/>
              <w:rPr>
                <w:rFonts w:hint="eastAsia" w:eastAsia="宋体"/>
                <w:color w:val="4874CB" w:themeColor="accent1"/>
                <w:lang w:val="en-US" w:eastAsia="zh-CN"/>
                <w14:textFill>
                  <w14:solidFill>
                    <w14:schemeClr w14:val="accent1"/>
                  </w14:solidFill>
                </w14:textFill>
              </w:rPr>
            </w:pPr>
            <w:r>
              <w:t>今麦郎饮品（淮北）有限公司</w:t>
            </w:r>
            <w:r>
              <w:rPr>
                <w:rFonts w:hint="eastAsia"/>
                <w:color w:val="auto"/>
                <w:sz w:val="24"/>
                <w:szCs w:val="24"/>
                <w:lang w:val="en-US" w:eastAsia="zh-CN"/>
              </w:rPr>
              <w:t>现有工程设置2条软化纯净水生产线以及2条PET瓶坯生产线，布置注塑机、吹瓶机、水处理系统等设备。具备年产6</w:t>
            </w:r>
            <w:r>
              <w:rPr>
                <w:rFonts w:hint="eastAsia"/>
                <w:lang w:val="en-US" w:eastAsia="zh-CN"/>
              </w:rPr>
              <w:t>6</w:t>
            </w:r>
            <w:r>
              <w:rPr>
                <w:rFonts w:hint="eastAsia"/>
              </w:rPr>
              <w:t>万吨软化纯净水</w:t>
            </w:r>
            <w:r>
              <w:rPr>
                <w:rFonts w:hint="eastAsia"/>
                <w:lang w:val="en-US" w:eastAsia="zh-CN"/>
              </w:rPr>
              <w:t>和12.31</w:t>
            </w:r>
            <w:r>
              <w:rPr>
                <w:rFonts w:hint="eastAsia"/>
              </w:rPr>
              <w:t>亿支PET瓶坯</w:t>
            </w:r>
            <w:r>
              <w:rPr>
                <w:rFonts w:hint="eastAsia"/>
                <w:lang w:val="en-US" w:eastAsia="zh-CN"/>
              </w:rPr>
              <w:t>的生产能力。</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color w:val="000000"/>
                <w:szCs w:val="21"/>
              </w:rPr>
            </w:pPr>
            <w:r>
              <w:rPr>
                <w:rFonts w:hint="eastAsia"/>
                <w:b/>
                <w:color w:val="000000"/>
                <w:szCs w:val="21"/>
                <w:lang w:val="en-US" w:eastAsia="zh-CN"/>
              </w:rPr>
              <w:t>2</w:t>
            </w:r>
            <w:r>
              <w:rPr>
                <w:rFonts w:hint="eastAsia"/>
                <w:b/>
                <w:color w:val="000000"/>
                <w:szCs w:val="21"/>
              </w:rPr>
              <w:t>、</w:t>
            </w:r>
            <w:r>
              <w:rPr>
                <w:rFonts w:hint="eastAsia"/>
                <w:b/>
                <w:color w:val="000000"/>
                <w:szCs w:val="21"/>
                <w:lang w:val="en-US" w:eastAsia="zh-CN"/>
              </w:rPr>
              <w:t>现有工程</w:t>
            </w:r>
            <w:r>
              <w:rPr>
                <w:rFonts w:hint="eastAsia"/>
                <w:b/>
                <w:color w:val="000000"/>
                <w:szCs w:val="21"/>
              </w:rPr>
              <w:t>环保手续行情况</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eastAsia="宋体"/>
                <w:lang w:val="en-US" w:eastAsia="zh-CN"/>
              </w:rPr>
            </w:pPr>
            <w:r>
              <w:t>今麦郎饮品（淮北）有限公司</w:t>
            </w:r>
            <w:r>
              <w:rPr>
                <w:rFonts w:hint="eastAsia"/>
                <w:lang w:val="en-US" w:eastAsia="zh-CN"/>
              </w:rPr>
              <w:t>主要环保手续见下表。</w:t>
            </w:r>
          </w:p>
          <w:p>
            <w:pPr>
              <w:keepNext w:val="0"/>
              <w:keepLines w:val="0"/>
              <w:pageBreakBefore w:val="0"/>
              <w:widowControl w:val="0"/>
              <w:tabs>
                <w:tab w:val="left" w:pos="0"/>
              </w:tabs>
              <w:kinsoku/>
              <w:wordWrap/>
              <w:overflowPunct/>
              <w:topLinePunct w:val="0"/>
              <w:bidi w:val="0"/>
              <w:adjustRightInd w:val="0"/>
              <w:snapToGrid w:val="0"/>
              <w:jc w:val="center"/>
              <w:rPr>
                <w:b/>
                <w:color w:val="000000"/>
              </w:rPr>
            </w:pPr>
            <w:r>
              <w:rPr>
                <w:rFonts w:cs="宋体"/>
                <w:b/>
                <w:color w:val="auto"/>
                <w:szCs w:val="21"/>
              </w:rPr>
              <w:t>表2-</w:t>
            </w:r>
            <w:r>
              <w:rPr>
                <w:rFonts w:hint="eastAsia" w:cs="宋体"/>
                <w:b/>
                <w:color w:val="auto"/>
                <w:szCs w:val="21"/>
                <w:lang w:val="en-US" w:eastAsia="zh-CN"/>
              </w:rPr>
              <w:t>9</w:t>
            </w:r>
            <w:r>
              <w:rPr>
                <w:rFonts w:cs="宋体"/>
                <w:b/>
                <w:color w:val="000000"/>
                <w:szCs w:val="21"/>
              </w:rPr>
              <w:t xml:space="preserve"> </w:t>
            </w:r>
            <w:r>
              <w:rPr>
                <w:rFonts w:hint="eastAsia" w:cs="宋体"/>
                <w:b/>
                <w:color w:val="000000"/>
                <w:szCs w:val="21"/>
                <w:lang w:val="en-US" w:eastAsia="zh-CN"/>
              </w:rPr>
              <w:t>现有工程主要环保手续汇总</w:t>
            </w:r>
            <w:r>
              <w:rPr>
                <w:b/>
                <w:color w:val="000000"/>
              </w:rPr>
              <w:t>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353"/>
              <w:gridCol w:w="1628"/>
              <w:gridCol w:w="1912"/>
              <w:gridCol w:w="1460"/>
              <w:gridCol w:w="10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项目名称</w:t>
                  </w:r>
                </w:p>
              </w:tc>
              <w:tc>
                <w:tcPr>
                  <w:tcW w:w="13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环评批复</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情况</w:t>
                  </w:r>
                </w:p>
              </w:tc>
              <w:tc>
                <w:tcPr>
                  <w:tcW w:w="1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排污许可证</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申领</w:t>
                  </w:r>
                </w:p>
              </w:tc>
              <w:tc>
                <w:tcPr>
                  <w:tcW w:w="19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应急预案</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备案</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验收情况</w:t>
                  </w: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eastAsia="宋体"/>
                      <w:b/>
                      <w:bCs/>
                      <w:sz w:val="21"/>
                      <w:szCs w:val="21"/>
                      <w:vertAlign w:val="baseline"/>
                      <w:lang w:val="en-US" w:eastAsia="zh-CN"/>
                    </w:rPr>
                  </w:pPr>
                  <w:r>
                    <w:rPr>
                      <w:rFonts w:hint="eastAsia"/>
                      <w:b/>
                      <w:bCs/>
                      <w:sz w:val="21"/>
                      <w:szCs w:val="21"/>
                      <w:vertAlign w:val="baseline"/>
                      <w:lang w:val="en-US" w:eastAsia="zh-CN"/>
                    </w:rPr>
                    <w:t>自行监测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vertAlign w:val="baseline"/>
                    </w:rPr>
                  </w:pPr>
                  <w:r>
                    <w:rPr>
                      <w:sz w:val="21"/>
                      <w:szCs w:val="21"/>
                    </w:rPr>
                    <w:t>今麦郎饮品（淮北）有限公司年产100万吨今麦郎饮品生产线建设项目</w:t>
                  </w:r>
                </w:p>
              </w:tc>
              <w:tc>
                <w:tcPr>
                  <w:tcW w:w="13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vertAlign w:val="baseline"/>
                    </w:rPr>
                  </w:pPr>
                  <w:r>
                    <w:rPr>
                      <w:rFonts w:ascii="Times New Roman" w:hAnsi="Times New Roman" w:eastAsia="宋体" w:cs="Times New Roman"/>
                      <w:kern w:val="2"/>
                      <w:sz w:val="21"/>
                      <w:szCs w:val="21"/>
                      <w:lang w:val="en-US" w:eastAsia="zh-CN" w:bidi="ar-SA"/>
                    </w:rPr>
                    <w:t>2019年8月14日淮北市相山区生态环境分局以相环行[2019]10号文对该项目予以批复。</w:t>
                  </w:r>
                </w:p>
              </w:tc>
              <w:tc>
                <w:tcPr>
                  <w:tcW w:w="1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证书编号：91340600MA2T</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TWFWX9001Z</w:t>
                  </w:r>
                </w:p>
              </w:tc>
              <w:tc>
                <w:tcPr>
                  <w:tcW w:w="19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备案编号：</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kern w:val="2"/>
                      <w:sz w:val="21"/>
                      <w:szCs w:val="21"/>
                      <w:lang w:val="en-US" w:eastAsia="zh-CN" w:bidi="ar-SA"/>
                    </w:rPr>
                  </w:pPr>
                  <w:r>
                    <w:rPr>
                      <w:rFonts w:hint="eastAsia" w:cs="Times New Roman"/>
                      <w:kern w:val="2"/>
                      <w:sz w:val="21"/>
                      <w:szCs w:val="21"/>
                      <w:lang w:val="en-US" w:eastAsia="zh-CN" w:bidi="ar-SA"/>
                    </w:rPr>
                    <w:t>340603-2023-011-L</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2021年1月7日</w:t>
                  </w:r>
                  <w:r>
                    <w:rPr>
                      <w:rFonts w:hint="eastAsia"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企业</w:t>
                  </w:r>
                  <w:r>
                    <w:rPr>
                      <w:rFonts w:ascii="Times New Roman" w:hAnsi="Times New Roman" w:eastAsia="宋体" w:cs="Times New Roman"/>
                      <w:kern w:val="2"/>
                      <w:sz w:val="21"/>
                      <w:szCs w:val="21"/>
                      <w:lang w:val="en-US" w:eastAsia="zh-CN" w:bidi="ar-SA"/>
                    </w:rPr>
                    <w:t>完</w:t>
                  </w:r>
                  <w:r>
                    <w:rPr>
                      <w:rFonts w:hint="eastAsia" w:ascii="Times New Roman" w:hAnsi="Times New Roman" w:eastAsia="宋体" w:cs="Times New Roman"/>
                      <w:kern w:val="2"/>
                      <w:sz w:val="21"/>
                      <w:szCs w:val="21"/>
                      <w:lang w:val="en-US" w:eastAsia="zh-CN" w:bidi="ar-SA"/>
                    </w:rPr>
                    <w:t>成</w:t>
                  </w:r>
                  <w:r>
                    <w:rPr>
                      <w:rFonts w:ascii="Times New Roman" w:hAnsi="Times New Roman" w:eastAsia="宋体" w:cs="Times New Roman"/>
                      <w:kern w:val="2"/>
                      <w:sz w:val="21"/>
                      <w:szCs w:val="21"/>
                      <w:lang w:val="en-US" w:eastAsia="zh-CN" w:bidi="ar-SA"/>
                    </w:rPr>
                    <w:t>一阶段</w:t>
                  </w:r>
                  <w:r>
                    <w:rPr>
                      <w:rFonts w:hint="eastAsia" w:cs="Times New Roman"/>
                      <w:kern w:val="2"/>
                      <w:sz w:val="21"/>
                      <w:szCs w:val="21"/>
                      <w:lang w:val="en-US" w:eastAsia="zh-CN" w:bidi="ar-SA"/>
                    </w:rPr>
                    <w:t>1#生产线年产33万吨软化纯净水的</w:t>
                  </w:r>
                  <w:r>
                    <w:rPr>
                      <w:rFonts w:ascii="Times New Roman" w:hAnsi="Times New Roman" w:eastAsia="宋体" w:cs="Times New Roman"/>
                      <w:kern w:val="2"/>
                      <w:sz w:val="21"/>
                      <w:szCs w:val="21"/>
                      <w:lang w:val="en-US" w:eastAsia="zh-CN" w:bidi="ar-SA"/>
                    </w:rPr>
                    <w:t>自主验收工作。</w:t>
                  </w:r>
                  <w:r>
                    <w:rPr>
                      <w:rFonts w:hint="eastAsia" w:ascii="Times New Roman" w:hAnsi="Times New Roman" w:eastAsia="宋体" w:cs="Times New Roman"/>
                      <w:kern w:val="2"/>
                      <w:sz w:val="21"/>
                      <w:szCs w:val="21"/>
                      <w:lang w:val="en-US" w:eastAsia="zh-CN" w:bidi="ar-SA"/>
                    </w:rPr>
                    <w:t>2021年11月</w:t>
                  </w:r>
                  <w:r>
                    <w:rPr>
                      <w:rFonts w:hint="eastAsia" w:cs="Times New Roman"/>
                      <w:kern w:val="2"/>
                      <w:sz w:val="21"/>
                      <w:szCs w:val="21"/>
                      <w:lang w:val="en-US" w:eastAsia="zh-CN" w:bidi="ar-SA"/>
                    </w:rPr>
                    <w:t>，企业完成后续建成2#生产线年产33万吨软化纯净水的</w:t>
                  </w:r>
                  <w:r>
                    <w:rPr>
                      <w:rFonts w:ascii="Times New Roman" w:hAnsi="Times New Roman" w:eastAsia="宋体" w:cs="Times New Roman"/>
                      <w:kern w:val="2"/>
                      <w:sz w:val="21"/>
                      <w:szCs w:val="21"/>
                      <w:lang w:val="en-US" w:eastAsia="zh-CN" w:bidi="ar-SA"/>
                    </w:rPr>
                    <w:t>自主验收工作。</w:t>
                  </w:r>
                </w:p>
              </w:tc>
              <w:tc>
                <w:tcPr>
                  <w:tcW w:w="10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auto"/>
                    <w:rPr>
                      <w:sz w:val="21"/>
                      <w:szCs w:val="21"/>
                    </w:rPr>
                  </w:pPr>
                  <w:r>
                    <w:rPr>
                      <w:rFonts w:hint="eastAsia" w:ascii="宋体" w:hAnsi="宋体" w:eastAsia="宋体" w:cs="宋体"/>
                      <w:color w:val="000000"/>
                      <w:kern w:val="0"/>
                      <w:sz w:val="21"/>
                      <w:szCs w:val="21"/>
                      <w:lang w:val="en-US" w:eastAsia="zh-CN" w:bidi="ar"/>
                    </w:rPr>
                    <w:t>企业已根据排污许可制定的自行检测方案，进行定期检测。</w:t>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sz w:val="21"/>
                      <w:szCs w:val="21"/>
                      <w:vertAlign w:val="baseline"/>
                    </w:rPr>
                  </w:pPr>
                </w:p>
              </w:tc>
            </w:tr>
          </w:tbl>
          <w:p>
            <w:pPr>
              <w:keepNext w:val="0"/>
              <w:keepLines w:val="0"/>
              <w:pageBreakBefore w:val="0"/>
              <w:widowControl w:val="0"/>
              <w:kinsoku/>
              <w:wordWrap/>
              <w:overflowPunct/>
              <w:topLinePunct w:val="0"/>
              <w:bidi w:val="0"/>
              <w:adjustRightInd w:val="0"/>
              <w:snapToGrid w:val="0"/>
              <w:spacing w:line="360" w:lineRule="auto"/>
              <w:rPr>
                <w:b/>
                <w:sz w:val="24"/>
              </w:rPr>
            </w:pPr>
            <w:r>
              <w:rPr>
                <w:rFonts w:hint="eastAsia"/>
                <w:b/>
                <w:sz w:val="24"/>
                <w:lang w:val="en-US" w:eastAsia="zh-CN"/>
              </w:rPr>
              <w:t>3</w:t>
            </w:r>
            <w:r>
              <w:rPr>
                <w:b/>
                <w:sz w:val="24"/>
              </w:rPr>
              <w:t>、现有工程污染</w:t>
            </w:r>
            <w:r>
              <w:rPr>
                <w:rFonts w:hint="eastAsia"/>
                <w:b/>
                <w:sz w:val="24"/>
                <w:lang w:val="en-US" w:eastAsia="zh-CN"/>
              </w:rPr>
              <w:t>防治措施及达标排放</w:t>
            </w:r>
            <w:r>
              <w:rPr>
                <w:b/>
                <w:sz w:val="24"/>
              </w:rPr>
              <w:t>情况</w:t>
            </w:r>
          </w:p>
          <w:p>
            <w:pPr>
              <w:keepNext w:val="0"/>
              <w:keepLines w:val="0"/>
              <w:pageBreakBefore w:val="0"/>
              <w:widowControl w:val="0"/>
              <w:kinsoku/>
              <w:wordWrap/>
              <w:overflowPunct/>
              <w:topLinePunct w:val="0"/>
              <w:bidi w:val="0"/>
              <w:adjustRightInd w:val="0"/>
              <w:snapToGrid w:val="0"/>
              <w:spacing w:line="360" w:lineRule="auto"/>
              <w:ind w:firstLine="480" w:firstLineChars="200"/>
              <w:rPr>
                <w:sz w:val="24"/>
              </w:rPr>
            </w:pPr>
            <w:r>
              <w:rPr>
                <w:sz w:val="24"/>
              </w:rPr>
              <w:t>（1）废气污染物</w:t>
            </w:r>
          </w:p>
          <w:p>
            <w:pPr>
              <w:keepNext w:val="0"/>
              <w:keepLines w:val="0"/>
              <w:pageBreakBefore w:val="0"/>
              <w:widowControl w:val="0"/>
              <w:numPr>
                <w:ilvl w:val="0"/>
                <w:numId w:val="0"/>
              </w:numPr>
              <w:tabs>
                <w:tab w:val="left" w:pos="622"/>
              </w:tabs>
              <w:kinsoku/>
              <w:wordWrap/>
              <w:overflowPunct/>
              <w:topLinePunct w:val="0"/>
              <w:autoSpaceDE/>
              <w:autoSpaceDN/>
              <w:bidi w:val="0"/>
              <w:adjustRightInd w:val="0"/>
              <w:snapToGrid w:val="0"/>
              <w:spacing w:line="360" w:lineRule="auto"/>
              <w:ind w:firstLine="480" w:firstLineChars="200"/>
              <w:textAlignment w:val="auto"/>
              <w:rPr>
                <w:rFonts w:hint="default"/>
                <w:lang w:val="en-US" w:eastAsia="zh-CN"/>
              </w:rPr>
            </w:pPr>
            <w:r>
              <w:rPr>
                <w:rFonts w:hint="eastAsia"/>
                <w:lang w:val="en-US" w:eastAsia="zh-CN"/>
              </w:rPr>
              <w:t>现有工程生产废气主要为1#生产线吹塑废气、1#、2#生产线注塑、熔塑废气、2#生产线吹塑废气、食堂油烟废气。1#生产线吹塑废气经集气罩收集后，通过二级活性炭吸附装置净化处理，通过20m排气筒（DA001）排放，1#、2#生产线注塑、熔塑废气经集气罩收集后，通过二级活性炭吸附装置净化处理，通过20m排气筒（DA002）排放，2#生产线吹塑废气经集气罩收集后，通过二级活性炭吸附装置净化处理，通过20m排气筒（DA003）排放。食堂油烟废气经集气罩收集，通过油烟净化器处理后，通过20m排气筒（DA004）排放。</w:t>
            </w:r>
            <w:r>
              <w:rPr>
                <w:rFonts w:ascii="Times New Roman" w:hAnsi="Times New Roman" w:cs="Times New Roman"/>
              </w:rPr>
              <w:t>现有已建设内容均位于公司</w:t>
            </w:r>
            <w:r>
              <w:rPr>
                <w:rFonts w:hint="eastAsia" w:ascii="Times New Roman" w:hAnsi="Times New Roman" w:cs="Times New Roman"/>
                <w:lang w:val="en-US" w:eastAsia="zh-CN"/>
              </w:rPr>
              <w:t>内</w:t>
            </w:r>
            <w:r>
              <w:rPr>
                <w:rFonts w:ascii="Times New Roman" w:hAnsi="Times New Roman" w:cs="Times New Roman"/>
              </w:rPr>
              <w:t>，废气污染源排放情况引用</w:t>
            </w:r>
            <w:r>
              <w:rPr>
                <w:rFonts w:hint="eastAsia" w:ascii="Times New Roman" w:hAnsi="Times New Roman" w:cs="Times New Roman"/>
                <w:lang w:val="en-US" w:eastAsia="zh-CN"/>
              </w:rPr>
              <w:t>现有工程例行</w:t>
            </w:r>
            <w:r>
              <w:rPr>
                <w:rFonts w:ascii="Times New Roman" w:hAnsi="Times New Roman" w:cs="Times New Roman"/>
              </w:rPr>
              <w:t>监测数据，具体结果</w:t>
            </w:r>
            <w:r>
              <w:rPr>
                <w:rFonts w:hint="eastAsia" w:ascii="Times New Roman" w:hAnsi="Times New Roman" w:cs="Times New Roman"/>
                <w:lang w:val="en-US" w:eastAsia="zh-CN"/>
              </w:rPr>
              <w:t>见</w:t>
            </w:r>
            <w:r>
              <w:rPr>
                <w:rFonts w:ascii="Times New Roman" w:hAnsi="Times New Roman" w:cs="Times New Roman"/>
              </w:rPr>
              <w:t>下</w:t>
            </w:r>
            <w:r>
              <w:rPr>
                <w:rFonts w:hint="eastAsia" w:ascii="Times New Roman" w:hAnsi="Times New Roman" w:cs="Times New Roman"/>
                <w:lang w:val="en-US" w:eastAsia="zh-CN"/>
              </w:rPr>
              <w:t>表</w:t>
            </w:r>
            <w:r>
              <w:rPr>
                <w:rFonts w:ascii="Times New Roman" w:hAnsi="Times New Roman" w:cs="Times New Roman"/>
              </w:rPr>
              <w:t>：</w:t>
            </w:r>
          </w:p>
          <w:p>
            <w:pPr>
              <w:keepNext w:val="0"/>
              <w:keepLines w:val="0"/>
              <w:pageBreakBefore w:val="0"/>
              <w:widowControl w:val="0"/>
              <w:kinsoku/>
              <w:wordWrap/>
              <w:bidi w:val="0"/>
              <w:jc w:val="center"/>
              <w:rPr>
                <w:b/>
                <w:bCs/>
              </w:rPr>
            </w:pPr>
            <w:r>
              <w:rPr>
                <w:b/>
                <w:bCs/>
              </w:rPr>
              <w:t>表2</w:t>
            </w:r>
            <w:r>
              <w:rPr>
                <w:rFonts w:hint="eastAsia"/>
                <w:b/>
                <w:bCs/>
                <w:lang w:val="en-US" w:eastAsia="zh-CN"/>
              </w:rPr>
              <w:t>-10</w:t>
            </w:r>
            <w:r>
              <w:rPr>
                <w:b/>
                <w:bCs/>
              </w:rPr>
              <w:t xml:space="preserve"> </w:t>
            </w:r>
            <w:r>
              <w:rPr>
                <w:rFonts w:hint="eastAsia"/>
                <w:b/>
                <w:bCs/>
              </w:rPr>
              <w:t>现有</w:t>
            </w:r>
            <w:r>
              <w:rPr>
                <w:rFonts w:hint="eastAsia"/>
                <w:b/>
                <w:bCs/>
                <w:lang w:val="en-US" w:eastAsia="zh-CN"/>
              </w:rPr>
              <w:t>工程非甲烷总烃有组织</w:t>
            </w:r>
            <w:r>
              <w:rPr>
                <w:b/>
                <w:bCs/>
              </w:rPr>
              <w:t>达标排放情况一览表</w:t>
            </w:r>
          </w:p>
          <w:tbl>
            <w:tblPr>
              <w:tblStyle w:val="22"/>
              <w:tblW w:w="497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835"/>
              <w:gridCol w:w="1053"/>
              <w:gridCol w:w="566"/>
              <w:gridCol w:w="576"/>
              <w:gridCol w:w="1219"/>
              <w:gridCol w:w="1125"/>
              <w:gridCol w:w="1220"/>
              <w:gridCol w:w="1039"/>
              <w:gridCol w:w="4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365" w:type="pct"/>
                  <w:vMerge w:val="restart"/>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数据来源</w:t>
                  </w:r>
                </w:p>
              </w:tc>
              <w:tc>
                <w:tcPr>
                  <w:tcW w:w="480" w:type="pct"/>
                  <w:vMerge w:val="restart"/>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排放口</w:t>
                  </w:r>
                </w:p>
              </w:tc>
              <w:tc>
                <w:tcPr>
                  <w:tcW w:w="605" w:type="pct"/>
                  <w:vMerge w:val="restart"/>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hint="eastAsia" w:ascii="Times New Roman" w:cs="Times New Roman"/>
                      <w:b/>
                      <w:bCs/>
                      <w:color w:val="auto"/>
                      <w:sz w:val="21"/>
                      <w:szCs w:val="21"/>
                    </w:rPr>
                  </w:pPr>
                  <w:r>
                    <w:rPr>
                      <w:rFonts w:hint="eastAsia" w:ascii="Times New Roman" w:cs="Times New Roman"/>
                      <w:b/>
                      <w:bCs/>
                      <w:color w:val="auto"/>
                      <w:sz w:val="21"/>
                      <w:szCs w:val="21"/>
                    </w:rPr>
                    <w:t>检测</w:t>
                  </w:r>
                </w:p>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时间</w:t>
                  </w:r>
                </w:p>
              </w:tc>
              <w:tc>
                <w:tcPr>
                  <w:tcW w:w="325" w:type="pct"/>
                  <w:vMerge w:val="restart"/>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污染物</w:t>
                  </w:r>
                </w:p>
              </w:tc>
              <w:tc>
                <w:tcPr>
                  <w:tcW w:w="331" w:type="pct"/>
                  <w:vMerge w:val="restart"/>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检测频次</w:t>
                  </w:r>
                </w:p>
              </w:tc>
              <w:tc>
                <w:tcPr>
                  <w:tcW w:w="1346" w:type="pct"/>
                  <w:gridSpan w:val="2"/>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排放情况</w:t>
                  </w:r>
                </w:p>
              </w:tc>
              <w:tc>
                <w:tcPr>
                  <w:tcW w:w="1298" w:type="pct"/>
                  <w:gridSpan w:val="2"/>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执行标准</w:t>
                  </w:r>
                </w:p>
              </w:tc>
              <w:tc>
                <w:tcPr>
                  <w:tcW w:w="246" w:type="pct"/>
                  <w:vMerge w:val="restart"/>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53" w:hRule="atLeast"/>
              </w:trPr>
              <w:tc>
                <w:tcPr>
                  <w:tcW w:w="36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480"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60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32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331"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700" w:type="pct"/>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排放浓度（mg/m</w:t>
                  </w:r>
                  <w:r>
                    <w:rPr>
                      <w:rFonts w:hint="eastAsia" w:ascii="Times New Roman" w:cs="Times New Roman"/>
                      <w:b/>
                      <w:bCs/>
                      <w:color w:val="auto"/>
                      <w:sz w:val="21"/>
                      <w:szCs w:val="21"/>
                      <w:vertAlign w:val="superscript"/>
                    </w:rPr>
                    <w:t>3</w:t>
                  </w:r>
                  <w:r>
                    <w:rPr>
                      <w:rFonts w:hint="eastAsia" w:ascii="Times New Roman" w:cs="Times New Roman"/>
                      <w:b/>
                      <w:bCs/>
                      <w:color w:val="auto"/>
                      <w:sz w:val="21"/>
                      <w:szCs w:val="21"/>
                    </w:rPr>
                    <w:t>）</w:t>
                  </w:r>
                </w:p>
              </w:tc>
              <w:tc>
                <w:tcPr>
                  <w:tcW w:w="645" w:type="pct"/>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排放速率（kg/h）</w:t>
                  </w:r>
                </w:p>
              </w:tc>
              <w:tc>
                <w:tcPr>
                  <w:tcW w:w="701" w:type="pct"/>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执行浓度（mg/m</w:t>
                  </w:r>
                  <w:r>
                    <w:rPr>
                      <w:rFonts w:hint="eastAsia" w:ascii="Times New Roman" w:cs="Times New Roman"/>
                      <w:b/>
                      <w:bCs/>
                      <w:color w:val="auto"/>
                      <w:sz w:val="21"/>
                      <w:szCs w:val="21"/>
                      <w:vertAlign w:val="superscript"/>
                    </w:rPr>
                    <w:t>3</w:t>
                  </w:r>
                  <w:r>
                    <w:rPr>
                      <w:rFonts w:hint="eastAsia" w:ascii="Times New Roman" w:cs="Times New Roman"/>
                      <w:b/>
                      <w:bCs/>
                      <w:color w:val="auto"/>
                      <w:sz w:val="21"/>
                      <w:szCs w:val="21"/>
                    </w:rPr>
                    <w:t>）</w:t>
                  </w:r>
                </w:p>
              </w:tc>
              <w:tc>
                <w:tcPr>
                  <w:tcW w:w="597" w:type="pct"/>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b/>
                      <w:bCs/>
                      <w:color w:val="auto"/>
                      <w:sz w:val="21"/>
                      <w:szCs w:val="21"/>
                    </w:rPr>
                  </w:pPr>
                  <w:r>
                    <w:rPr>
                      <w:rFonts w:hint="eastAsia" w:ascii="Times New Roman" w:cs="Times New Roman"/>
                      <w:b/>
                      <w:bCs/>
                      <w:color w:val="auto"/>
                      <w:sz w:val="21"/>
                      <w:szCs w:val="21"/>
                    </w:rPr>
                    <w:t>执行速率（kg/h）</w:t>
                  </w:r>
                </w:p>
              </w:tc>
              <w:tc>
                <w:tcPr>
                  <w:tcW w:w="246"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5"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textAlignment w:val="auto"/>
                    <w:rPr>
                      <w:rFonts w:ascii="Times New Roman" w:cs="Times New Roman"/>
                      <w:color w:val="auto"/>
                      <w:szCs w:val="21"/>
                    </w:rPr>
                  </w:pPr>
                  <w:r>
                    <w:rPr>
                      <w:rFonts w:hint="eastAsia"/>
                      <w:sz w:val="21"/>
                      <w:szCs w:val="21"/>
                      <w:lang w:val="en-US" w:eastAsia="zh-CN"/>
                    </w:rPr>
                    <w:t>今麦郎饮品（淮北）</w:t>
                  </w:r>
                  <w:r>
                    <w:rPr>
                      <w:rFonts w:hint="eastAsia"/>
                      <w:sz w:val="21"/>
                      <w:szCs w:val="21"/>
                    </w:rPr>
                    <w:t>有限公司例行监测</w:t>
                  </w:r>
                </w:p>
              </w:tc>
              <w:tc>
                <w:tcPr>
                  <w:tcW w:w="480"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DA001</w:t>
                  </w:r>
                </w:p>
              </w:tc>
              <w:tc>
                <w:tcPr>
                  <w:tcW w:w="605"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sz w:val="21"/>
                      <w:szCs w:val="21"/>
                      <w:lang w:val="en-US" w:eastAsia="zh-CN"/>
                    </w:rPr>
                  </w:pPr>
                  <w:r>
                    <w:rPr>
                      <w:rFonts w:hint="eastAsia"/>
                      <w:sz w:val="21"/>
                      <w:szCs w:val="21"/>
                    </w:rPr>
                    <w:t>2023.</w:t>
                  </w:r>
                  <w:r>
                    <w:rPr>
                      <w:rFonts w:hint="eastAsia"/>
                      <w:sz w:val="21"/>
                      <w:szCs w:val="21"/>
                      <w:lang w:val="en-US" w:eastAsia="zh-CN"/>
                    </w:rPr>
                    <w:t>5</w:t>
                  </w:r>
                  <w:r>
                    <w:rPr>
                      <w:rFonts w:hint="eastAsia"/>
                      <w:sz w:val="21"/>
                      <w:szCs w:val="21"/>
                    </w:rPr>
                    <w:t>.1</w:t>
                  </w:r>
                  <w:r>
                    <w:rPr>
                      <w:rFonts w:hint="eastAsia"/>
                      <w:sz w:val="21"/>
                      <w:szCs w:val="21"/>
                      <w:lang w:val="en-US" w:eastAsia="zh-CN"/>
                    </w:rPr>
                    <w:t>1</w:t>
                  </w:r>
                </w:p>
              </w:tc>
              <w:tc>
                <w:tcPr>
                  <w:tcW w:w="325"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非甲烷总烃</w:t>
                  </w:r>
                </w:p>
              </w:tc>
              <w:tc>
                <w:tcPr>
                  <w:tcW w:w="33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第一次</w:t>
                  </w:r>
                </w:p>
              </w:tc>
              <w:tc>
                <w:tcPr>
                  <w:tcW w:w="70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1.18</w:t>
                  </w:r>
                </w:p>
              </w:tc>
              <w:tc>
                <w:tcPr>
                  <w:tcW w:w="645"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sz w:val="21"/>
                      <w:szCs w:val="21"/>
                      <w:lang w:val="en-US" w:eastAsia="zh-CN"/>
                    </w:rPr>
                  </w:pPr>
                  <w:r>
                    <w:rPr>
                      <w:rFonts w:hint="eastAsia"/>
                      <w:sz w:val="21"/>
                      <w:szCs w:val="21"/>
                      <w:lang w:val="en-US" w:eastAsia="zh-CN"/>
                    </w:rPr>
                    <w:t>8.00</w:t>
                  </w:r>
                  <w:r>
                    <w:rPr>
                      <w:rFonts w:hint="eastAsia"/>
                      <w:sz w:val="21"/>
                      <w:szCs w:val="21"/>
                    </w:rPr>
                    <w:t>×10</w:t>
                  </w:r>
                  <w:r>
                    <w:rPr>
                      <w:rFonts w:hint="eastAsia"/>
                      <w:sz w:val="21"/>
                      <w:szCs w:val="21"/>
                      <w:vertAlign w:val="superscript"/>
                    </w:rPr>
                    <w:t>-</w:t>
                  </w:r>
                  <w:r>
                    <w:rPr>
                      <w:rFonts w:hint="eastAsia"/>
                      <w:sz w:val="21"/>
                      <w:szCs w:val="21"/>
                      <w:vertAlign w:val="superscript"/>
                      <w:lang w:val="en-US" w:eastAsia="zh-CN"/>
                    </w:rPr>
                    <w:t>3</w:t>
                  </w:r>
                </w:p>
              </w:tc>
              <w:tc>
                <w:tcPr>
                  <w:tcW w:w="701"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60</w:t>
                  </w:r>
                </w:p>
              </w:tc>
              <w:tc>
                <w:tcPr>
                  <w:tcW w:w="597"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eastAsia="宋体"/>
                      <w:sz w:val="21"/>
                      <w:szCs w:val="21"/>
                      <w:lang w:eastAsia="zh-CN"/>
                    </w:rPr>
                  </w:pPr>
                  <w:r>
                    <w:rPr>
                      <w:rFonts w:hint="eastAsia"/>
                      <w:sz w:val="21"/>
                      <w:szCs w:val="21"/>
                      <w:lang w:val="en-US" w:eastAsia="zh-CN"/>
                    </w:rPr>
                    <w:t>/</w:t>
                  </w:r>
                </w:p>
              </w:tc>
              <w:tc>
                <w:tcPr>
                  <w:tcW w:w="246"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480"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60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2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3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第二次</w:t>
                  </w:r>
                </w:p>
              </w:tc>
              <w:tc>
                <w:tcPr>
                  <w:tcW w:w="70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1.08</w:t>
                  </w:r>
                </w:p>
              </w:tc>
              <w:tc>
                <w:tcPr>
                  <w:tcW w:w="645"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8.18</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3</w:t>
                  </w:r>
                </w:p>
              </w:tc>
              <w:tc>
                <w:tcPr>
                  <w:tcW w:w="701"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59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24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480"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60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2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3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第三次</w:t>
                  </w:r>
                </w:p>
              </w:tc>
              <w:tc>
                <w:tcPr>
                  <w:tcW w:w="70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1.14</w:t>
                  </w:r>
                </w:p>
              </w:tc>
              <w:tc>
                <w:tcPr>
                  <w:tcW w:w="645"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7.94</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3</w:t>
                  </w:r>
                </w:p>
              </w:tc>
              <w:tc>
                <w:tcPr>
                  <w:tcW w:w="701"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59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24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6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480"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sz w:val="21"/>
                      <w:szCs w:val="21"/>
                      <w:lang w:val="en-US" w:eastAsia="zh-CN"/>
                    </w:rPr>
                  </w:pPr>
                  <w:r>
                    <w:rPr>
                      <w:rFonts w:hint="eastAsia"/>
                      <w:sz w:val="21"/>
                      <w:szCs w:val="21"/>
                    </w:rPr>
                    <w:t>DA00</w:t>
                  </w:r>
                  <w:r>
                    <w:rPr>
                      <w:rFonts w:hint="eastAsia"/>
                      <w:sz w:val="21"/>
                      <w:szCs w:val="21"/>
                      <w:lang w:val="en-US" w:eastAsia="zh-CN"/>
                    </w:rPr>
                    <w:t>2</w:t>
                  </w:r>
                </w:p>
              </w:tc>
              <w:tc>
                <w:tcPr>
                  <w:tcW w:w="605"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sz w:val="21"/>
                      <w:szCs w:val="21"/>
                      <w:lang w:val="en-US" w:eastAsia="zh-CN"/>
                    </w:rPr>
                  </w:pPr>
                  <w:r>
                    <w:rPr>
                      <w:rFonts w:hint="eastAsia"/>
                      <w:sz w:val="21"/>
                      <w:szCs w:val="21"/>
                    </w:rPr>
                    <w:t>2023.</w:t>
                  </w:r>
                  <w:r>
                    <w:rPr>
                      <w:rFonts w:hint="eastAsia"/>
                      <w:sz w:val="21"/>
                      <w:szCs w:val="21"/>
                      <w:lang w:val="en-US" w:eastAsia="zh-CN"/>
                    </w:rPr>
                    <w:t>5</w:t>
                  </w:r>
                  <w:r>
                    <w:rPr>
                      <w:rFonts w:hint="eastAsia"/>
                      <w:sz w:val="21"/>
                      <w:szCs w:val="21"/>
                    </w:rPr>
                    <w:t>.1</w:t>
                  </w:r>
                  <w:r>
                    <w:rPr>
                      <w:rFonts w:hint="eastAsia"/>
                      <w:sz w:val="21"/>
                      <w:szCs w:val="21"/>
                      <w:lang w:val="en-US" w:eastAsia="zh-CN"/>
                    </w:rPr>
                    <w:t>1</w:t>
                  </w:r>
                </w:p>
              </w:tc>
              <w:tc>
                <w:tcPr>
                  <w:tcW w:w="325"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非甲烷总烃</w:t>
                  </w:r>
                </w:p>
              </w:tc>
              <w:tc>
                <w:tcPr>
                  <w:tcW w:w="33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第一次</w:t>
                  </w:r>
                </w:p>
              </w:tc>
              <w:tc>
                <w:tcPr>
                  <w:tcW w:w="70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1.07</w:t>
                  </w:r>
                </w:p>
              </w:tc>
              <w:tc>
                <w:tcPr>
                  <w:tcW w:w="645"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sz w:val="21"/>
                      <w:szCs w:val="21"/>
                      <w:lang w:val="en-US" w:eastAsia="zh-CN"/>
                    </w:rPr>
                  </w:pPr>
                  <w:r>
                    <w:rPr>
                      <w:rFonts w:hint="eastAsia"/>
                      <w:sz w:val="21"/>
                      <w:szCs w:val="21"/>
                    </w:rPr>
                    <w:t>8.</w:t>
                  </w:r>
                  <w:r>
                    <w:rPr>
                      <w:rFonts w:hint="eastAsia"/>
                      <w:sz w:val="21"/>
                      <w:szCs w:val="21"/>
                      <w:lang w:val="en-US" w:eastAsia="zh-CN"/>
                    </w:rPr>
                    <w:t>82</w:t>
                  </w:r>
                  <w:r>
                    <w:rPr>
                      <w:rFonts w:hint="eastAsia"/>
                      <w:sz w:val="21"/>
                      <w:szCs w:val="21"/>
                    </w:rPr>
                    <w:t>×10</w:t>
                  </w:r>
                  <w:r>
                    <w:rPr>
                      <w:rFonts w:hint="eastAsia"/>
                      <w:sz w:val="21"/>
                      <w:szCs w:val="21"/>
                      <w:vertAlign w:val="superscript"/>
                    </w:rPr>
                    <w:t>-</w:t>
                  </w:r>
                  <w:r>
                    <w:rPr>
                      <w:rFonts w:hint="eastAsia"/>
                      <w:sz w:val="21"/>
                      <w:szCs w:val="21"/>
                      <w:vertAlign w:val="superscript"/>
                      <w:lang w:val="en-US" w:eastAsia="zh-CN"/>
                    </w:rPr>
                    <w:t>3</w:t>
                  </w:r>
                </w:p>
              </w:tc>
              <w:tc>
                <w:tcPr>
                  <w:tcW w:w="701"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lang w:eastAsia="zh-CN"/>
                    </w:rPr>
                  </w:pPr>
                  <w:r>
                    <w:rPr>
                      <w:rFonts w:hint="eastAsia"/>
                      <w:sz w:val="21"/>
                      <w:szCs w:val="21"/>
                      <w:lang w:val="en-US" w:eastAsia="zh-CN"/>
                    </w:rPr>
                    <w:t>60</w:t>
                  </w:r>
                </w:p>
              </w:tc>
              <w:tc>
                <w:tcPr>
                  <w:tcW w:w="597"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lang w:val="en-US" w:eastAsia="zh-CN"/>
                    </w:rPr>
                    <w:t>/</w:t>
                  </w:r>
                </w:p>
              </w:tc>
              <w:tc>
                <w:tcPr>
                  <w:tcW w:w="246"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6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480"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60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2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3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第二次</w:t>
                  </w:r>
                </w:p>
              </w:tc>
              <w:tc>
                <w:tcPr>
                  <w:tcW w:w="70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1.18</w:t>
                  </w:r>
                </w:p>
              </w:tc>
              <w:tc>
                <w:tcPr>
                  <w:tcW w:w="645"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eastAsia="zh-CN"/>
                    </w:rPr>
                    <w:t>9.</w:t>
                  </w:r>
                  <w:r>
                    <w:rPr>
                      <w:rFonts w:hint="eastAsia"/>
                      <w:sz w:val="21"/>
                      <w:szCs w:val="21"/>
                      <w:lang w:val="en-US" w:eastAsia="zh-CN"/>
                    </w:rPr>
                    <w:t>92</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3</w:t>
                  </w:r>
                </w:p>
              </w:tc>
              <w:tc>
                <w:tcPr>
                  <w:tcW w:w="701"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lang w:eastAsia="zh-CN"/>
                    </w:rPr>
                  </w:pPr>
                </w:p>
              </w:tc>
              <w:tc>
                <w:tcPr>
                  <w:tcW w:w="59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24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45" w:hRule="atLeast"/>
              </w:trPr>
              <w:tc>
                <w:tcPr>
                  <w:tcW w:w="36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480"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60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2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3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第三次</w:t>
                  </w:r>
                </w:p>
              </w:tc>
              <w:tc>
                <w:tcPr>
                  <w:tcW w:w="70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1.10</w:t>
                  </w:r>
                </w:p>
              </w:tc>
              <w:tc>
                <w:tcPr>
                  <w:tcW w:w="645"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8.85</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3</w:t>
                  </w:r>
                </w:p>
              </w:tc>
              <w:tc>
                <w:tcPr>
                  <w:tcW w:w="701"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lang w:eastAsia="zh-CN"/>
                    </w:rPr>
                  </w:pPr>
                </w:p>
              </w:tc>
              <w:tc>
                <w:tcPr>
                  <w:tcW w:w="59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24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6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480"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sz w:val="21"/>
                      <w:szCs w:val="21"/>
                      <w:lang w:val="en-US" w:eastAsia="zh-CN"/>
                    </w:rPr>
                  </w:pPr>
                  <w:r>
                    <w:rPr>
                      <w:rFonts w:hint="eastAsia"/>
                      <w:sz w:val="21"/>
                      <w:szCs w:val="21"/>
                    </w:rPr>
                    <w:t>DA00</w:t>
                  </w:r>
                  <w:r>
                    <w:rPr>
                      <w:rFonts w:hint="eastAsia"/>
                      <w:sz w:val="21"/>
                      <w:szCs w:val="21"/>
                      <w:lang w:val="en-US" w:eastAsia="zh-CN"/>
                    </w:rPr>
                    <w:t>3</w:t>
                  </w:r>
                </w:p>
              </w:tc>
              <w:tc>
                <w:tcPr>
                  <w:tcW w:w="605"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sz w:val="21"/>
                      <w:szCs w:val="21"/>
                      <w:lang w:val="en-US" w:eastAsia="zh-CN"/>
                    </w:rPr>
                  </w:pPr>
                  <w:r>
                    <w:rPr>
                      <w:rFonts w:hint="eastAsia"/>
                      <w:sz w:val="21"/>
                      <w:szCs w:val="21"/>
                    </w:rPr>
                    <w:t>2023.</w:t>
                  </w:r>
                  <w:r>
                    <w:rPr>
                      <w:rFonts w:hint="eastAsia"/>
                      <w:sz w:val="21"/>
                      <w:szCs w:val="21"/>
                      <w:lang w:val="en-US" w:eastAsia="zh-CN"/>
                    </w:rPr>
                    <w:t>5</w:t>
                  </w:r>
                  <w:r>
                    <w:rPr>
                      <w:rFonts w:hint="eastAsia"/>
                      <w:sz w:val="21"/>
                      <w:szCs w:val="21"/>
                    </w:rPr>
                    <w:t>.1</w:t>
                  </w:r>
                  <w:r>
                    <w:rPr>
                      <w:rFonts w:hint="eastAsia"/>
                      <w:sz w:val="21"/>
                      <w:szCs w:val="21"/>
                      <w:lang w:val="en-US" w:eastAsia="zh-CN"/>
                    </w:rPr>
                    <w:t>1</w:t>
                  </w:r>
                </w:p>
              </w:tc>
              <w:tc>
                <w:tcPr>
                  <w:tcW w:w="325"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非甲烷总烃</w:t>
                  </w:r>
                </w:p>
              </w:tc>
              <w:tc>
                <w:tcPr>
                  <w:tcW w:w="33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第一次</w:t>
                  </w:r>
                </w:p>
              </w:tc>
              <w:tc>
                <w:tcPr>
                  <w:tcW w:w="70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1.16</w:t>
                  </w:r>
                </w:p>
              </w:tc>
              <w:tc>
                <w:tcPr>
                  <w:tcW w:w="645"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sz w:val="21"/>
                      <w:szCs w:val="21"/>
                      <w:lang w:val="en-US" w:eastAsia="zh-CN"/>
                    </w:rPr>
                  </w:pPr>
                  <w:r>
                    <w:rPr>
                      <w:rFonts w:hint="eastAsia"/>
                      <w:sz w:val="21"/>
                      <w:szCs w:val="21"/>
                      <w:lang w:val="en-US" w:eastAsia="zh-CN"/>
                    </w:rPr>
                    <w:t>1.03</w:t>
                  </w:r>
                  <w:r>
                    <w:rPr>
                      <w:rFonts w:hint="eastAsia"/>
                      <w:sz w:val="21"/>
                      <w:szCs w:val="21"/>
                    </w:rPr>
                    <w:t>×10</w:t>
                  </w:r>
                  <w:r>
                    <w:rPr>
                      <w:rFonts w:hint="eastAsia"/>
                      <w:sz w:val="21"/>
                      <w:szCs w:val="21"/>
                      <w:vertAlign w:val="superscript"/>
                    </w:rPr>
                    <w:t>-</w:t>
                  </w:r>
                  <w:r>
                    <w:rPr>
                      <w:rFonts w:hint="eastAsia"/>
                      <w:sz w:val="21"/>
                      <w:szCs w:val="21"/>
                      <w:vertAlign w:val="superscript"/>
                      <w:lang w:val="en-US" w:eastAsia="zh-CN"/>
                    </w:rPr>
                    <w:t>2</w:t>
                  </w:r>
                </w:p>
              </w:tc>
              <w:tc>
                <w:tcPr>
                  <w:tcW w:w="701"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lang w:eastAsia="zh-CN"/>
                    </w:rPr>
                  </w:pPr>
                  <w:r>
                    <w:rPr>
                      <w:rFonts w:hint="eastAsia"/>
                      <w:sz w:val="21"/>
                      <w:szCs w:val="21"/>
                      <w:lang w:val="en-US" w:eastAsia="zh-CN"/>
                    </w:rPr>
                    <w:t>60</w:t>
                  </w:r>
                </w:p>
              </w:tc>
              <w:tc>
                <w:tcPr>
                  <w:tcW w:w="597"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lang w:val="en-US" w:eastAsia="zh-CN"/>
                    </w:rPr>
                    <w:t>/</w:t>
                  </w:r>
                </w:p>
              </w:tc>
              <w:tc>
                <w:tcPr>
                  <w:tcW w:w="246"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6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480"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60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25"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3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第二次</w:t>
                  </w:r>
                </w:p>
              </w:tc>
              <w:tc>
                <w:tcPr>
                  <w:tcW w:w="70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1.25</w:t>
                  </w:r>
                </w:p>
              </w:tc>
              <w:tc>
                <w:tcPr>
                  <w:tcW w:w="645"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1.22</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2</w:t>
                  </w:r>
                </w:p>
              </w:tc>
              <w:tc>
                <w:tcPr>
                  <w:tcW w:w="701"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lang w:eastAsia="zh-CN"/>
                    </w:rPr>
                  </w:pPr>
                </w:p>
              </w:tc>
              <w:tc>
                <w:tcPr>
                  <w:tcW w:w="59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24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65" w:type="pct"/>
                  <w:vMerge w:val="continue"/>
                  <w:tcBorders>
                    <w:tl2br w:val="nil"/>
                    <w:tr2bl w:val="nil"/>
                  </w:tcBorders>
                  <w:vAlign w:val="center"/>
                </w:tcPr>
                <w:p>
                  <w:pPr>
                    <w:pStyle w:val="32"/>
                    <w:keepNext w:val="0"/>
                    <w:keepLines w:val="0"/>
                    <w:pageBreakBefore w:val="0"/>
                    <w:widowControl w:val="0"/>
                    <w:kinsoku/>
                    <w:wordWrap/>
                    <w:overflowPunct/>
                    <w:topLinePunct w:val="0"/>
                    <w:bidi w:val="0"/>
                    <w:adjustRightInd w:val="0"/>
                    <w:snapToGrid w:val="0"/>
                    <w:jc w:val="center"/>
                    <w:textAlignment w:val="auto"/>
                    <w:rPr>
                      <w:rFonts w:ascii="Times New Roman" w:cs="Times New Roman"/>
                      <w:color w:val="auto"/>
                      <w:sz w:val="21"/>
                      <w:szCs w:val="21"/>
                    </w:rPr>
                  </w:pPr>
                </w:p>
              </w:tc>
              <w:tc>
                <w:tcPr>
                  <w:tcW w:w="480" w:type="pct"/>
                  <w:vMerge w:val="continue"/>
                  <w:tcBorders>
                    <w:bottom w:val="single" w:color="000000" w:sz="6" w:space="0"/>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605" w:type="pct"/>
                  <w:vMerge w:val="continue"/>
                  <w:tcBorders>
                    <w:bottom w:val="single" w:color="000000" w:sz="6" w:space="0"/>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25" w:type="pct"/>
                  <w:vMerge w:val="continue"/>
                  <w:tcBorders>
                    <w:bottom w:val="single" w:color="000000" w:sz="6" w:space="0"/>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331"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r>
                    <w:rPr>
                      <w:rFonts w:hint="eastAsia"/>
                      <w:sz w:val="21"/>
                      <w:szCs w:val="21"/>
                    </w:rPr>
                    <w:t>第三次</w:t>
                  </w:r>
                </w:p>
              </w:tc>
              <w:tc>
                <w:tcPr>
                  <w:tcW w:w="700"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1.11</w:t>
                  </w:r>
                </w:p>
              </w:tc>
              <w:tc>
                <w:tcPr>
                  <w:tcW w:w="645" w:type="pct"/>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sz w:val="21"/>
                      <w:szCs w:val="21"/>
                      <w:lang w:val="en-US" w:eastAsia="zh-CN"/>
                    </w:rPr>
                  </w:pPr>
                  <w:r>
                    <w:rPr>
                      <w:rFonts w:hint="eastAsia"/>
                      <w:sz w:val="21"/>
                      <w:szCs w:val="21"/>
                      <w:lang w:val="en-US" w:eastAsia="zh-CN"/>
                    </w:rPr>
                    <w:t>1.06</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2</w:t>
                  </w:r>
                </w:p>
              </w:tc>
              <w:tc>
                <w:tcPr>
                  <w:tcW w:w="701"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lang w:eastAsia="zh-CN"/>
                    </w:rPr>
                  </w:pPr>
                </w:p>
              </w:tc>
              <w:tc>
                <w:tcPr>
                  <w:tcW w:w="59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c>
                <w:tcPr>
                  <w:tcW w:w="246"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jc w:val="center"/>
                    <w:textAlignment w:val="auto"/>
                    <w:rPr>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pPr>
            <w:r>
              <w:rPr>
                <w:rFonts w:hint="eastAsia"/>
                <w:lang w:val="en-US" w:eastAsia="zh-CN"/>
              </w:rPr>
              <w:t>由上表可知，现有工程非甲烷总烃排放浓度均低于</w:t>
            </w:r>
            <w:r>
              <w:t>60mg/m</w:t>
            </w:r>
            <w:r>
              <w:rPr>
                <w:vertAlign w:val="superscript"/>
              </w:rPr>
              <w:t>3</w:t>
            </w:r>
            <w:r>
              <w:t>，符合《合成树脂工业污染物排放标准》（GB31572-2015）表5中特别排放限值要求。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lang w:val="en-US" w:eastAsia="zh-CN"/>
              </w:rPr>
            </w:pPr>
            <w:r>
              <w:rPr>
                <w:rFonts w:hint="eastAsia"/>
                <w:b/>
                <w:bCs/>
                <w:lang w:val="en-US" w:eastAsia="zh-CN"/>
              </w:rPr>
              <w:t>表2-11 现有工程食堂油烟废气检测结果统计表</w:t>
            </w:r>
          </w:p>
          <w:tbl>
            <w:tblPr>
              <w:tblStyle w:val="22"/>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332"/>
              <w:gridCol w:w="1516"/>
              <w:gridCol w:w="1516"/>
              <w:gridCol w:w="1516"/>
              <w:gridCol w:w="1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75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检测</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点位</w:t>
                  </w:r>
                </w:p>
              </w:tc>
              <w:tc>
                <w:tcPr>
                  <w:tcW w:w="763"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频次</w:t>
                  </w:r>
                </w:p>
              </w:tc>
              <w:tc>
                <w:tcPr>
                  <w:tcW w:w="3478" w:type="pct"/>
                  <w:gridSpan w:val="4"/>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sz w:val="21"/>
                      <w:szCs w:val="21"/>
                      <w:vertAlign w:val="baseline"/>
                      <w:lang w:val="en-US" w:eastAsia="zh-CN"/>
                    </w:rPr>
                  </w:pPr>
                  <w:r>
                    <w:rPr>
                      <w:rFonts w:hint="eastAsia"/>
                      <w:b/>
                      <w:bCs/>
                      <w:sz w:val="21"/>
                      <w:szCs w:val="21"/>
                      <w:vertAlign w:val="baseline"/>
                      <w:lang w:val="en-US" w:eastAsia="zh-CN"/>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p>
              </w:tc>
              <w:tc>
                <w:tcPr>
                  <w:tcW w:w="76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实测浓度（mg/m</w:t>
                  </w:r>
                  <w:r>
                    <w:rPr>
                      <w:rFonts w:hint="eastAsia"/>
                      <w:b/>
                      <w:bCs/>
                      <w:sz w:val="21"/>
                      <w:szCs w:val="21"/>
                      <w:vertAlign w:val="superscript"/>
                      <w:lang w:val="en-US" w:eastAsia="zh-CN"/>
                    </w:rPr>
                    <w:t>3</w:t>
                  </w:r>
                  <w:r>
                    <w:rPr>
                      <w:rFonts w:hint="eastAsia"/>
                      <w:b/>
                      <w:bCs/>
                      <w:sz w:val="21"/>
                      <w:szCs w:val="21"/>
                      <w:vertAlign w:val="baseline"/>
                      <w:lang w:val="en-US" w:eastAsia="zh-CN"/>
                    </w:rPr>
                    <w:t>）</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排放速率（</w:t>
                  </w:r>
                  <w:r>
                    <w:rPr>
                      <w:rFonts w:hint="eastAsia" w:ascii="Times New Roman" w:cs="Times New Roman"/>
                      <w:b/>
                      <w:bCs/>
                      <w:color w:val="auto"/>
                      <w:sz w:val="21"/>
                      <w:szCs w:val="21"/>
                    </w:rPr>
                    <w:t>kg/h</w:t>
                  </w:r>
                  <w:r>
                    <w:rPr>
                      <w:rFonts w:hint="eastAsia"/>
                      <w:b/>
                      <w:bCs/>
                      <w:sz w:val="21"/>
                      <w:szCs w:val="21"/>
                      <w:vertAlign w:val="baseline"/>
                      <w:lang w:val="en-US" w:eastAsia="zh-CN"/>
                    </w:rPr>
                    <w:t>）</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折算浓度（mg/m</w:t>
                  </w:r>
                  <w:r>
                    <w:rPr>
                      <w:rFonts w:hint="eastAsia"/>
                      <w:b/>
                      <w:bCs/>
                      <w:sz w:val="21"/>
                      <w:szCs w:val="21"/>
                      <w:vertAlign w:val="superscript"/>
                      <w:lang w:val="en-US" w:eastAsia="zh-CN"/>
                    </w:rPr>
                    <w:t>3</w:t>
                  </w:r>
                  <w:r>
                    <w:rPr>
                      <w:rFonts w:hint="eastAsia"/>
                      <w:b/>
                      <w:bCs/>
                      <w:sz w:val="21"/>
                      <w:szCs w:val="21"/>
                      <w:vertAlign w:val="baseline"/>
                      <w:lang w:val="en-US" w:eastAsia="zh-CN"/>
                    </w:rPr>
                    <w:t>）</w:t>
                  </w:r>
                </w:p>
              </w:tc>
              <w:tc>
                <w:tcPr>
                  <w:tcW w:w="873"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排放速率均值（</w:t>
                  </w:r>
                  <w:r>
                    <w:rPr>
                      <w:rFonts w:hint="eastAsia" w:ascii="Times New Roman" w:cs="Times New Roman"/>
                      <w:b/>
                      <w:bCs/>
                      <w:color w:val="auto"/>
                      <w:sz w:val="21"/>
                      <w:szCs w:val="21"/>
                    </w:rPr>
                    <w:t>kg/h</w:t>
                  </w:r>
                  <w:r>
                    <w:rPr>
                      <w:rFonts w:hint="eastAsia"/>
                      <w:b/>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检测时间：2023年5月11日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食堂油烟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排放口</w:t>
                  </w:r>
                  <w:r>
                    <w:rPr>
                      <w:rFonts w:hint="eastAsia"/>
                      <w:sz w:val="21"/>
                      <w:szCs w:val="21"/>
                      <w:vertAlign w:val="baseline"/>
                      <w:lang w:val="en-US" w:eastAsia="zh-CN"/>
                    </w:rPr>
                    <w:br w:type="textWrapping"/>
                  </w:r>
                  <w:r>
                    <w:rPr>
                      <w:rFonts w:hint="eastAsia"/>
                      <w:sz w:val="21"/>
                      <w:szCs w:val="21"/>
                      <w:vertAlign w:val="baseline"/>
                      <w:lang w:val="en-US" w:eastAsia="zh-CN"/>
                    </w:rPr>
                    <w:t>DA004</w:t>
                  </w:r>
                </w:p>
              </w:tc>
              <w:tc>
                <w:tcPr>
                  <w:tcW w:w="763"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第一次</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6.4</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lang w:val="en-US" w:eastAsia="zh-CN"/>
                    </w:rPr>
                    <w:t>8.56</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3</w:t>
                  </w:r>
                </w:p>
              </w:tc>
              <w:tc>
                <w:tcPr>
                  <w:tcW w:w="868"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1.3</w:t>
                  </w:r>
                </w:p>
              </w:tc>
              <w:tc>
                <w:tcPr>
                  <w:tcW w:w="873" w:type="pct"/>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lang w:val="en-US" w:eastAsia="zh-CN"/>
                    </w:rPr>
                    <w:t>7.75</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c>
                <w:tcPr>
                  <w:tcW w:w="763"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第二次</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4.0</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lang w:val="en-US" w:eastAsia="zh-CN"/>
                    </w:rPr>
                    <w:t>5.68</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3</w:t>
                  </w:r>
                </w:p>
              </w:tc>
              <w:tc>
                <w:tcPr>
                  <w:tcW w:w="86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c>
                <w:tcPr>
                  <w:tcW w:w="87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c>
                <w:tcPr>
                  <w:tcW w:w="763"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第三次</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6.3</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lang w:eastAsia="zh-CN"/>
                    </w:rPr>
                    <w:t>9.</w:t>
                  </w:r>
                  <w:r>
                    <w:rPr>
                      <w:rFonts w:hint="eastAsia"/>
                      <w:sz w:val="21"/>
                      <w:szCs w:val="21"/>
                      <w:lang w:val="en-US" w:eastAsia="zh-CN"/>
                    </w:rPr>
                    <w:t>87</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3</w:t>
                  </w:r>
                </w:p>
              </w:tc>
              <w:tc>
                <w:tcPr>
                  <w:tcW w:w="86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c>
                <w:tcPr>
                  <w:tcW w:w="87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c>
                <w:tcPr>
                  <w:tcW w:w="763"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第四次</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4.0</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lang w:val="en-US" w:eastAsia="zh-CN"/>
                    </w:rPr>
                    <w:t>5.82</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3</w:t>
                  </w:r>
                </w:p>
              </w:tc>
              <w:tc>
                <w:tcPr>
                  <w:tcW w:w="86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c>
                <w:tcPr>
                  <w:tcW w:w="87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5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c>
                <w:tcPr>
                  <w:tcW w:w="763"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第五次</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6.4</w:t>
                  </w:r>
                </w:p>
              </w:tc>
              <w:tc>
                <w:tcPr>
                  <w:tcW w:w="86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lang w:val="en-US" w:eastAsia="zh-CN"/>
                    </w:rPr>
                    <w:t>8.81</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3</w:t>
                  </w:r>
                </w:p>
              </w:tc>
              <w:tc>
                <w:tcPr>
                  <w:tcW w:w="868"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c>
                <w:tcPr>
                  <w:tcW w:w="873" w:type="pct"/>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bCs/>
                <w:lang w:val="en-US" w:eastAsia="zh-CN"/>
              </w:rPr>
            </w:pPr>
            <w:r>
              <w:rPr>
                <w:rFonts w:hint="eastAsia"/>
                <w:lang w:val="en-US" w:eastAsia="zh-CN"/>
              </w:rPr>
              <w:t>由上表可知，现有工程食堂油烟废气折算后浓度为1.3</w:t>
            </w:r>
            <w:r>
              <w:t>mg/m</w:t>
            </w:r>
            <w:r>
              <w:rPr>
                <w:vertAlign w:val="superscript"/>
              </w:rPr>
              <w:t>3</w:t>
            </w:r>
            <w:r>
              <w:rPr>
                <w:rFonts w:hint="eastAsia"/>
                <w:vertAlign w:val="baseline"/>
                <w:lang w:eastAsia="zh-CN"/>
              </w:rPr>
              <w:t>，</w:t>
            </w:r>
            <w:r>
              <w:rPr>
                <w:rFonts w:hint="eastAsia"/>
                <w:vertAlign w:val="baseline"/>
                <w:lang w:val="en-US" w:eastAsia="zh-CN"/>
              </w:rPr>
              <w:t>小于2.0</w:t>
            </w:r>
            <w:r>
              <w:t>mg/m</w:t>
            </w:r>
            <w:r>
              <w:rPr>
                <w:vertAlign w:val="superscript"/>
              </w:rPr>
              <w:t>3</w:t>
            </w:r>
            <w:r>
              <w:rPr>
                <w:rFonts w:hint="eastAsia"/>
                <w:vertAlign w:val="baseline"/>
                <w:lang w:eastAsia="zh-CN"/>
              </w:rPr>
              <w:t>，</w:t>
            </w:r>
            <w:r>
              <w:rPr>
                <w:rFonts w:hint="eastAsia"/>
                <w:vertAlign w:val="baseline"/>
                <w:lang w:val="en-US" w:eastAsia="zh-CN"/>
              </w:rPr>
              <w:t>符合</w:t>
            </w:r>
            <w:r>
              <w:rPr>
                <w:bCs/>
              </w:rPr>
              <w:t>《饮食业油烟排放标准（试行）》（GB18483-2001）</w:t>
            </w:r>
            <w:r>
              <w:rPr>
                <w:rFonts w:hint="eastAsia"/>
                <w:bCs/>
                <w:lang w:val="en-US" w:eastAsia="zh-CN"/>
              </w:rPr>
              <w:t>标准。</w:t>
            </w:r>
          </w:p>
          <w:p>
            <w:pPr>
              <w:keepNext w:val="0"/>
              <w:keepLines w:val="0"/>
              <w:pageBreakBefore w:val="0"/>
              <w:widowControl w:val="0"/>
              <w:kinsoku/>
              <w:wordWrap/>
              <w:bidi w:val="0"/>
              <w:jc w:val="center"/>
              <w:rPr>
                <w:b/>
                <w:bCs/>
              </w:rPr>
            </w:pPr>
            <w:r>
              <w:rPr>
                <w:rFonts w:hint="eastAsia"/>
                <w:b/>
                <w:bCs/>
              </w:rPr>
              <w:t>表</w:t>
            </w:r>
            <w:r>
              <w:rPr>
                <w:rFonts w:hint="eastAsia"/>
                <w:b/>
                <w:bCs/>
                <w:lang w:val="en-US" w:eastAsia="zh-CN"/>
              </w:rPr>
              <w:t>2</w:t>
            </w:r>
            <w:r>
              <w:rPr>
                <w:rFonts w:hint="eastAsia"/>
                <w:b/>
                <w:bCs/>
              </w:rPr>
              <w:t>-</w:t>
            </w:r>
            <w:r>
              <w:rPr>
                <w:rFonts w:hint="eastAsia"/>
                <w:b/>
                <w:bCs/>
                <w:lang w:val="en-US" w:eastAsia="zh-CN"/>
              </w:rPr>
              <w:t>12</w:t>
            </w:r>
            <w:r>
              <w:rPr>
                <w:rFonts w:hint="eastAsia"/>
                <w:b/>
                <w:bCs/>
              </w:rPr>
              <w:t xml:space="preserve"> 厂界无组织废气达标排放一览表  单位：mg/m</w:t>
            </w:r>
            <w:r>
              <w:rPr>
                <w:rFonts w:hint="eastAsia"/>
                <w:b/>
                <w:bCs/>
                <w:vertAlign w:val="superscript"/>
              </w:rPr>
              <w:t>3</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1955"/>
              <w:gridCol w:w="2475"/>
              <w:gridCol w:w="1499"/>
              <w:gridCol w:w="14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40" w:hRule="atLeast"/>
              </w:trPr>
              <w:tc>
                <w:tcPr>
                  <w:tcW w:w="755" w:type="pct"/>
                  <w:tcBorders>
                    <w:tl2br w:val="nil"/>
                    <w:tr2bl w:val="nil"/>
                  </w:tcBorders>
                  <w:vAlign w:val="center"/>
                </w:tcPr>
                <w:p>
                  <w:pPr>
                    <w:keepNext w:val="0"/>
                    <w:keepLines w:val="0"/>
                    <w:pageBreakBefore w:val="0"/>
                    <w:widowControl w:val="0"/>
                    <w:kinsoku/>
                    <w:wordWrap/>
                    <w:bidi w:val="0"/>
                    <w:jc w:val="center"/>
                    <w:rPr>
                      <w:b/>
                      <w:bCs/>
                      <w:sz w:val="21"/>
                      <w:szCs w:val="21"/>
                      <w:lang w:eastAsia="zh-CN"/>
                    </w:rPr>
                  </w:pPr>
                  <w:r>
                    <w:rPr>
                      <w:rFonts w:hint="eastAsia"/>
                      <w:b/>
                      <w:bCs/>
                      <w:sz w:val="21"/>
                      <w:szCs w:val="21"/>
                      <w:lang w:eastAsia="zh-CN"/>
                    </w:rPr>
                    <w:t>数据来源</w:t>
                  </w:r>
                </w:p>
              </w:tc>
              <w:tc>
                <w:tcPr>
                  <w:tcW w:w="1119" w:type="pct"/>
                  <w:tcBorders>
                    <w:tl2br w:val="nil"/>
                    <w:tr2bl w:val="nil"/>
                  </w:tcBorders>
                  <w:vAlign w:val="center"/>
                </w:tcPr>
                <w:p>
                  <w:pPr>
                    <w:keepNext w:val="0"/>
                    <w:keepLines w:val="0"/>
                    <w:pageBreakBefore w:val="0"/>
                    <w:widowControl w:val="0"/>
                    <w:kinsoku/>
                    <w:wordWrap/>
                    <w:bidi w:val="0"/>
                    <w:jc w:val="center"/>
                    <w:rPr>
                      <w:b/>
                      <w:bCs/>
                      <w:sz w:val="21"/>
                      <w:szCs w:val="21"/>
                      <w:lang w:eastAsia="zh-CN"/>
                    </w:rPr>
                  </w:pPr>
                  <w:r>
                    <w:rPr>
                      <w:b/>
                      <w:bCs/>
                      <w:sz w:val="21"/>
                      <w:szCs w:val="21"/>
                      <w:lang w:eastAsia="zh-CN"/>
                    </w:rPr>
                    <w:t>检测时间</w:t>
                  </w:r>
                </w:p>
              </w:tc>
              <w:tc>
                <w:tcPr>
                  <w:tcW w:w="1417" w:type="pct"/>
                  <w:tcBorders>
                    <w:tl2br w:val="nil"/>
                    <w:tr2bl w:val="nil"/>
                  </w:tcBorders>
                  <w:vAlign w:val="center"/>
                </w:tcPr>
                <w:p>
                  <w:pPr>
                    <w:keepNext w:val="0"/>
                    <w:keepLines w:val="0"/>
                    <w:pageBreakBefore w:val="0"/>
                    <w:widowControl w:val="0"/>
                    <w:kinsoku/>
                    <w:wordWrap/>
                    <w:bidi w:val="0"/>
                    <w:jc w:val="center"/>
                    <w:rPr>
                      <w:b/>
                      <w:bCs/>
                      <w:sz w:val="21"/>
                      <w:szCs w:val="21"/>
                      <w:lang w:eastAsia="zh-CN"/>
                    </w:rPr>
                  </w:pPr>
                  <w:r>
                    <w:rPr>
                      <w:b/>
                      <w:bCs/>
                      <w:sz w:val="21"/>
                      <w:szCs w:val="21"/>
                      <w:lang w:eastAsia="zh-CN"/>
                    </w:rPr>
                    <w:t>采样点位</w:t>
                  </w:r>
                </w:p>
              </w:tc>
              <w:tc>
                <w:tcPr>
                  <w:tcW w:w="857" w:type="pct"/>
                  <w:tcBorders>
                    <w:tl2br w:val="nil"/>
                    <w:tr2bl w:val="nil"/>
                  </w:tcBorders>
                  <w:vAlign w:val="center"/>
                </w:tcPr>
                <w:p>
                  <w:pPr>
                    <w:keepNext w:val="0"/>
                    <w:keepLines w:val="0"/>
                    <w:pageBreakBefore w:val="0"/>
                    <w:widowControl w:val="0"/>
                    <w:kinsoku/>
                    <w:wordWrap/>
                    <w:bidi w:val="0"/>
                    <w:jc w:val="center"/>
                    <w:rPr>
                      <w:b/>
                      <w:bCs/>
                      <w:sz w:val="21"/>
                      <w:szCs w:val="21"/>
                      <w:lang w:eastAsia="zh-CN"/>
                    </w:rPr>
                  </w:pPr>
                  <w:r>
                    <w:rPr>
                      <w:b/>
                      <w:bCs/>
                      <w:sz w:val="21"/>
                      <w:szCs w:val="21"/>
                      <w:lang w:eastAsia="zh-CN"/>
                    </w:rPr>
                    <w:t>监测频次</w:t>
                  </w:r>
                </w:p>
              </w:tc>
              <w:tc>
                <w:tcPr>
                  <w:tcW w:w="850" w:type="pct"/>
                  <w:tcBorders>
                    <w:tl2br w:val="nil"/>
                    <w:tr2bl w:val="nil"/>
                  </w:tcBorders>
                  <w:vAlign w:val="center"/>
                </w:tcPr>
                <w:p>
                  <w:pPr>
                    <w:keepNext w:val="0"/>
                    <w:keepLines w:val="0"/>
                    <w:pageBreakBefore w:val="0"/>
                    <w:widowControl w:val="0"/>
                    <w:kinsoku/>
                    <w:wordWrap/>
                    <w:bidi w:val="0"/>
                    <w:jc w:val="center"/>
                    <w:rPr>
                      <w:b/>
                      <w:bCs/>
                      <w:sz w:val="21"/>
                      <w:szCs w:val="21"/>
                      <w:lang w:eastAsia="zh-CN"/>
                    </w:rPr>
                  </w:pPr>
                  <w:r>
                    <w:rPr>
                      <w:b/>
                      <w:bCs/>
                      <w:sz w:val="21"/>
                      <w:szCs w:val="21"/>
                      <w:lang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restar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val="en-US" w:eastAsia="zh-CN"/>
                    </w:rPr>
                    <w:t>今麦郎饮品（淮北）</w:t>
                  </w:r>
                  <w:r>
                    <w:rPr>
                      <w:rFonts w:hint="eastAsia"/>
                      <w:sz w:val="21"/>
                      <w:szCs w:val="21"/>
                    </w:rPr>
                    <w:t>有限公司例行监测</w:t>
                  </w:r>
                </w:p>
              </w:tc>
              <w:tc>
                <w:tcPr>
                  <w:tcW w:w="1119" w:type="pct"/>
                  <w:vMerge w:val="restar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2023.</w:t>
                  </w:r>
                  <w:r>
                    <w:rPr>
                      <w:rFonts w:hint="eastAsia"/>
                      <w:sz w:val="21"/>
                      <w:szCs w:val="21"/>
                      <w:lang w:val="en-US" w:eastAsia="zh-CN"/>
                    </w:rPr>
                    <w:t>5</w:t>
                  </w:r>
                  <w:r>
                    <w:rPr>
                      <w:rFonts w:hint="eastAsia"/>
                      <w:sz w:val="21"/>
                      <w:szCs w:val="21"/>
                      <w:lang w:eastAsia="zh-CN"/>
                    </w:rPr>
                    <w:t>.1</w:t>
                  </w:r>
                  <w:r>
                    <w:rPr>
                      <w:rFonts w:hint="eastAsia"/>
                      <w:sz w:val="21"/>
                      <w:szCs w:val="21"/>
                      <w:lang w:val="en-US" w:eastAsia="zh-CN"/>
                    </w:rPr>
                    <w:t>1</w:t>
                  </w:r>
                </w:p>
              </w:tc>
              <w:tc>
                <w:tcPr>
                  <w:tcW w:w="1417" w:type="pct"/>
                  <w:vMerge w:val="restar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厂界上风向1#</w:t>
                  </w: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第一次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第二次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第三次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restar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厂界下风向2#</w:t>
                  </w: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第一次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第二次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第三次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restar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厂界下风向3#</w:t>
                  </w: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第一次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第二次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第三次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restar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厂界下风向4#</w:t>
                  </w: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第一次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第二次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55"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119"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1417" w:type="pct"/>
                  <w:vMerge w:val="continue"/>
                  <w:tcBorders>
                    <w:tl2br w:val="nil"/>
                    <w:tr2bl w:val="nil"/>
                  </w:tcBorders>
                  <w:vAlign w:val="center"/>
                </w:tcPr>
                <w:p>
                  <w:pPr>
                    <w:keepNext w:val="0"/>
                    <w:keepLines w:val="0"/>
                    <w:pageBreakBefore w:val="0"/>
                    <w:widowControl w:val="0"/>
                    <w:kinsoku/>
                    <w:wordWrap/>
                    <w:bidi w:val="0"/>
                    <w:jc w:val="center"/>
                    <w:rPr>
                      <w:sz w:val="21"/>
                      <w:szCs w:val="21"/>
                      <w:lang w:eastAsia="zh-CN"/>
                    </w:rPr>
                  </w:pPr>
                </w:p>
              </w:tc>
              <w:tc>
                <w:tcPr>
                  <w:tcW w:w="857"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第三次</w:t>
                  </w:r>
                </w:p>
              </w:tc>
              <w:tc>
                <w:tcPr>
                  <w:tcW w:w="850" w:type="pct"/>
                  <w:tcBorders>
                    <w:tl2br w:val="nil"/>
                    <w:tr2bl w:val="nil"/>
                  </w:tcBorders>
                  <w:vAlign w:val="center"/>
                </w:tcPr>
                <w:p>
                  <w:pPr>
                    <w:keepNext w:val="0"/>
                    <w:keepLines w:val="0"/>
                    <w:pageBreakBefore w:val="0"/>
                    <w:widowControl w:val="0"/>
                    <w:kinsoku/>
                    <w:wordWrap/>
                    <w:bidi w:val="0"/>
                    <w:jc w:val="center"/>
                    <w:rPr>
                      <w:rFonts w:hint="default"/>
                      <w:sz w:val="21"/>
                      <w:szCs w:val="21"/>
                      <w:lang w:val="en-US" w:eastAsia="zh-CN"/>
                    </w:rPr>
                  </w:pPr>
                  <w:r>
                    <w:rPr>
                      <w:rFonts w:hint="eastAsia"/>
                      <w:sz w:val="21"/>
                      <w:szCs w:val="21"/>
                      <w:lang w:eastAsia="zh-CN"/>
                    </w:rPr>
                    <w:t>0.</w:t>
                  </w:r>
                  <w:r>
                    <w:rPr>
                      <w:rFonts w:hint="eastAsia"/>
                      <w:sz w:val="21"/>
                      <w:szCs w:val="21"/>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149" w:type="pct"/>
                  <w:gridSpan w:val="4"/>
                  <w:tcBorders>
                    <w:tl2br w:val="nil"/>
                    <w:tr2bl w:val="nil"/>
                  </w:tcBorders>
                  <w:vAlign w:val="center"/>
                </w:tcPr>
                <w:p>
                  <w:pPr>
                    <w:keepNext w:val="0"/>
                    <w:keepLines w:val="0"/>
                    <w:pageBreakBefore w:val="0"/>
                    <w:widowControl w:val="0"/>
                    <w:kinsoku/>
                    <w:wordWrap/>
                    <w:bidi w:val="0"/>
                    <w:jc w:val="center"/>
                    <w:rPr>
                      <w:b/>
                      <w:bCs/>
                      <w:sz w:val="21"/>
                      <w:szCs w:val="21"/>
                      <w:lang w:eastAsia="zh-CN"/>
                    </w:rPr>
                  </w:pPr>
                  <w:r>
                    <w:rPr>
                      <w:rFonts w:hint="eastAsia"/>
                      <w:b/>
                      <w:bCs/>
                      <w:sz w:val="21"/>
                      <w:szCs w:val="21"/>
                      <w:lang w:eastAsia="zh-CN"/>
                    </w:rPr>
                    <w:t>标准限值</w:t>
                  </w:r>
                </w:p>
              </w:tc>
              <w:tc>
                <w:tcPr>
                  <w:tcW w:w="850"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149" w:type="pct"/>
                  <w:gridSpan w:val="4"/>
                  <w:tcBorders>
                    <w:tl2br w:val="nil"/>
                    <w:tr2bl w:val="nil"/>
                  </w:tcBorders>
                  <w:vAlign w:val="center"/>
                </w:tcPr>
                <w:p>
                  <w:pPr>
                    <w:keepNext w:val="0"/>
                    <w:keepLines w:val="0"/>
                    <w:pageBreakBefore w:val="0"/>
                    <w:widowControl w:val="0"/>
                    <w:kinsoku/>
                    <w:wordWrap/>
                    <w:bidi w:val="0"/>
                    <w:jc w:val="center"/>
                    <w:rPr>
                      <w:b/>
                      <w:bCs/>
                      <w:sz w:val="21"/>
                      <w:szCs w:val="21"/>
                      <w:lang w:eastAsia="zh-CN"/>
                    </w:rPr>
                  </w:pPr>
                  <w:r>
                    <w:rPr>
                      <w:rFonts w:hint="eastAsia"/>
                      <w:b/>
                      <w:bCs/>
                      <w:sz w:val="21"/>
                      <w:szCs w:val="21"/>
                      <w:lang w:eastAsia="zh-CN"/>
                    </w:rPr>
                    <w:t>达标情况</w:t>
                  </w:r>
                </w:p>
              </w:tc>
              <w:tc>
                <w:tcPr>
                  <w:tcW w:w="850" w:type="pct"/>
                  <w:tcBorders>
                    <w:tl2br w:val="nil"/>
                    <w:tr2bl w:val="nil"/>
                  </w:tcBorders>
                  <w:vAlign w:val="center"/>
                </w:tcPr>
                <w:p>
                  <w:pPr>
                    <w:keepNext w:val="0"/>
                    <w:keepLines w:val="0"/>
                    <w:pageBreakBefore w:val="0"/>
                    <w:widowControl w:val="0"/>
                    <w:kinsoku/>
                    <w:wordWrap/>
                    <w:bidi w:val="0"/>
                    <w:jc w:val="center"/>
                    <w:rPr>
                      <w:sz w:val="21"/>
                      <w:szCs w:val="21"/>
                      <w:lang w:eastAsia="zh-CN"/>
                    </w:rPr>
                  </w:pPr>
                  <w:r>
                    <w:rPr>
                      <w:rFonts w:hint="eastAsia"/>
                      <w:sz w:val="21"/>
                      <w:szCs w:val="21"/>
                      <w:lang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rFonts w:hint="eastAsia"/>
                <w:spacing w:val="-9"/>
                <w:sz w:val="24"/>
                <w:vertAlign w:val="baseline"/>
                <w:lang w:eastAsia="zh-CN"/>
              </w:rPr>
            </w:pPr>
            <w:r>
              <w:rPr>
                <w:spacing w:val="-15"/>
                <w:sz w:val="24"/>
              </w:rPr>
              <w:t>根据</w:t>
            </w:r>
            <w:r>
              <w:rPr>
                <w:rFonts w:hint="eastAsia"/>
                <w:spacing w:val="-15"/>
                <w:sz w:val="24"/>
                <w:lang w:val="en-US" w:eastAsia="zh-CN"/>
              </w:rPr>
              <w:t>上</w:t>
            </w:r>
            <w:r>
              <w:rPr>
                <w:spacing w:val="-15"/>
                <w:sz w:val="24"/>
              </w:rPr>
              <w:t>表</w:t>
            </w:r>
            <w:r>
              <w:rPr>
                <w:rFonts w:hint="eastAsia"/>
                <w:spacing w:val="-15"/>
                <w:sz w:val="24"/>
                <w:lang w:val="en-US" w:eastAsia="zh-CN"/>
              </w:rPr>
              <w:t>检</w:t>
            </w:r>
            <w:r>
              <w:rPr>
                <w:spacing w:val="-11"/>
                <w:sz w:val="24"/>
              </w:rPr>
              <w:t>测结果可知，</w:t>
            </w:r>
            <w:r>
              <w:rPr>
                <w:rFonts w:hint="eastAsia"/>
                <w:spacing w:val="-11"/>
                <w:sz w:val="24"/>
                <w:lang w:val="en-US" w:eastAsia="zh-CN"/>
              </w:rPr>
              <w:t>现有</w:t>
            </w:r>
            <w:r>
              <w:rPr>
                <w:spacing w:val="-11"/>
                <w:sz w:val="24"/>
              </w:rPr>
              <w:t>项目厂界大气污染物非甲</w:t>
            </w:r>
            <w:r>
              <w:rPr>
                <w:spacing w:val="-3"/>
                <w:sz w:val="24"/>
              </w:rPr>
              <w:t xml:space="preserve">烷总烃无组织排放最大浓度值为 </w:t>
            </w:r>
            <w:r>
              <w:rPr>
                <w:rFonts w:ascii="Times New Roman" w:eastAsia="Times New Roman"/>
                <w:sz w:val="24"/>
              </w:rPr>
              <w:t>0.</w:t>
            </w:r>
            <w:r>
              <w:rPr>
                <w:rFonts w:hint="eastAsia" w:ascii="Times New Roman" w:eastAsia="宋体"/>
                <w:sz w:val="24"/>
                <w:lang w:val="en-US" w:eastAsia="zh-CN"/>
              </w:rPr>
              <w:t>88</w:t>
            </w:r>
            <w:r>
              <w:rPr>
                <w:rFonts w:ascii="Times New Roman" w:eastAsia="Times New Roman"/>
                <w:sz w:val="24"/>
              </w:rPr>
              <w:t>m</w:t>
            </w:r>
            <w:r>
              <w:rPr>
                <w:rFonts w:ascii="Times New Roman" w:eastAsia="Times New Roman"/>
                <w:spacing w:val="-3"/>
                <w:sz w:val="24"/>
              </w:rPr>
              <w:t>g</w:t>
            </w:r>
            <w:r>
              <w:rPr>
                <w:rFonts w:ascii="Times New Roman" w:eastAsia="Times New Roman"/>
                <w:sz w:val="24"/>
              </w:rPr>
              <w:t>/</w:t>
            </w:r>
            <w:r>
              <w:rPr>
                <w:rFonts w:ascii="Times New Roman" w:eastAsia="Times New Roman"/>
                <w:spacing w:val="2"/>
                <w:sz w:val="24"/>
              </w:rPr>
              <w:t>m</w:t>
            </w:r>
            <w:r>
              <w:rPr>
                <w:rFonts w:ascii="Times New Roman" w:eastAsia="Times New Roman"/>
                <w:spacing w:val="-2"/>
                <w:w w:val="101"/>
                <w:sz w:val="24"/>
                <w:vertAlign w:val="superscript"/>
              </w:rPr>
              <w:t>3</w:t>
            </w:r>
            <w:r>
              <w:rPr>
                <w:spacing w:val="-10"/>
                <w:sz w:val="24"/>
                <w:vertAlign w:val="baseline"/>
              </w:rPr>
              <w:t>，</w:t>
            </w:r>
            <w:r>
              <w:rPr>
                <w:rFonts w:hint="eastAsia"/>
                <w:spacing w:val="-10"/>
                <w:sz w:val="24"/>
                <w:vertAlign w:val="baseline"/>
                <w:lang w:val="en-US" w:eastAsia="zh-CN"/>
              </w:rPr>
              <w:t>检</w:t>
            </w:r>
            <w:r>
              <w:rPr>
                <w:spacing w:val="-10"/>
                <w:sz w:val="24"/>
                <w:vertAlign w:val="baseline"/>
              </w:rPr>
              <w:t>测结果均低于</w:t>
            </w:r>
            <w:r>
              <w:rPr>
                <w:rFonts w:ascii="Times New Roman" w:eastAsia="Times New Roman"/>
                <w:sz w:val="24"/>
                <w:vertAlign w:val="baseline"/>
              </w:rPr>
              <w:t>4.0m</w:t>
            </w:r>
            <w:r>
              <w:rPr>
                <w:rFonts w:ascii="Times New Roman" w:eastAsia="Times New Roman"/>
                <w:spacing w:val="-3"/>
                <w:sz w:val="24"/>
                <w:vertAlign w:val="baseline"/>
              </w:rPr>
              <w:t>g</w:t>
            </w:r>
            <w:r>
              <w:rPr>
                <w:rFonts w:ascii="Times New Roman" w:eastAsia="Times New Roman"/>
                <w:sz w:val="24"/>
                <w:vertAlign w:val="baseline"/>
              </w:rPr>
              <w:t>/</w:t>
            </w:r>
            <w:r>
              <w:rPr>
                <w:rFonts w:ascii="Times New Roman" w:eastAsia="Times New Roman"/>
                <w:spacing w:val="2"/>
                <w:sz w:val="24"/>
                <w:vertAlign w:val="baseline"/>
              </w:rPr>
              <w:t>m</w:t>
            </w:r>
            <w:r>
              <w:rPr>
                <w:rFonts w:ascii="Times New Roman" w:eastAsia="Times New Roman"/>
                <w:spacing w:val="1"/>
                <w:w w:val="101"/>
                <w:sz w:val="24"/>
                <w:vertAlign w:val="superscript"/>
              </w:rPr>
              <w:t>3</w:t>
            </w:r>
            <w:r>
              <w:rPr>
                <w:spacing w:val="2"/>
                <w:sz w:val="24"/>
                <w:vertAlign w:val="baseline"/>
              </w:rPr>
              <w:t>，符合《合成树脂工业污染物排放标准》</w:t>
            </w:r>
            <w:r>
              <w:rPr>
                <w:spacing w:val="7"/>
                <w:sz w:val="24"/>
                <w:vertAlign w:val="baseline"/>
              </w:rPr>
              <w:t>（</w:t>
            </w:r>
            <w:r>
              <w:rPr>
                <w:rFonts w:ascii="Times New Roman" w:eastAsia="Times New Roman"/>
                <w:spacing w:val="-1"/>
                <w:sz w:val="24"/>
                <w:vertAlign w:val="baseline"/>
              </w:rPr>
              <w:t>G</w:t>
            </w:r>
            <w:r>
              <w:rPr>
                <w:rFonts w:ascii="Times New Roman" w:eastAsia="Times New Roman"/>
                <w:spacing w:val="-2"/>
                <w:sz w:val="24"/>
                <w:vertAlign w:val="baseline"/>
              </w:rPr>
              <w:t>B</w:t>
            </w:r>
            <w:r>
              <w:rPr>
                <w:rFonts w:ascii="Times New Roman" w:eastAsia="Times New Roman"/>
                <w:sz w:val="24"/>
                <w:vertAlign w:val="baseline"/>
              </w:rPr>
              <w:t>31572</w:t>
            </w:r>
            <w:r>
              <w:rPr>
                <w:rFonts w:ascii="Times New Roman" w:eastAsia="Times New Roman"/>
                <w:spacing w:val="-1"/>
                <w:sz w:val="24"/>
                <w:vertAlign w:val="baseline"/>
              </w:rPr>
              <w:t>-</w:t>
            </w:r>
            <w:r>
              <w:rPr>
                <w:rFonts w:ascii="Times New Roman" w:eastAsia="Times New Roman"/>
                <w:sz w:val="24"/>
                <w:vertAlign w:val="baseline"/>
              </w:rPr>
              <w:t>201</w:t>
            </w:r>
            <w:r>
              <w:rPr>
                <w:rFonts w:ascii="Times New Roman" w:eastAsia="Times New Roman"/>
                <w:spacing w:val="4"/>
                <w:sz w:val="24"/>
                <w:vertAlign w:val="baseline"/>
              </w:rPr>
              <w:t>5</w:t>
            </w:r>
            <w:r>
              <w:rPr>
                <w:spacing w:val="4"/>
                <w:sz w:val="24"/>
                <w:vertAlign w:val="baseline"/>
              </w:rPr>
              <w:t>）</w:t>
            </w:r>
            <w:r>
              <w:rPr>
                <w:spacing w:val="-28"/>
                <w:sz w:val="24"/>
                <w:vertAlign w:val="baseline"/>
              </w:rPr>
              <w:t xml:space="preserve">表 </w:t>
            </w:r>
            <w:r>
              <w:rPr>
                <w:rFonts w:ascii="Times New Roman" w:eastAsia="Times New Roman"/>
                <w:sz w:val="24"/>
                <w:vertAlign w:val="baseline"/>
              </w:rPr>
              <w:t>9</w:t>
            </w:r>
            <w:r>
              <w:rPr>
                <w:spacing w:val="2"/>
                <w:sz w:val="24"/>
                <w:vertAlign w:val="baseline"/>
              </w:rPr>
              <w:t>中的企业</w:t>
            </w:r>
            <w:r>
              <w:rPr>
                <w:spacing w:val="-9"/>
                <w:sz w:val="24"/>
                <w:vertAlign w:val="baseline"/>
              </w:rPr>
              <w:t>边界排放监控浓度限值</w:t>
            </w:r>
            <w:r>
              <w:rPr>
                <w:rFonts w:hint="eastAsia"/>
                <w:spacing w:val="-9"/>
                <w:sz w:val="24"/>
                <w:vertAlign w:val="baseli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4" w:firstLineChars="200"/>
              <w:textAlignment w:val="auto"/>
              <w:rPr>
                <w:rFonts w:hint="eastAsia"/>
                <w:spacing w:val="-9"/>
                <w:sz w:val="24"/>
                <w:vertAlign w:val="baseline"/>
                <w:lang w:val="en-US" w:eastAsia="zh-CN"/>
              </w:rPr>
            </w:pPr>
            <w:r>
              <w:rPr>
                <w:rFonts w:hint="eastAsia" w:ascii="Times New Roman" w:hAnsi="Times New Roman" w:eastAsia="宋体" w:cs="Times New Roman"/>
                <w:spacing w:val="-9"/>
                <w:kern w:val="2"/>
                <w:sz w:val="24"/>
                <w:szCs w:val="24"/>
                <w:vertAlign w:val="baseline"/>
                <w:lang w:val="en-US" w:eastAsia="zh-CN" w:bidi="ar-SA"/>
              </w:rPr>
              <w:t>（2）</w:t>
            </w:r>
            <w:r>
              <w:rPr>
                <w:rFonts w:hint="eastAsia"/>
                <w:spacing w:val="-9"/>
                <w:sz w:val="24"/>
                <w:vertAlign w:val="baseline"/>
                <w:lang w:val="en-US" w:eastAsia="zh-CN"/>
              </w:rPr>
              <w:t>废水污染物</w:t>
            </w:r>
          </w:p>
          <w:p>
            <w:pPr>
              <w:keepNext w:val="0"/>
              <w:keepLines w:val="0"/>
              <w:pageBreakBefore w:val="0"/>
              <w:widowControl w:val="0"/>
              <w:numPr>
                <w:ilvl w:val="0"/>
                <w:numId w:val="0"/>
              </w:numPr>
              <w:tabs>
                <w:tab w:val="left" w:pos="622"/>
              </w:tabs>
              <w:kinsoku/>
              <w:wordWrap/>
              <w:overflowPunct/>
              <w:topLinePunct w:val="0"/>
              <w:autoSpaceDE/>
              <w:autoSpaceDN/>
              <w:bidi w:val="0"/>
              <w:adjustRightInd w:val="0"/>
              <w:snapToGrid w:val="0"/>
              <w:spacing w:line="360" w:lineRule="auto"/>
              <w:ind w:firstLine="482" w:firstLineChars="200"/>
              <w:textAlignment w:val="auto"/>
              <w:rPr>
                <w:rFonts w:hint="default" w:eastAsia="宋体"/>
                <w:spacing w:val="-9"/>
                <w:sz w:val="24"/>
                <w:vertAlign w:val="baseline"/>
                <w:lang w:val="en-US" w:eastAsia="zh-CN"/>
              </w:rPr>
            </w:pPr>
            <w:r>
              <w:rPr>
                <w:rFonts w:hint="eastAsia"/>
                <w:b/>
                <w:color w:val="000000"/>
                <w:sz w:val="24"/>
                <w:u w:val="none" w:color="000000"/>
              </w:rPr>
              <w:pict>
                <v:shape id="Object 28" o:spid="_x0000_s1063" o:spt="75" type="#_x0000_t75" style="position:absolute;left:0pt;margin-left:19.4pt;margin-top:109.9pt;height:244.2pt;width:380.45pt;z-index:-251649024;mso-width-relative:page;mso-height-relative:page;" o:ole="t" filled="f" o:preferrelative="t" stroked="f" coordsize="21600,21600">
                  <v:path/>
                  <v:fill on="f" focussize="0,0"/>
                  <v:stroke on="f"/>
                  <v:imagedata r:id="rId19" o:title=""/>
                  <o:lock v:ext="edit" aspectratio="t"/>
                </v:shape>
                <o:OLEObject Type="Embed" ProgID="RFFlow4" ShapeID="Object 28" DrawAspect="Content" ObjectID="_1468075730" r:id="rId18">
                  <o:LockedField>false</o:LockedField>
                </o:OLEObject>
              </w:pict>
            </w:r>
            <w:r>
              <w:rPr>
                <w:rFonts w:hint="eastAsia"/>
                <w:spacing w:val="-9"/>
                <w:sz w:val="24"/>
                <w:vertAlign w:val="baseline"/>
                <w:lang w:val="en-US" w:eastAsia="zh-CN"/>
              </w:rPr>
              <w:t>现有工程废水主要为制水浓水、设备清洗废水、水处理系统反</w:t>
            </w:r>
            <w:r>
              <w:rPr>
                <w:rFonts w:hint="eastAsia" w:eastAsia="宋体"/>
                <w:spacing w:val="-9"/>
                <w:sz w:val="24"/>
                <w:vertAlign w:val="baseline"/>
                <w:lang w:val="en-US" w:eastAsia="zh-CN"/>
              </w:rPr>
              <w:t>冲洗</w:t>
            </w:r>
            <w:r>
              <w:rPr>
                <w:rFonts w:hint="eastAsia"/>
                <w:spacing w:val="-9"/>
                <w:sz w:val="24"/>
                <w:vertAlign w:val="baseline"/>
                <w:lang w:val="en-US" w:eastAsia="zh-CN"/>
              </w:rPr>
              <w:t>废</w:t>
            </w:r>
            <w:r>
              <w:rPr>
                <w:rFonts w:hint="eastAsia" w:eastAsia="宋体"/>
                <w:spacing w:val="-9"/>
                <w:sz w:val="24"/>
                <w:vertAlign w:val="baseline"/>
                <w:lang w:val="en-US" w:eastAsia="zh-CN"/>
              </w:rPr>
              <w:t>水、</w:t>
            </w:r>
            <w:r>
              <w:rPr>
                <w:rFonts w:hint="eastAsia"/>
                <w:spacing w:val="-9"/>
                <w:sz w:val="24"/>
                <w:vertAlign w:val="baseline"/>
                <w:lang w:val="en-US" w:eastAsia="zh-CN"/>
              </w:rPr>
              <w:t>冷却循环水排水、车间清洗废水、食堂废水、生活废水等。</w:t>
            </w:r>
            <w:r>
              <w:rPr>
                <w:rFonts w:hint="eastAsia" w:eastAsia="宋体"/>
                <w:spacing w:val="-9"/>
                <w:sz w:val="24"/>
                <w:vertAlign w:val="baseline"/>
                <w:lang w:val="en-US" w:eastAsia="zh-CN"/>
              </w:rPr>
              <w:t>生活污水</w:t>
            </w:r>
            <w:r>
              <w:rPr>
                <w:rFonts w:hint="eastAsia"/>
                <w:spacing w:val="-9"/>
                <w:sz w:val="24"/>
                <w:vertAlign w:val="baseline"/>
                <w:lang w:val="en-US" w:eastAsia="zh-CN"/>
              </w:rPr>
              <w:t>、</w:t>
            </w:r>
            <w:r>
              <w:rPr>
                <w:rFonts w:hint="eastAsia" w:eastAsia="宋体"/>
                <w:spacing w:val="-9"/>
                <w:sz w:val="24"/>
                <w:vertAlign w:val="baseline"/>
                <w:lang w:val="en-US" w:eastAsia="zh-CN"/>
              </w:rPr>
              <w:t>经隔油池预处理后食堂废水</w:t>
            </w:r>
            <w:r>
              <w:rPr>
                <w:rFonts w:hint="eastAsia"/>
                <w:spacing w:val="-9"/>
                <w:sz w:val="24"/>
                <w:vertAlign w:val="baseline"/>
                <w:lang w:val="en-US" w:eastAsia="zh-CN"/>
              </w:rPr>
              <w:t>、设备清洗废水、水处理系统反</w:t>
            </w:r>
            <w:r>
              <w:rPr>
                <w:rFonts w:hint="eastAsia" w:eastAsia="宋体"/>
                <w:spacing w:val="-9"/>
                <w:sz w:val="24"/>
                <w:vertAlign w:val="baseline"/>
                <w:lang w:val="en-US" w:eastAsia="zh-CN"/>
              </w:rPr>
              <w:t>冲洗</w:t>
            </w:r>
            <w:r>
              <w:rPr>
                <w:rFonts w:hint="eastAsia"/>
                <w:spacing w:val="-9"/>
                <w:sz w:val="24"/>
                <w:vertAlign w:val="baseline"/>
                <w:lang w:val="en-US" w:eastAsia="zh-CN"/>
              </w:rPr>
              <w:t>废</w:t>
            </w:r>
            <w:r>
              <w:rPr>
                <w:rFonts w:hint="eastAsia" w:eastAsia="宋体"/>
                <w:spacing w:val="-9"/>
                <w:sz w:val="24"/>
                <w:vertAlign w:val="baseline"/>
                <w:lang w:val="en-US" w:eastAsia="zh-CN"/>
              </w:rPr>
              <w:t>水、车间地面冲洗废水等一起排入园区污水管网，经园区污水管网进入园区污水处理厂进行深度处理，最终排入新濉河。</w:t>
            </w:r>
            <w:r>
              <w:rPr>
                <w:rFonts w:hint="eastAsia"/>
                <w:spacing w:val="-9"/>
                <w:sz w:val="24"/>
                <w:vertAlign w:val="baseline"/>
                <w:lang w:val="en-US" w:eastAsia="zh-CN"/>
              </w:rPr>
              <w:t>现有项目水平衡图如下：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rPr>
            </w:pPr>
          </w:p>
          <w:p>
            <w:pPr>
              <w:keepNext w:val="0"/>
              <w:keepLines w:val="0"/>
              <w:pageBreakBefore w:val="0"/>
              <w:widowControl w:val="0"/>
              <w:kinsoku/>
              <w:wordWrap/>
              <w:overflowPunct/>
              <w:topLinePunct w:val="0"/>
              <w:bidi w:val="0"/>
              <w:adjustRightInd w:val="0"/>
              <w:snapToGrid w:val="0"/>
              <w:spacing w:line="360" w:lineRule="auto"/>
              <w:jc w:val="center"/>
              <w:rPr>
                <w:rFonts w:hint="default"/>
                <w:lang w:val="en-US" w:eastAsia="zh-CN"/>
              </w:rPr>
            </w:pPr>
            <w:r>
              <w:rPr>
                <w:b/>
                <w:bCs/>
                <w:color w:val="auto"/>
              </w:rPr>
              <w:t>图2-</w:t>
            </w:r>
            <w:r>
              <w:rPr>
                <w:rFonts w:hint="eastAsia"/>
                <w:b/>
                <w:bCs/>
                <w:color w:val="auto"/>
                <w:lang w:val="en-US" w:eastAsia="zh-CN"/>
              </w:rPr>
              <w:t>6</w:t>
            </w:r>
            <w:r>
              <w:rPr>
                <w:b/>
                <w:bCs/>
                <w:color w:val="auto"/>
              </w:rPr>
              <w:t xml:space="preserve"> </w:t>
            </w:r>
            <w:r>
              <w:rPr>
                <w:rFonts w:hint="eastAsia"/>
                <w:b/>
                <w:bCs/>
                <w:color w:val="auto"/>
              </w:rPr>
              <w:t>现有项目水平衡</w:t>
            </w:r>
            <w:r>
              <w:rPr>
                <w:b/>
                <w:bCs/>
                <w:color w:val="auto"/>
              </w:rPr>
              <w:t>图</w:t>
            </w:r>
            <w:r>
              <w:rPr>
                <w:rFonts w:hint="eastAsia"/>
                <w:b/>
                <w:bCs/>
                <w:color w:val="auto"/>
              </w:rPr>
              <w:t xml:space="preserve">   </w:t>
            </w:r>
            <w:r>
              <w:rPr>
                <w:rFonts w:hint="eastAsia"/>
                <w:b/>
                <w:bCs/>
              </w:rPr>
              <w:t xml:space="preserve"> 单位：m³/d</w:t>
            </w:r>
          </w:p>
          <w:p>
            <w:pPr>
              <w:keepNext w:val="0"/>
              <w:keepLines w:val="0"/>
              <w:pageBreakBefore w:val="0"/>
              <w:widowControl w:val="0"/>
              <w:numPr>
                <w:ilvl w:val="0"/>
                <w:numId w:val="0"/>
              </w:numPr>
              <w:tabs>
                <w:tab w:val="left" w:pos="622"/>
              </w:tabs>
              <w:kinsoku/>
              <w:wordWrap/>
              <w:overflowPunct/>
              <w:topLinePunct w:val="0"/>
              <w:autoSpaceDE/>
              <w:autoSpaceDN/>
              <w:bidi w:val="0"/>
              <w:adjustRightInd w:val="0"/>
              <w:snapToGrid w:val="0"/>
              <w:spacing w:line="360" w:lineRule="auto"/>
              <w:ind w:firstLine="480" w:firstLineChars="200"/>
              <w:textAlignment w:val="auto"/>
              <w:rPr>
                <w:rFonts w:hint="default"/>
                <w:lang w:val="en-US" w:eastAsia="zh-CN"/>
              </w:rPr>
            </w:pPr>
            <w:r>
              <w:rPr>
                <w:rFonts w:ascii="Times New Roman" w:hAnsi="Times New Roman" w:cs="Times New Roman"/>
              </w:rPr>
              <w:t>废</w:t>
            </w:r>
            <w:r>
              <w:rPr>
                <w:rFonts w:hint="eastAsia" w:cs="Times New Roman"/>
                <w:lang w:val="en-US" w:eastAsia="zh-CN"/>
              </w:rPr>
              <w:t>水</w:t>
            </w:r>
            <w:r>
              <w:rPr>
                <w:rFonts w:ascii="Times New Roman" w:hAnsi="Times New Roman" w:cs="Times New Roman"/>
              </w:rPr>
              <w:t>污染源排放情况引用</w:t>
            </w:r>
            <w:r>
              <w:rPr>
                <w:rFonts w:hint="eastAsia" w:ascii="Times New Roman" w:hAnsi="Times New Roman" w:cs="Times New Roman"/>
                <w:lang w:val="en-US" w:eastAsia="zh-CN"/>
              </w:rPr>
              <w:t>现有工程例行</w:t>
            </w:r>
            <w:r>
              <w:rPr>
                <w:rFonts w:ascii="Times New Roman" w:hAnsi="Times New Roman" w:cs="Times New Roman"/>
              </w:rPr>
              <w:t>监测数据，具体结果</w:t>
            </w:r>
            <w:r>
              <w:rPr>
                <w:rFonts w:hint="eastAsia" w:ascii="Times New Roman" w:hAnsi="Times New Roman" w:cs="Times New Roman"/>
                <w:lang w:val="en-US" w:eastAsia="zh-CN"/>
              </w:rPr>
              <w:t>见</w:t>
            </w:r>
            <w:r>
              <w:rPr>
                <w:rFonts w:ascii="Times New Roman" w:hAnsi="Times New Roman" w:cs="Times New Roman"/>
              </w:rPr>
              <w:t>下</w:t>
            </w:r>
            <w:r>
              <w:rPr>
                <w:rFonts w:hint="eastAsia" w:ascii="Times New Roman" w:hAnsi="Times New Roman" w:cs="Times New Roman"/>
                <w:lang w:val="en-US" w:eastAsia="zh-CN"/>
              </w:rPr>
              <w:t>表</w:t>
            </w:r>
            <w:r>
              <w:rPr>
                <w:rFonts w:ascii="Times New Roman" w:hAnsi="Times New Roman" w:cs="Times New Roman"/>
              </w:rPr>
              <w:t>：</w:t>
            </w:r>
          </w:p>
          <w:p>
            <w:pPr>
              <w:keepNext w:val="0"/>
              <w:keepLines w:val="0"/>
              <w:pageBreakBefore w:val="0"/>
              <w:widowControl w:val="0"/>
              <w:kinsoku/>
              <w:wordWrap/>
              <w:bidi w:val="0"/>
              <w:jc w:val="center"/>
              <w:rPr>
                <w:rFonts w:hint="eastAsia" w:eastAsia="宋体"/>
                <w:b/>
                <w:bCs/>
                <w:lang w:val="en-US" w:eastAsia="zh-CN"/>
              </w:rPr>
            </w:pPr>
            <w:r>
              <w:rPr>
                <w:rFonts w:hint="eastAsia"/>
                <w:b/>
                <w:bCs/>
              </w:rPr>
              <w:t>表</w:t>
            </w:r>
            <w:r>
              <w:rPr>
                <w:rFonts w:hint="eastAsia"/>
                <w:b/>
                <w:bCs/>
                <w:lang w:val="en-US" w:eastAsia="zh-CN"/>
              </w:rPr>
              <w:t>2</w:t>
            </w:r>
            <w:r>
              <w:rPr>
                <w:rFonts w:hint="eastAsia"/>
                <w:b/>
                <w:bCs/>
              </w:rPr>
              <w:t>-</w:t>
            </w:r>
            <w:r>
              <w:rPr>
                <w:rFonts w:hint="eastAsia"/>
                <w:b/>
                <w:bCs/>
                <w:lang w:val="en-US" w:eastAsia="zh-CN"/>
              </w:rPr>
              <w:t>13</w:t>
            </w:r>
            <w:r>
              <w:rPr>
                <w:rFonts w:hint="eastAsia"/>
                <w:b/>
                <w:bCs/>
              </w:rPr>
              <w:t xml:space="preserve"> </w:t>
            </w:r>
            <w:r>
              <w:rPr>
                <w:rFonts w:hint="eastAsia"/>
                <w:b/>
                <w:bCs/>
                <w:lang w:val="en-US" w:eastAsia="zh-CN"/>
              </w:rPr>
              <w:t>现有工程</w:t>
            </w:r>
            <w:r>
              <w:rPr>
                <w:rFonts w:hint="eastAsia"/>
                <w:b/>
                <w:bCs/>
              </w:rPr>
              <w:t>废</w:t>
            </w:r>
            <w:r>
              <w:rPr>
                <w:rFonts w:hint="eastAsia"/>
                <w:b/>
                <w:bCs/>
                <w:lang w:val="en-US" w:eastAsia="zh-CN"/>
              </w:rPr>
              <w:t>水</w:t>
            </w:r>
            <w:r>
              <w:rPr>
                <w:rFonts w:hint="eastAsia"/>
                <w:b/>
                <w:bCs/>
              </w:rPr>
              <w:t>达标排放一览表  单位：mg/</w:t>
            </w:r>
            <w:r>
              <w:rPr>
                <w:rFonts w:hint="eastAsia"/>
                <w:b/>
                <w:bCs/>
                <w:lang w:val="en-US" w:eastAsia="zh-CN"/>
              </w:rPr>
              <w:t>L</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34"/>
              <w:gridCol w:w="1049"/>
              <w:gridCol w:w="835"/>
              <w:gridCol w:w="1167"/>
              <w:gridCol w:w="931"/>
              <w:gridCol w:w="744"/>
              <w:gridCol w:w="909"/>
              <w:gridCol w:w="755"/>
              <w:gridCol w:w="811"/>
              <w:gridCol w:w="69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3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sz w:val="21"/>
                      <w:szCs w:val="21"/>
                    </w:rPr>
                  </w:pPr>
                  <w:r>
                    <w:rPr>
                      <w:b/>
                      <w:bCs/>
                      <w:sz w:val="21"/>
                      <w:szCs w:val="21"/>
                    </w:rPr>
                    <w:t>监测</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b/>
                      <w:bCs/>
                      <w:sz w:val="21"/>
                      <w:szCs w:val="21"/>
                    </w:rPr>
                    <w:t>点位</w:t>
                  </w:r>
                </w:p>
              </w:tc>
              <w:tc>
                <w:tcPr>
                  <w:tcW w:w="1049"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sz w:val="21"/>
                      <w:szCs w:val="21"/>
                    </w:rPr>
                  </w:pPr>
                  <w:r>
                    <w:rPr>
                      <w:b/>
                      <w:bCs/>
                      <w:sz w:val="21"/>
                      <w:szCs w:val="21"/>
                    </w:rPr>
                    <w:t>监测</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b/>
                      <w:bCs/>
                      <w:sz w:val="21"/>
                      <w:szCs w:val="21"/>
                    </w:rPr>
                    <w:t>时间</w:t>
                  </w:r>
                </w:p>
              </w:tc>
              <w:tc>
                <w:tcPr>
                  <w:tcW w:w="83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sz w:val="21"/>
                      <w:szCs w:val="21"/>
                    </w:rPr>
                  </w:pPr>
                  <w:r>
                    <w:rPr>
                      <w:b/>
                      <w:bCs/>
                      <w:sz w:val="21"/>
                      <w:szCs w:val="21"/>
                    </w:rPr>
                    <w:t>监测</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b/>
                      <w:bCs/>
                      <w:sz w:val="21"/>
                      <w:szCs w:val="21"/>
                    </w:rPr>
                    <w:t>频次</w:t>
                  </w:r>
                </w:p>
              </w:tc>
              <w:tc>
                <w:tcPr>
                  <w:tcW w:w="6007" w:type="dxa"/>
                  <w:gridSpan w:val="7"/>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pacing w:val="-9"/>
                      <w:sz w:val="24"/>
                      <w:vertAlign w:val="baseline"/>
                      <w:lang w:val="en-US" w:eastAsia="zh-CN"/>
                    </w:rPr>
                  </w:pPr>
                  <w:r>
                    <w:rPr>
                      <w:b/>
                      <w:bCs/>
                      <w:sz w:val="21"/>
                      <w:szCs w:val="21"/>
                    </w:rPr>
                    <w:t>监测结果（单位：mg/L，注明的除外）</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3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p>
              </w:tc>
              <w:tc>
                <w:tcPr>
                  <w:tcW w:w="1049"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p>
              </w:tc>
              <w:tc>
                <w:tcPr>
                  <w:tcW w:w="83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p>
              </w:tc>
              <w:tc>
                <w:tcPr>
                  <w:tcW w:w="116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sz w:val="21"/>
                      <w:szCs w:val="21"/>
                    </w:rPr>
                  </w:pPr>
                  <w:r>
                    <w:rPr>
                      <w:b/>
                      <w:bCs/>
                      <w:sz w:val="21"/>
                      <w:szCs w:val="21"/>
                    </w:rPr>
                    <w:t>pH</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b/>
                      <w:bCs/>
                      <w:sz w:val="21"/>
                      <w:szCs w:val="21"/>
                    </w:rPr>
                    <w:t>（无量纲）</w:t>
                  </w:r>
                </w:p>
              </w:tc>
              <w:tc>
                <w:tcPr>
                  <w:tcW w:w="9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b/>
                      <w:bCs/>
                      <w:sz w:val="21"/>
                      <w:szCs w:val="21"/>
                    </w:rPr>
                    <w:t>COD</w:t>
                  </w:r>
                  <w:r>
                    <w:rPr>
                      <w:b/>
                      <w:bCs/>
                      <w:sz w:val="21"/>
                      <w:szCs w:val="21"/>
                      <w:vertAlign w:val="subscript"/>
                    </w:rPr>
                    <w:t>Cr</w:t>
                  </w:r>
                </w:p>
              </w:tc>
              <w:tc>
                <w:tcPr>
                  <w:tcW w:w="7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b/>
                      <w:bCs/>
                      <w:sz w:val="21"/>
                      <w:szCs w:val="21"/>
                    </w:rPr>
                    <w:t>BOD</w:t>
                  </w:r>
                  <w:r>
                    <w:rPr>
                      <w:b/>
                      <w:bCs/>
                      <w:sz w:val="21"/>
                      <w:szCs w:val="21"/>
                      <w:vertAlign w:val="subscript"/>
                    </w:rPr>
                    <w:t>5</w:t>
                  </w:r>
                </w:p>
              </w:tc>
              <w:tc>
                <w:tcPr>
                  <w:tcW w:w="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b/>
                      <w:bCs/>
                      <w:sz w:val="21"/>
                      <w:szCs w:val="21"/>
                    </w:rPr>
                    <w:t>NH</w:t>
                  </w:r>
                  <w:r>
                    <w:rPr>
                      <w:b/>
                      <w:bCs/>
                      <w:sz w:val="21"/>
                      <w:szCs w:val="21"/>
                      <w:vertAlign w:val="subscript"/>
                    </w:rPr>
                    <w:t>3</w:t>
                  </w:r>
                  <w:r>
                    <w:rPr>
                      <w:b/>
                      <w:bCs/>
                      <w:sz w:val="21"/>
                      <w:szCs w:val="21"/>
                    </w:rPr>
                    <w:t>-N</w:t>
                  </w:r>
                </w:p>
              </w:tc>
              <w:tc>
                <w:tcPr>
                  <w:tcW w:w="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b/>
                      <w:bCs/>
                      <w:sz w:val="21"/>
                      <w:szCs w:val="21"/>
                    </w:rPr>
                    <w:t>SS</w:t>
                  </w:r>
                </w:p>
              </w:tc>
              <w:tc>
                <w:tcPr>
                  <w:tcW w:w="8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b/>
                      <w:bCs/>
                      <w:sz w:val="21"/>
                      <w:szCs w:val="21"/>
                      <w:lang w:val="en-US" w:eastAsia="zh-CN"/>
                    </w:rPr>
                    <w:t>TN</w:t>
                  </w:r>
                </w:p>
              </w:tc>
              <w:tc>
                <w:tcPr>
                  <w:tcW w:w="6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b/>
                      <w:bCs/>
                      <w:sz w:val="21"/>
                      <w:szCs w:val="21"/>
                      <w:lang w:val="en-US" w:eastAsia="zh-CN"/>
                    </w:rPr>
                    <w:t>TP</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3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sz w:val="21"/>
                      <w:szCs w:val="21"/>
                    </w:rPr>
                  </w:pPr>
                  <w:r>
                    <w:rPr>
                      <w:sz w:val="21"/>
                      <w:szCs w:val="21"/>
                    </w:rPr>
                    <w:t>污水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pacing w:val="-9"/>
                      <w:sz w:val="24"/>
                      <w:vertAlign w:val="baseline"/>
                      <w:lang w:val="en-US" w:eastAsia="zh-CN"/>
                    </w:rPr>
                  </w:pPr>
                  <w:r>
                    <w:rPr>
                      <w:sz w:val="21"/>
                      <w:szCs w:val="21"/>
                    </w:rPr>
                    <w:t>总排口</w:t>
                  </w:r>
                </w:p>
              </w:tc>
              <w:tc>
                <w:tcPr>
                  <w:tcW w:w="1049"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pacing w:val="-9"/>
                      <w:sz w:val="24"/>
                      <w:vertAlign w:val="baseline"/>
                      <w:lang w:val="en-US" w:eastAsia="zh-CN"/>
                    </w:rPr>
                  </w:pPr>
                  <w:r>
                    <w:rPr>
                      <w:sz w:val="21"/>
                      <w:szCs w:val="21"/>
                    </w:rPr>
                    <w:t>202</w:t>
                  </w:r>
                  <w:r>
                    <w:rPr>
                      <w:rFonts w:hint="eastAsia"/>
                      <w:sz w:val="21"/>
                      <w:szCs w:val="21"/>
                      <w:lang w:val="en-US" w:eastAsia="zh-CN"/>
                    </w:rPr>
                    <w:t>3</w:t>
                  </w:r>
                  <w:r>
                    <w:rPr>
                      <w:sz w:val="21"/>
                      <w:szCs w:val="21"/>
                    </w:rPr>
                    <w:t>.</w:t>
                  </w:r>
                  <w:r>
                    <w:rPr>
                      <w:rFonts w:hint="eastAsia"/>
                      <w:sz w:val="21"/>
                      <w:szCs w:val="21"/>
                      <w:lang w:val="en-US" w:eastAsia="zh-CN"/>
                    </w:rPr>
                    <w:t>5</w:t>
                  </w:r>
                  <w:r>
                    <w:rPr>
                      <w:sz w:val="21"/>
                      <w:szCs w:val="21"/>
                    </w:rPr>
                    <w:t>.</w:t>
                  </w:r>
                  <w:r>
                    <w:rPr>
                      <w:rFonts w:hint="eastAsia"/>
                      <w:sz w:val="21"/>
                      <w:szCs w:val="21"/>
                      <w:lang w:val="en-US" w:eastAsia="zh-CN"/>
                    </w:rPr>
                    <w:t>11</w:t>
                  </w:r>
                </w:p>
              </w:tc>
              <w:tc>
                <w:tcPr>
                  <w:tcW w:w="8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sz w:val="21"/>
                      <w:szCs w:val="21"/>
                    </w:rPr>
                    <w:t>1</w:t>
                  </w:r>
                </w:p>
              </w:tc>
              <w:tc>
                <w:tcPr>
                  <w:tcW w:w="116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b w:val="0"/>
                      <w:bCs w:val="0"/>
                      <w:sz w:val="21"/>
                      <w:szCs w:val="21"/>
                    </w:rPr>
                    <w:t>7.</w:t>
                  </w:r>
                  <w:r>
                    <w:rPr>
                      <w:rFonts w:hint="eastAsia"/>
                      <w:b w:val="0"/>
                      <w:bCs w:val="0"/>
                      <w:sz w:val="21"/>
                      <w:szCs w:val="21"/>
                      <w:lang w:val="en-US" w:eastAsia="zh-CN"/>
                    </w:rPr>
                    <w:t>30</w:t>
                  </w:r>
                </w:p>
              </w:tc>
              <w:tc>
                <w:tcPr>
                  <w:tcW w:w="9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sz w:val="21"/>
                      <w:szCs w:val="21"/>
                    </w:rPr>
                    <w:t>7</w:t>
                  </w:r>
                  <w:r>
                    <w:rPr>
                      <w:rFonts w:hint="eastAsia"/>
                      <w:sz w:val="21"/>
                      <w:szCs w:val="21"/>
                      <w:lang w:val="en-US" w:eastAsia="zh-CN"/>
                    </w:rPr>
                    <w:t>5</w:t>
                  </w:r>
                </w:p>
              </w:tc>
              <w:tc>
                <w:tcPr>
                  <w:tcW w:w="7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30.2</w:t>
                  </w:r>
                </w:p>
              </w:tc>
              <w:tc>
                <w:tcPr>
                  <w:tcW w:w="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3.82</w:t>
                  </w:r>
                </w:p>
              </w:tc>
              <w:tc>
                <w:tcPr>
                  <w:tcW w:w="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22</w:t>
                  </w:r>
                </w:p>
              </w:tc>
              <w:tc>
                <w:tcPr>
                  <w:tcW w:w="8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9.79</w:t>
                  </w:r>
                </w:p>
              </w:tc>
              <w:tc>
                <w:tcPr>
                  <w:tcW w:w="6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0.19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34"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pacing w:val="-9"/>
                      <w:sz w:val="24"/>
                      <w:vertAlign w:val="baseline"/>
                      <w:lang w:val="en-US" w:eastAsia="zh-CN"/>
                    </w:rPr>
                  </w:pPr>
                </w:p>
              </w:tc>
              <w:tc>
                <w:tcPr>
                  <w:tcW w:w="104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pacing w:val="-9"/>
                      <w:sz w:val="24"/>
                      <w:vertAlign w:val="baseline"/>
                      <w:lang w:val="en-US" w:eastAsia="zh-CN"/>
                    </w:rPr>
                  </w:pPr>
                </w:p>
              </w:tc>
              <w:tc>
                <w:tcPr>
                  <w:tcW w:w="8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sz w:val="21"/>
                      <w:szCs w:val="21"/>
                    </w:rPr>
                    <w:t>2</w:t>
                  </w:r>
                </w:p>
              </w:tc>
              <w:tc>
                <w:tcPr>
                  <w:tcW w:w="116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sz w:val="21"/>
                      <w:szCs w:val="21"/>
                    </w:rPr>
                    <w:t>7.</w:t>
                  </w:r>
                  <w:r>
                    <w:rPr>
                      <w:rFonts w:hint="eastAsia"/>
                      <w:sz w:val="21"/>
                      <w:szCs w:val="21"/>
                      <w:lang w:val="en-US" w:eastAsia="zh-CN"/>
                    </w:rPr>
                    <w:t>30</w:t>
                  </w:r>
                </w:p>
              </w:tc>
              <w:tc>
                <w:tcPr>
                  <w:tcW w:w="9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84</w:t>
                  </w:r>
                </w:p>
              </w:tc>
              <w:tc>
                <w:tcPr>
                  <w:tcW w:w="7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33.4</w:t>
                  </w:r>
                </w:p>
              </w:tc>
              <w:tc>
                <w:tcPr>
                  <w:tcW w:w="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3.77</w:t>
                  </w:r>
                </w:p>
              </w:tc>
              <w:tc>
                <w:tcPr>
                  <w:tcW w:w="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sz w:val="21"/>
                      <w:szCs w:val="21"/>
                    </w:rPr>
                    <w:t>2</w:t>
                  </w:r>
                  <w:r>
                    <w:rPr>
                      <w:rFonts w:hint="eastAsia"/>
                      <w:sz w:val="21"/>
                      <w:szCs w:val="21"/>
                      <w:lang w:val="en-US" w:eastAsia="zh-CN"/>
                    </w:rPr>
                    <w:t>6</w:t>
                  </w:r>
                </w:p>
              </w:tc>
              <w:tc>
                <w:tcPr>
                  <w:tcW w:w="8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9.74</w:t>
                  </w:r>
                </w:p>
              </w:tc>
              <w:tc>
                <w:tcPr>
                  <w:tcW w:w="6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0.23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34"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pacing w:val="-9"/>
                      <w:sz w:val="24"/>
                      <w:vertAlign w:val="baseline"/>
                      <w:lang w:val="en-US" w:eastAsia="zh-CN"/>
                    </w:rPr>
                  </w:pPr>
                </w:p>
              </w:tc>
              <w:tc>
                <w:tcPr>
                  <w:tcW w:w="104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pacing w:val="-9"/>
                      <w:sz w:val="24"/>
                      <w:vertAlign w:val="baseline"/>
                      <w:lang w:val="en-US" w:eastAsia="zh-CN"/>
                    </w:rPr>
                  </w:pPr>
                </w:p>
              </w:tc>
              <w:tc>
                <w:tcPr>
                  <w:tcW w:w="8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sz w:val="21"/>
                      <w:szCs w:val="21"/>
                    </w:rPr>
                    <w:t>3</w:t>
                  </w:r>
                </w:p>
              </w:tc>
              <w:tc>
                <w:tcPr>
                  <w:tcW w:w="116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sz w:val="21"/>
                      <w:szCs w:val="21"/>
                    </w:rPr>
                    <w:t>7.</w:t>
                  </w:r>
                  <w:r>
                    <w:rPr>
                      <w:rFonts w:hint="eastAsia"/>
                      <w:sz w:val="21"/>
                      <w:szCs w:val="21"/>
                      <w:lang w:val="en-US" w:eastAsia="zh-CN"/>
                    </w:rPr>
                    <w:t>20</w:t>
                  </w:r>
                </w:p>
              </w:tc>
              <w:tc>
                <w:tcPr>
                  <w:tcW w:w="9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80</w:t>
                  </w:r>
                </w:p>
              </w:tc>
              <w:tc>
                <w:tcPr>
                  <w:tcW w:w="7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31.7</w:t>
                  </w:r>
                </w:p>
              </w:tc>
              <w:tc>
                <w:tcPr>
                  <w:tcW w:w="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3.88</w:t>
                  </w:r>
                </w:p>
              </w:tc>
              <w:tc>
                <w:tcPr>
                  <w:tcW w:w="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19</w:t>
                  </w:r>
                </w:p>
              </w:tc>
              <w:tc>
                <w:tcPr>
                  <w:tcW w:w="8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9.84</w:t>
                  </w:r>
                </w:p>
              </w:tc>
              <w:tc>
                <w:tcPr>
                  <w:tcW w:w="6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0.20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834"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pacing w:val="-9"/>
                      <w:sz w:val="24"/>
                      <w:vertAlign w:val="baseline"/>
                      <w:lang w:val="en-US" w:eastAsia="zh-CN"/>
                    </w:rPr>
                  </w:pPr>
                </w:p>
              </w:tc>
              <w:tc>
                <w:tcPr>
                  <w:tcW w:w="104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spacing w:val="-9"/>
                      <w:sz w:val="24"/>
                      <w:vertAlign w:val="baseline"/>
                      <w:lang w:val="en-US" w:eastAsia="zh-CN"/>
                    </w:rPr>
                  </w:pPr>
                </w:p>
              </w:tc>
              <w:tc>
                <w:tcPr>
                  <w:tcW w:w="8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sz w:val="21"/>
                      <w:szCs w:val="21"/>
                    </w:rPr>
                  </w:pPr>
                  <w:r>
                    <w:rPr>
                      <w:sz w:val="21"/>
                      <w:szCs w:val="21"/>
                    </w:rPr>
                    <w:t>日均值</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sz w:val="21"/>
                      <w:szCs w:val="21"/>
                    </w:rPr>
                    <w:t>/范围</w:t>
                  </w:r>
                </w:p>
              </w:tc>
              <w:tc>
                <w:tcPr>
                  <w:tcW w:w="116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7.27</w:t>
                  </w:r>
                </w:p>
              </w:tc>
              <w:tc>
                <w:tcPr>
                  <w:tcW w:w="9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79.67</w:t>
                  </w:r>
                </w:p>
              </w:tc>
              <w:tc>
                <w:tcPr>
                  <w:tcW w:w="7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31.77</w:t>
                  </w:r>
                </w:p>
              </w:tc>
              <w:tc>
                <w:tcPr>
                  <w:tcW w:w="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3.82</w:t>
                  </w:r>
                </w:p>
              </w:tc>
              <w:tc>
                <w:tcPr>
                  <w:tcW w:w="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22.33</w:t>
                  </w:r>
                </w:p>
              </w:tc>
              <w:tc>
                <w:tcPr>
                  <w:tcW w:w="8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9.79</w:t>
                  </w:r>
                </w:p>
              </w:tc>
              <w:tc>
                <w:tcPr>
                  <w:tcW w:w="6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pacing w:val="-9"/>
                      <w:sz w:val="24"/>
                      <w:vertAlign w:val="baseline"/>
                      <w:lang w:val="en-US" w:eastAsia="zh-CN"/>
                    </w:rPr>
                  </w:pPr>
                  <w:r>
                    <w:rPr>
                      <w:rFonts w:hint="eastAsia"/>
                      <w:sz w:val="21"/>
                      <w:szCs w:val="21"/>
                      <w:lang w:val="en-US" w:eastAsia="zh-CN"/>
                    </w:rPr>
                    <w:t>0.21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718"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sz w:val="21"/>
                      <w:szCs w:val="21"/>
                      <w:lang w:val="en-US" w:eastAsia="zh-CN"/>
                    </w:rPr>
                  </w:pPr>
                  <w:r>
                    <w:rPr>
                      <w:rFonts w:hint="eastAsia"/>
                      <w:b/>
                      <w:bCs/>
                      <w:sz w:val="21"/>
                      <w:szCs w:val="21"/>
                      <w:lang w:val="en-US" w:eastAsia="zh-CN"/>
                    </w:rPr>
                    <w:t>标准限值</w:t>
                  </w:r>
                </w:p>
              </w:tc>
              <w:tc>
                <w:tcPr>
                  <w:tcW w:w="116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lang w:val="en-US" w:eastAsia="zh-CN"/>
                    </w:rPr>
                  </w:pPr>
                  <w:r>
                    <w:rPr>
                      <w:rFonts w:ascii="Times New Roman"/>
                      <w:b/>
                      <w:spacing w:val="-5"/>
                      <w:sz w:val="21"/>
                    </w:rPr>
                    <w:t>6~9</w:t>
                  </w:r>
                </w:p>
              </w:tc>
              <w:tc>
                <w:tcPr>
                  <w:tcW w:w="9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sz w:val="21"/>
                      <w:szCs w:val="21"/>
                      <w:lang w:val="en-US" w:eastAsia="zh-CN"/>
                    </w:rPr>
                  </w:pPr>
                  <w:r>
                    <w:rPr>
                      <w:rFonts w:hint="eastAsia"/>
                      <w:b/>
                      <w:bCs/>
                      <w:sz w:val="21"/>
                      <w:szCs w:val="21"/>
                      <w:lang w:val="en-US" w:eastAsia="zh-CN"/>
                    </w:rPr>
                    <w:t>250</w:t>
                  </w:r>
                </w:p>
              </w:tc>
              <w:tc>
                <w:tcPr>
                  <w:tcW w:w="7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sz w:val="21"/>
                      <w:szCs w:val="21"/>
                      <w:lang w:val="en-US" w:eastAsia="zh-CN"/>
                    </w:rPr>
                  </w:pPr>
                  <w:r>
                    <w:rPr>
                      <w:rFonts w:hint="eastAsia"/>
                      <w:b/>
                      <w:bCs/>
                      <w:sz w:val="21"/>
                      <w:szCs w:val="21"/>
                      <w:lang w:val="en-US" w:eastAsia="zh-CN"/>
                    </w:rPr>
                    <w:t>150</w:t>
                  </w:r>
                </w:p>
              </w:tc>
              <w:tc>
                <w:tcPr>
                  <w:tcW w:w="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sz w:val="21"/>
                      <w:szCs w:val="21"/>
                      <w:lang w:val="en-US" w:eastAsia="zh-CN"/>
                    </w:rPr>
                  </w:pPr>
                  <w:r>
                    <w:rPr>
                      <w:rFonts w:hint="eastAsia"/>
                      <w:b/>
                      <w:bCs/>
                      <w:sz w:val="21"/>
                      <w:szCs w:val="21"/>
                      <w:lang w:val="en-US" w:eastAsia="zh-CN"/>
                    </w:rPr>
                    <w:t>35</w:t>
                  </w:r>
                </w:p>
              </w:tc>
              <w:tc>
                <w:tcPr>
                  <w:tcW w:w="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sz w:val="21"/>
                      <w:szCs w:val="21"/>
                      <w:lang w:val="en-US" w:eastAsia="zh-CN"/>
                    </w:rPr>
                  </w:pPr>
                  <w:r>
                    <w:rPr>
                      <w:rFonts w:hint="eastAsia"/>
                      <w:b/>
                      <w:bCs/>
                      <w:sz w:val="21"/>
                      <w:szCs w:val="21"/>
                      <w:lang w:val="en-US" w:eastAsia="zh-CN"/>
                    </w:rPr>
                    <w:t>200</w:t>
                  </w:r>
                </w:p>
              </w:tc>
              <w:tc>
                <w:tcPr>
                  <w:tcW w:w="8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sz w:val="21"/>
                      <w:szCs w:val="21"/>
                      <w:lang w:val="en-US" w:eastAsia="zh-CN"/>
                    </w:rPr>
                  </w:pPr>
                  <w:r>
                    <w:rPr>
                      <w:rFonts w:hint="eastAsia"/>
                      <w:b/>
                      <w:bCs/>
                      <w:sz w:val="21"/>
                      <w:szCs w:val="21"/>
                      <w:lang w:val="en-US" w:eastAsia="zh-CN"/>
                    </w:rPr>
                    <w:t>70</w:t>
                  </w:r>
                </w:p>
              </w:tc>
              <w:tc>
                <w:tcPr>
                  <w:tcW w:w="6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b/>
                      <w:bCs/>
                      <w:sz w:val="21"/>
                      <w:szCs w:val="21"/>
                      <w:lang w:val="en-US" w:eastAsia="zh-CN"/>
                    </w:rPr>
                  </w:pPr>
                  <w:r>
                    <w:rPr>
                      <w:rFonts w:hint="eastAsia"/>
                      <w:b/>
                      <w:bCs/>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3" w:hRule="atLeast"/>
              </w:trPr>
              <w:tc>
                <w:tcPr>
                  <w:tcW w:w="2718"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bCs/>
                      <w:sz w:val="21"/>
                      <w:szCs w:val="21"/>
                      <w:lang w:val="en-US" w:eastAsia="zh-CN"/>
                    </w:rPr>
                  </w:pPr>
                  <w:r>
                    <w:rPr>
                      <w:rFonts w:hint="eastAsia"/>
                      <w:b/>
                      <w:bCs/>
                      <w:sz w:val="21"/>
                      <w:szCs w:val="21"/>
                      <w:lang w:val="en-US" w:eastAsia="zh-CN"/>
                    </w:rPr>
                    <w:t>是否达标</w:t>
                  </w:r>
                </w:p>
              </w:tc>
              <w:tc>
                <w:tcPr>
                  <w:tcW w:w="116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sz w:val="21"/>
                      <w:szCs w:val="21"/>
                      <w:lang w:val="en-US" w:eastAsia="zh-CN"/>
                    </w:rPr>
                  </w:pPr>
                  <w:r>
                    <w:rPr>
                      <w:rFonts w:hint="eastAsia"/>
                      <w:sz w:val="21"/>
                      <w:szCs w:val="21"/>
                      <w:lang w:val="en-US" w:eastAsia="zh-CN"/>
                    </w:rPr>
                    <w:t>达标</w:t>
                  </w:r>
                </w:p>
              </w:tc>
              <w:tc>
                <w:tcPr>
                  <w:tcW w:w="9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达标</w:t>
                  </w:r>
                </w:p>
              </w:tc>
              <w:tc>
                <w:tcPr>
                  <w:tcW w:w="74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达标</w:t>
                  </w:r>
                </w:p>
              </w:tc>
              <w:tc>
                <w:tcPr>
                  <w:tcW w:w="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达标</w:t>
                  </w:r>
                </w:p>
              </w:tc>
              <w:tc>
                <w:tcPr>
                  <w:tcW w:w="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达标</w:t>
                  </w:r>
                </w:p>
              </w:tc>
              <w:tc>
                <w:tcPr>
                  <w:tcW w:w="8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达标</w:t>
                  </w:r>
                </w:p>
              </w:tc>
              <w:tc>
                <w:tcPr>
                  <w:tcW w:w="6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达标</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44" w:firstLineChars="200"/>
              <w:textAlignment w:val="auto"/>
              <w:rPr>
                <w:rFonts w:hint="eastAsia" w:eastAsia="宋体"/>
                <w:spacing w:val="-9"/>
                <w:sz w:val="24"/>
                <w:vertAlign w:val="baseline"/>
                <w:lang w:val="en-US" w:eastAsia="zh-CN"/>
              </w:rPr>
            </w:pPr>
            <w:r>
              <w:rPr>
                <w:rFonts w:hint="eastAsia"/>
                <w:spacing w:val="-9"/>
                <w:sz w:val="24"/>
                <w:vertAlign w:val="baseline"/>
                <w:lang w:val="en-US" w:eastAsia="zh-CN"/>
              </w:rPr>
              <w:t>根据上表可知，现有工程废水污染物排放可以满足</w:t>
            </w:r>
            <w:r>
              <w:t>《污水综合排放标准》（GB8978-1996）三级标准及</w:t>
            </w:r>
            <w:r>
              <w:rPr>
                <w:rFonts w:hint="eastAsia"/>
              </w:rPr>
              <w:t>信息产业园</w:t>
            </w:r>
            <w:r>
              <w:t>污水处理</w:t>
            </w:r>
            <w:r>
              <w:rPr>
                <w:rFonts w:hint="eastAsia"/>
              </w:rPr>
              <w:t>厂</w:t>
            </w:r>
            <w:r>
              <w:t>接管标准，其中总磷、总氮</w:t>
            </w:r>
            <w:r>
              <w:rPr>
                <w:rFonts w:hint="eastAsia"/>
                <w:lang w:val="en-US" w:eastAsia="zh-CN"/>
              </w:rPr>
              <w:t>排放满足</w:t>
            </w:r>
            <w:r>
              <w:t>GB/T31962-2015《污水排入城镇下水道水质标准》表1中B等级标准</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4" w:firstLineChars="200"/>
              <w:textAlignment w:val="auto"/>
              <w:rPr>
                <w:rFonts w:hint="eastAsia"/>
                <w:spacing w:val="-9"/>
                <w:sz w:val="24"/>
                <w:vertAlign w:val="baseline"/>
                <w:lang w:val="en-US" w:eastAsia="zh-CN"/>
              </w:rPr>
            </w:pPr>
            <w:r>
              <w:rPr>
                <w:rFonts w:hint="eastAsia" w:ascii="Times New Roman" w:hAnsi="Times New Roman" w:eastAsia="宋体" w:cs="Times New Roman"/>
                <w:spacing w:val="-9"/>
                <w:kern w:val="2"/>
                <w:sz w:val="24"/>
                <w:szCs w:val="24"/>
                <w:vertAlign w:val="baseline"/>
                <w:lang w:val="en-US" w:eastAsia="zh-CN" w:bidi="ar-SA"/>
              </w:rPr>
              <w:t>（3）</w:t>
            </w:r>
            <w:r>
              <w:rPr>
                <w:rFonts w:hint="eastAsia"/>
                <w:spacing w:val="-9"/>
                <w:sz w:val="24"/>
                <w:vertAlign w:val="baseline"/>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spacing w:val="-9"/>
                <w:sz w:val="24"/>
                <w:vertAlign w:val="baseline"/>
                <w:lang w:val="en-US" w:eastAsia="zh-CN"/>
              </w:rPr>
            </w:pPr>
            <w:r>
              <w:rPr>
                <w:rFonts w:hint="eastAsia"/>
                <w:sz w:val="24"/>
                <w:szCs w:val="24"/>
                <w:lang w:val="en-US" w:eastAsia="zh-CN"/>
              </w:rPr>
              <w:t>现有工程</w:t>
            </w:r>
            <w:r>
              <w:rPr>
                <w:sz w:val="24"/>
                <w:szCs w:val="24"/>
              </w:rPr>
              <w:t>配备低噪声设备，对配备的设备合理布局，采取基础减振、隔声、距离衰减等措施降低噪声影响</w:t>
            </w:r>
            <w:r>
              <w:rPr>
                <w:rFonts w:hint="eastAsia"/>
                <w:sz w:val="24"/>
                <w:szCs w:val="24"/>
                <w:lang w:eastAsia="zh-CN"/>
              </w:rPr>
              <w:t>。</w:t>
            </w:r>
            <w:r>
              <w:rPr>
                <w:rFonts w:hint="eastAsia"/>
                <w:spacing w:val="-9"/>
                <w:sz w:val="24"/>
                <w:vertAlign w:val="baseline"/>
                <w:lang w:val="en-US" w:eastAsia="zh-CN"/>
              </w:rPr>
              <w:t>根据企业例行监测数据，现有工程噪声检测见下表：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b/>
                <w:bCs/>
                <w:lang w:val="en-US" w:eastAsia="zh-CN"/>
              </w:rPr>
            </w:pPr>
            <w:r>
              <w:rPr>
                <w:rFonts w:hint="eastAsia"/>
                <w:b/>
                <w:bCs/>
                <w:lang w:val="en-US" w:eastAsia="zh-CN"/>
              </w:rPr>
              <w:t xml:space="preserve"> </w:t>
            </w:r>
            <w:r>
              <w:rPr>
                <w:rFonts w:hint="eastAsia"/>
                <w:b/>
                <w:bCs/>
              </w:rPr>
              <w:t>表</w:t>
            </w:r>
            <w:r>
              <w:rPr>
                <w:rFonts w:hint="eastAsia"/>
                <w:b/>
                <w:bCs/>
                <w:lang w:val="en-US" w:eastAsia="zh-CN"/>
              </w:rPr>
              <w:t>2</w:t>
            </w:r>
            <w:r>
              <w:rPr>
                <w:rFonts w:hint="eastAsia"/>
                <w:b/>
                <w:bCs/>
              </w:rPr>
              <w:t>-</w:t>
            </w:r>
            <w:r>
              <w:rPr>
                <w:rFonts w:hint="eastAsia"/>
                <w:b/>
                <w:bCs/>
                <w:lang w:val="en-US" w:eastAsia="zh-CN"/>
              </w:rPr>
              <w:t>14</w:t>
            </w:r>
            <w:r>
              <w:rPr>
                <w:rFonts w:hint="eastAsia"/>
                <w:b/>
                <w:bCs/>
              </w:rPr>
              <w:t xml:space="preserve"> </w:t>
            </w:r>
            <w:r>
              <w:rPr>
                <w:rFonts w:hint="eastAsia"/>
                <w:b/>
                <w:bCs/>
                <w:lang w:val="en-US" w:eastAsia="zh-CN"/>
              </w:rPr>
              <w:t>现有工程噪声检测一览表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2181"/>
              <w:gridCol w:w="2181"/>
              <w:gridCol w:w="21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181"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编号</w:t>
                  </w:r>
                </w:p>
              </w:tc>
              <w:tc>
                <w:tcPr>
                  <w:tcW w:w="2181"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检测点位</w:t>
                  </w:r>
                </w:p>
              </w:tc>
              <w:tc>
                <w:tcPr>
                  <w:tcW w:w="4363"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2023.05.11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p>
              </w:tc>
              <w:tc>
                <w:tcPr>
                  <w:tcW w:w="218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昼间Leq</w:t>
                  </w:r>
                </w:p>
              </w:tc>
              <w:tc>
                <w:tcPr>
                  <w:tcW w:w="218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夜间Leq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w:t>
                  </w: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厂界东侧外1m</w:t>
                  </w: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54.3</w:t>
                  </w:r>
                </w:p>
              </w:tc>
              <w:tc>
                <w:tcPr>
                  <w:tcW w:w="218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47.2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厂界南侧外1m</w:t>
                  </w: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57.5</w:t>
                  </w:r>
                </w:p>
              </w:tc>
              <w:tc>
                <w:tcPr>
                  <w:tcW w:w="218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45.2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3</w:t>
                  </w: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厂界西侧外1m</w:t>
                  </w: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55.2</w:t>
                  </w:r>
                </w:p>
              </w:tc>
              <w:tc>
                <w:tcPr>
                  <w:tcW w:w="218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42.3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4</w:t>
                  </w: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厂界北侧外1m</w:t>
                  </w: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54.1</w:t>
                  </w:r>
                </w:p>
              </w:tc>
              <w:tc>
                <w:tcPr>
                  <w:tcW w:w="218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44.6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2"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标准值</w:t>
                  </w: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65</w:t>
                  </w:r>
                </w:p>
              </w:tc>
              <w:tc>
                <w:tcPr>
                  <w:tcW w:w="218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2"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是否达标</w:t>
                  </w:r>
                </w:p>
              </w:tc>
              <w:tc>
                <w:tcPr>
                  <w:tcW w:w="218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达标</w:t>
                  </w:r>
                </w:p>
              </w:tc>
              <w:tc>
                <w:tcPr>
                  <w:tcW w:w="218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pPr>
            <w:r>
              <w:rPr>
                <w:rFonts w:hint="eastAsia"/>
                <w:lang w:val="en-US" w:eastAsia="zh-CN"/>
              </w:rPr>
              <w:t>根据上表可知，现有工程</w:t>
            </w:r>
            <w:r>
              <w:t>厂界东、厂界南、厂界</w:t>
            </w:r>
            <w:r>
              <w:rPr>
                <w:rFonts w:hint="eastAsia"/>
                <w:lang w:val="en-US" w:eastAsia="zh-CN"/>
              </w:rPr>
              <w:t>西</w:t>
            </w:r>
            <w:r>
              <w:rPr>
                <w:rFonts w:hint="eastAsia"/>
                <w:lang w:eastAsia="zh-CN"/>
              </w:rPr>
              <w:t>、</w:t>
            </w:r>
            <w:r>
              <w:t xml:space="preserve">厂界北 </w:t>
            </w:r>
            <w:r>
              <w:rPr>
                <w:rFonts w:hint="eastAsia"/>
                <w:lang w:val="en-US" w:eastAsia="zh-CN"/>
              </w:rPr>
              <w:t>4</w:t>
            </w:r>
            <w:r>
              <w:t>个监测点厂界噪声的</w:t>
            </w:r>
            <w:r>
              <w:rPr>
                <w:rFonts w:hint="eastAsia"/>
                <w:lang w:val="en-US" w:eastAsia="zh-CN"/>
              </w:rPr>
              <w:t>检</w:t>
            </w:r>
            <w:r>
              <w:t>测结果均符合《工业企业厂界环境噪声排放标准》（GB 12348-2008）中 3类区标准限值要求。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val="0"/>
                <w:lang w:val="en-US" w:eastAsia="zh-CN"/>
              </w:rPr>
            </w:pPr>
            <w:r>
              <w:rPr>
                <w:rFonts w:hint="eastAsia" w:ascii="Times New Roman" w:hAnsi="Times New Roman" w:eastAsia="宋体" w:cs="Times New Roman"/>
                <w:b w:val="0"/>
                <w:bCs w:val="0"/>
                <w:kern w:val="2"/>
                <w:sz w:val="24"/>
                <w:szCs w:val="24"/>
                <w:lang w:val="en-US" w:eastAsia="zh-CN" w:bidi="ar-SA"/>
              </w:rPr>
              <w:t>（4）</w:t>
            </w:r>
            <w:r>
              <w:rPr>
                <w:rFonts w:hint="eastAsia"/>
                <w:b w:val="0"/>
                <w:bCs w:val="0"/>
                <w:lang w:val="en-US" w:eastAsia="zh-CN"/>
              </w:rPr>
              <w:t>固废</w:t>
            </w:r>
          </w:p>
          <w:p>
            <w:pPr>
              <w:keepNext w:val="0"/>
              <w:keepLines w:val="0"/>
              <w:pageBreakBefore w:val="0"/>
              <w:widowControl w:val="0"/>
              <w:tabs>
                <w:tab w:val="left" w:pos="8945"/>
              </w:tabs>
              <w:kinsoku/>
              <w:wordWrap/>
              <w:bidi w:val="0"/>
              <w:spacing w:line="360" w:lineRule="auto"/>
              <w:ind w:firstLine="480" w:firstLineChars="200"/>
              <w:rPr>
                <w:rFonts w:ascii="Times New Roman" w:hAnsi="Times New Roman" w:cs="Times New Roman"/>
                <w:color w:val="auto"/>
                <w:lang w:eastAsia="zh-CN"/>
              </w:rPr>
            </w:pPr>
            <w:r>
              <w:rPr>
                <w:rFonts w:hint="eastAsia"/>
                <w:b w:val="0"/>
                <w:bCs w:val="0"/>
                <w:sz w:val="24"/>
                <w:szCs w:val="24"/>
                <w:lang w:val="en-US" w:eastAsia="zh-CN"/>
              </w:rPr>
              <w:t>企业现有一座占地面积50m</w:t>
            </w:r>
            <w:r>
              <w:rPr>
                <w:rFonts w:hint="eastAsia"/>
                <w:b w:val="0"/>
                <w:bCs w:val="0"/>
                <w:sz w:val="24"/>
                <w:szCs w:val="24"/>
                <w:vertAlign w:val="superscript"/>
                <w:lang w:val="en-US" w:eastAsia="zh-CN"/>
              </w:rPr>
              <w:t>2</w:t>
            </w:r>
            <w:r>
              <w:rPr>
                <w:rFonts w:hint="eastAsia"/>
                <w:b w:val="0"/>
                <w:bCs w:val="0"/>
                <w:sz w:val="24"/>
                <w:szCs w:val="24"/>
                <w:vertAlign w:val="baseline"/>
                <w:lang w:val="en-US" w:eastAsia="zh-CN"/>
              </w:rPr>
              <w:t>的危废暂存间，在库房内设置一间</w:t>
            </w:r>
            <w:r>
              <w:rPr>
                <w:rFonts w:hint="eastAsia"/>
                <w:b w:val="0"/>
                <w:bCs w:val="0"/>
                <w:sz w:val="24"/>
                <w:szCs w:val="24"/>
                <w:lang w:val="en-US" w:eastAsia="zh-CN"/>
              </w:rPr>
              <w:t>占地面积50m</w:t>
            </w:r>
            <w:r>
              <w:rPr>
                <w:rFonts w:hint="eastAsia"/>
                <w:b w:val="0"/>
                <w:bCs w:val="0"/>
                <w:sz w:val="24"/>
                <w:szCs w:val="24"/>
                <w:vertAlign w:val="superscript"/>
                <w:lang w:val="en-US" w:eastAsia="zh-CN"/>
              </w:rPr>
              <w:t>2</w:t>
            </w:r>
            <w:r>
              <w:rPr>
                <w:rFonts w:hint="eastAsia"/>
                <w:b w:val="0"/>
                <w:bCs w:val="0"/>
                <w:sz w:val="24"/>
                <w:szCs w:val="24"/>
                <w:vertAlign w:val="baseline"/>
                <w:lang w:val="en-US" w:eastAsia="zh-CN"/>
              </w:rPr>
              <w:t>的一般固废暂存间。</w:t>
            </w:r>
            <w:r>
              <w:rPr>
                <w:rFonts w:hint="eastAsia"/>
                <w:sz w:val="24"/>
                <w:szCs w:val="24"/>
              </w:rPr>
              <w:t>废包装材料</w:t>
            </w:r>
            <w:r>
              <w:rPr>
                <w:rFonts w:hint="eastAsia"/>
                <w:sz w:val="24"/>
                <w:szCs w:val="24"/>
                <w:lang w:eastAsia="zh-CN"/>
              </w:rPr>
              <w:t>、</w:t>
            </w:r>
            <w:r>
              <w:rPr>
                <w:rFonts w:hint="eastAsia"/>
                <w:sz w:val="24"/>
                <w:szCs w:val="24"/>
                <w:lang w:val="en-US" w:eastAsia="zh-CN"/>
              </w:rPr>
              <w:t>不合格品</w:t>
            </w:r>
            <w:r>
              <w:rPr>
                <w:rFonts w:hint="eastAsia"/>
                <w:sz w:val="24"/>
                <w:szCs w:val="24"/>
              </w:rPr>
              <w:t>收集后储存于一般固废暂存间，定期外售综合利用；</w:t>
            </w:r>
            <w:r>
              <w:rPr>
                <w:sz w:val="24"/>
                <w:szCs w:val="24"/>
              </w:rPr>
              <w:t>水处理生产线更换产生的废过滤器</w:t>
            </w:r>
            <w:r>
              <w:rPr>
                <w:rFonts w:hint="eastAsia"/>
                <w:sz w:val="24"/>
                <w:szCs w:val="24"/>
                <w:lang w:val="en-US" w:eastAsia="zh-CN"/>
              </w:rPr>
              <w:t>暂存后</w:t>
            </w:r>
            <w:r>
              <w:rPr>
                <w:sz w:val="24"/>
                <w:szCs w:val="24"/>
              </w:rPr>
              <w:t>由供应厂家进行回收。</w:t>
            </w:r>
            <w:r>
              <w:rPr>
                <w:spacing w:val="-2"/>
                <w:sz w:val="24"/>
                <w:szCs w:val="24"/>
              </w:rPr>
              <w:t>实验室废液、废试剂瓶、废</w:t>
            </w:r>
            <w:r>
              <w:rPr>
                <w:rFonts w:hint="eastAsia"/>
                <w:spacing w:val="-2"/>
                <w:sz w:val="24"/>
                <w:szCs w:val="24"/>
                <w:lang w:val="en-US" w:eastAsia="zh-CN"/>
              </w:rPr>
              <w:t>油漆桶</w:t>
            </w:r>
            <w:r>
              <w:rPr>
                <w:spacing w:val="-2"/>
                <w:sz w:val="24"/>
                <w:szCs w:val="24"/>
              </w:rPr>
              <w:t>、废矿物油桶</w:t>
            </w:r>
            <w:r>
              <w:rPr>
                <w:rFonts w:hint="eastAsia"/>
                <w:spacing w:val="-2"/>
                <w:sz w:val="24"/>
                <w:szCs w:val="24"/>
                <w:lang w:eastAsia="zh-CN"/>
              </w:rPr>
              <w:t>、</w:t>
            </w:r>
            <w:r>
              <w:rPr>
                <w:rFonts w:hint="eastAsia"/>
                <w:spacing w:val="-2"/>
                <w:sz w:val="24"/>
                <w:szCs w:val="24"/>
                <w:lang w:val="en-US" w:eastAsia="zh-CN"/>
              </w:rPr>
              <w:t>废叉车电池</w:t>
            </w:r>
            <w:r>
              <w:rPr>
                <w:rFonts w:hint="eastAsia"/>
                <w:sz w:val="24"/>
                <w:szCs w:val="24"/>
              </w:rPr>
              <w:t>，</w:t>
            </w:r>
            <w:r>
              <w:rPr>
                <w:sz w:val="24"/>
                <w:szCs w:val="24"/>
              </w:rPr>
              <w:t>废气治理措施产生的废活性炭</w:t>
            </w:r>
            <w:r>
              <w:rPr>
                <w:rFonts w:hint="eastAsia"/>
                <w:sz w:val="24"/>
                <w:szCs w:val="24"/>
                <w:lang w:eastAsia="zh-CN"/>
              </w:rPr>
              <w:t>、</w:t>
            </w:r>
            <w:r>
              <w:rPr>
                <w:rFonts w:hint="eastAsia"/>
                <w:sz w:val="24"/>
                <w:szCs w:val="24"/>
                <w:lang w:val="en-US" w:eastAsia="zh-CN"/>
              </w:rPr>
              <w:t>废过滤棉</w:t>
            </w:r>
            <w:r>
              <w:rPr>
                <w:sz w:val="24"/>
                <w:szCs w:val="24"/>
              </w:rPr>
              <w:t>以及生产过程中产生的废</w:t>
            </w:r>
            <w:r>
              <w:rPr>
                <w:rFonts w:hint="eastAsia"/>
                <w:sz w:val="24"/>
                <w:szCs w:val="24"/>
                <w:lang w:eastAsia="zh-CN"/>
              </w:rPr>
              <w:t>油墨瓶</w:t>
            </w:r>
            <w:r>
              <w:rPr>
                <w:sz w:val="24"/>
                <w:szCs w:val="24"/>
              </w:rPr>
              <w:t>和设备保养后所产生的废矿物油（废机油、废液压油）</w:t>
            </w:r>
            <w:r>
              <w:rPr>
                <w:rFonts w:hint="eastAsia"/>
                <w:sz w:val="24"/>
                <w:szCs w:val="24"/>
                <w:lang w:eastAsia="zh-CN"/>
              </w:rPr>
              <w:t>，</w:t>
            </w:r>
            <w:r>
              <w:rPr>
                <w:rFonts w:hint="eastAsia"/>
                <w:sz w:val="24"/>
                <w:szCs w:val="24"/>
              </w:rPr>
              <w:t>定期交由有资质的单位处理</w:t>
            </w:r>
            <w:r>
              <w:rPr>
                <w:rFonts w:hint="eastAsia"/>
                <w:sz w:val="24"/>
                <w:szCs w:val="24"/>
                <w:lang w:eastAsia="zh-CN"/>
              </w:rPr>
              <w:t>。</w:t>
            </w:r>
            <w:r>
              <w:rPr>
                <w:rFonts w:hint="eastAsia"/>
                <w:b w:val="0"/>
                <w:bCs w:val="0"/>
                <w:sz w:val="24"/>
                <w:szCs w:val="24"/>
                <w:lang w:val="en-US" w:eastAsia="zh-CN"/>
              </w:rPr>
              <w:t>生活垃圾和餐厨垃圾分类存放，</w:t>
            </w:r>
            <w:r>
              <w:rPr>
                <w:rFonts w:hint="eastAsia"/>
                <w:sz w:val="24"/>
                <w:szCs w:val="24"/>
              </w:rPr>
              <w:t>收集后由环卫部门清运</w:t>
            </w:r>
            <w:r>
              <w:rPr>
                <w:rFonts w:hint="eastAsia"/>
                <w:sz w:val="24"/>
                <w:szCs w:val="24"/>
                <w:lang w:eastAsia="zh-CN"/>
              </w:rPr>
              <w:t>。</w:t>
            </w:r>
            <w:r>
              <w:rPr>
                <w:rFonts w:hint="eastAsia" w:ascii="Times New Roman" w:hAnsi="Times New Roman" w:cs="Times New Roman"/>
                <w:color w:val="auto"/>
                <w:kern w:val="2"/>
                <w:szCs w:val="24"/>
                <w:lang w:eastAsia="zh-CN"/>
              </w:rPr>
              <w:t>公司</w:t>
            </w:r>
            <w:r>
              <w:rPr>
                <w:rFonts w:hint="eastAsia" w:ascii="Times New Roman" w:hAnsi="Times New Roman" w:cs="Times New Roman"/>
                <w:color w:val="auto"/>
                <w:lang w:eastAsia="zh-CN"/>
              </w:rPr>
              <w:t>现有各类固废的实际产生量及处置情况汇总见</w:t>
            </w:r>
            <w:r>
              <w:rPr>
                <w:rFonts w:hint="eastAsia" w:ascii="Times New Roman" w:hAnsi="Times New Roman" w:cs="Times New Roman"/>
                <w:color w:val="auto"/>
                <w:lang w:val="en-US" w:eastAsia="zh-CN"/>
              </w:rPr>
              <w:t>下表</w:t>
            </w:r>
            <w:r>
              <w:rPr>
                <w:rFonts w:hint="eastAsia" w:ascii="Times New Roman" w:hAnsi="Times New Roman" w:cs="Times New Roman"/>
                <w:color w:val="auto"/>
                <w:lang w:eastAsia="zh-CN"/>
              </w:rPr>
              <w:t>。</w:t>
            </w:r>
          </w:p>
          <w:p>
            <w:pPr>
              <w:keepNext w:val="0"/>
              <w:keepLines w:val="0"/>
              <w:pageBreakBefore w:val="0"/>
              <w:widowControl w:val="0"/>
              <w:tabs>
                <w:tab w:val="left" w:pos="8945"/>
              </w:tabs>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bCs/>
                <w:color w:val="auto"/>
                <w:kern w:val="2"/>
                <w:szCs w:val="24"/>
                <w:lang w:eastAsia="zh-CN"/>
              </w:rPr>
            </w:pPr>
            <w:r>
              <w:rPr>
                <w:rFonts w:ascii="Times New Roman" w:hAnsi="Times New Roman" w:cs="Times New Roman"/>
                <w:b/>
                <w:bCs/>
                <w:color w:val="auto"/>
                <w:lang w:eastAsia="zh-CN"/>
              </w:rPr>
              <w:t>表</w:t>
            </w:r>
            <w:r>
              <w:rPr>
                <w:rFonts w:hint="eastAsia" w:ascii="Times New Roman" w:hAnsi="Times New Roman" w:cs="Times New Roman"/>
                <w:b/>
                <w:bCs/>
                <w:color w:val="auto"/>
                <w:lang w:val="en-US" w:eastAsia="zh-CN"/>
              </w:rPr>
              <w:t>2</w:t>
            </w:r>
            <w:r>
              <w:rPr>
                <w:rFonts w:ascii="Times New Roman" w:hAnsi="Times New Roman" w:cs="Times New Roman"/>
                <w:b/>
                <w:bCs/>
                <w:color w:val="auto"/>
                <w:lang w:eastAsia="zh-CN"/>
              </w:rPr>
              <w:t>-</w:t>
            </w:r>
            <w:r>
              <w:rPr>
                <w:rFonts w:hint="eastAsia" w:cs="Times New Roman"/>
                <w:b/>
                <w:bCs/>
                <w:color w:val="auto"/>
                <w:lang w:val="en-US" w:eastAsia="zh-CN"/>
              </w:rPr>
              <w:t>15</w:t>
            </w:r>
            <w:r>
              <w:rPr>
                <w:rFonts w:ascii="Times New Roman" w:hAnsi="Times New Roman" w:cs="Times New Roman"/>
                <w:b/>
                <w:bCs/>
                <w:color w:val="auto"/>
                <w:lang w:eastAsia="zh-CN"/>
              </w:rPr>
              <w:t xml:space="preserve"> </w:t>
            </w:r>
            <w:r>
              <w:rPr>
                <w:rFonts w:ascii="Times New Roman" w:hAnsi="Times New Roman" w:cs="Times New Roman"/>
                <w:b/>
                <w:bCs/>
                <w:color w:val="auto"/>
                <w:kern w:val="2"/>
                <w:szCs w:val="24"/>
                <w:lang w:eastAsia="zh-CN"/>
              </w:rPr>
              <w:t>现有固废实际产生处置情况一览表 (t/a)</w:t>
            </w:r>
          </w:p>
          <w:tbl>
            <w:tblPr>
              <w:tblStyle w:val="22"/>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90"/>
              <w:gridCol w:w="1666"/>
              <w:gridCol w:w="1247"/>
              <w:gridCol w:w="1247"/>
              <w:gridCol w:w="1179"/>
              <w:gridCol w:w="13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b/>
                      <w:bCs/>
                      <w:color w:val="auto"/>
                      <w:sz w:val="21"/>
                      <w:lang w:eastAsia="zh-CN"/>
                    </w:rPr>
                  </w:pPr>
                  <w:r>
                    <w:rPr>
                      <w:rFonts w:ascii="Times New Roman" w:hAnsi="Times New Roman" w:cs="Times New Roman"/>
                      <w:b/>
                      <w:bCs/>
                      <w:color w:val="auto"/>
                      <w:sz w:val="21"/>
                      <w:lang w:eastAsia="zh-CN"/>
                    </w:rPr>
                    <w:t>序号</w:t>
                  </w:r>
                </w:p>
              </w:tc>
              <w:tc>
                <w:tcPr>
                  <w:tcW w:w="853"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b/>
                      <w:bCs/>
                      <w:color w:val="auto"/>
                      <w:sz w:val="21"/>
                      <w:lang w:eastAsia="zh-CN"/>
                    </w:rPr>
                  </w:pPr>
                  <w:r>
                    <w:rPr>
                      <w:rFonts w:ascii="Times New Roman" w:hAnsi="Times New Roman" w:cs="Times New Roman"/>
                      <w:b/>
                      <w:bCs/>
                      <w:color w:val="auto"/>
                      <w:sz w:val="21"/>
                      <w:lang w:eastAsia="zh-CN"/>
                    </w:rPr>
                    <w:t>固体废物种类</w:t>
                  </w:r>
                </w:p>
              </w:tc>
              <w:tc>
                <w:tcPr>
                  <w:tcW w:w="95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b/>
                      <w:bCs/>
                      <w:color w:val="auto"/>
                      <w:sz w:val="21"/>
                      <w:lang w:eastAsia="zh-CN"/>
                    </w:rPr>
                  </w:pPr>
                  <w:r>
                    <w:rPr>
                      <w:rFonts w:ascii="Times New Roman" w:hAnsi="Times New Roman" w:cs="Times New Roman"/>
                      <w:b/>
                      <w:bCs/>
                      <w:color w:val="auto"/>
                      <w:sz w:val="21"/>
                      <w:lang w:eastAsia="zh-CN"/>
                    </w:rPr>
                    <w:t>名称</w:t>
                  </w:r>
                </w:p>
              </w:tc>
              <w:tc>
                <w:tcPr>
                  <w:tcW w:w="71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b/>
                      <w:bCs/>
                      <w:color w:val="auto"/>
                      <w:sz w:val="21"/>
                      <w:lang w:eastAsia="zh-CN"/>
                    </w:rPr>
                  </w:pPr>
                  <w:r>
                    <w:rPr>
                      <w:rFonts w:hint="eastAsia" w:ascii="Times New Roman" w:hAnsi="Times New Roman" w:cs="Times New Roman"/>
                      <w:b/>
                      <w:bCs/>
                      <w:color w:val="auto"/>
                      <w:sz w:val="21"/>
                      <w:lang w:eastAsia="zh-CN"/>
                    </w:rPr>
                    <w:t>废物类别</w:t>
                  </w:r>
                </w:p>
              </w:tc>
              <w:tc>
                <w:tcPr>
                  <w:tcW w:w="71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b/>
                      <w:bCs/>
                      <w:color w:val="auto"/>
                      <w:sz w:val="21"/>
                      <w:lang w:eastAsia="zh-CN"/>
                    </w:rPr>
                  </w:pPr>
                  <w:r>
                    <w:rPr>
                      <w:rFonts w:ascii="Times New Roman" w:hAnsi="Times New Roman" w:cs="Times New Roman"/>
                      <w:b/>
                      <w:bCs/>
                      <w:color w:val="auto"/>
                      <w:sz w:val="21"/>
                      <w:lang w:eastAsia="zh-CN"/>
                    </w:rPr>
                    <w:t>废物代码</w:t>
                  </w:r>
                </w:p>
              </w:tc>
              <w:tc>
                <w:tcPr>
                  <w:tcW w:w="675"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b/>
                      <w:bCs/>
                      <w:color w:val="auto"/>
                      <w:sz w:val="21"/>
                      <w:lang w:eastAsia="zh-CN"/>
                    </w:rPr>
                  </w:pPr>
                  <w:r>
                    <w:rPr>
                      <w:rFonts w:ascii="Times New Roman" w:hAnsi="Times New Roman" w:cs="Times New Roman"/>
                      <w:b/>
                      <w:bCs/>
                      <w:color w:val="auto"/>
                      <w:sz w:val="21"/>
                      <w:lang w:eastAsia="zh-CN"/>
                    </w:rPr>
                    <w:t>实际</w:t>
                  </w:r>
                </w:p>
                <w:p>
                  <w:pPr>
                    <w:keepNext w:val="0"/>
                    <w:keepLines w:val="0"/>
                    <w:pageBreakBefore w:val="0"/>
                    <w:widowControl w:val="0"/>
                    <w:kinsoku/>
                    <w:wordWrap/>
                    <w:bidi w:val="0"/>
                    <w:jc w:val="center"/>
                    <w:rPr>
                      <w:rFonts w:ascii="Times New Roman" w:hAnsi="Times New Roman" w:cs="Times New Roman"/>
                      <w:b/>
                      <w:bCs/>
                      <w:color w:val="auto"/>
                      <w:sz w:val="21"/>
                      <w:lang w:eastAsia="zh-CN"/>
                    </w:rPr>
                  </w:pPr>
                  <w:r>
                    <w:rPr>
                      <w:rFonts w:ascii="Times New Roman" w:hAnsi="Times New Roman" w:cs="Times New Roman"/>
                      <w:b/>
                      <w:bCs/>
                      <w:color w:val="auto"/>
                      <w:sz w:val="21"/>
                      <w:lang w:eastAsia="zh-CN"/>
                    </w:rPr>
                    <w:t>产生量</w:t>
                  </w:r>
                </w:p>
              </w:tc>
              <w:tc>
                <w:tcPr>
                  <w:tcW w:w="752"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b/>
                      <w:bCs/>
                      <w:color w:val="auto"/>
                      <w:sz w:val="21"/>
                      <w:lang w:eastAsia="zh-CN"/>
                    </w:rPr>
                  </w:pPr>
                  <w:r>
                    <w:rPr>
                      <w:rFonts w:ascii="Times New Roman" w:hAnsi="Times New Roman" w:cs="Times New Roman"/>
                      <w:b/>
                      <w:bCs/>
                      <w:color w:val="auto"/>
                      <w:sz w:val="21"/>
                      <w:lang w:eastAsia="zh-CN"/>
                    </w:rPr>
                    <w:t>处理处置</w:t>
                  </w:r>
                </w:p>
                <w:p>
                  <w:pPr>
                    <w:keepNext w:val="0"/>
                    <w:keepLines w:val="0"/>
                    <w:pageBreakBefore w:val="0"/>
                    <w:widowControl w:val="0"/>
                    <w:kinsoku/>
                    <w:wordWrap/>
                    <w:bidi w:val="0"/>
                    <w:jc w:val="center"/>
                    <w:rPr>
                      <w:rFonts w:ascii="Times New Roman" w:hAnsi="Times New Roman" w:cs="Times New Roman"/>
                      <w:b/>
                      <w:bCs/>
                      <w:color w:val="auto"/>
                      <w:sz w:val="21"/>
                      <w:lang w:eastAsia="zh-CN"/>
                    </w:rPr>
                  </w:pPr>
                  <w:r>
                    <w:rPr>
                      <w:rFonts w:ascii="Times New Roman" w:hAnsi="Times New Roman" w:cs="Times New Roman"/>
                      <w:b/>
                      <w:bCs/>
                      <w:color w:val="auto"/>
                      <w:sz w:val="21"/>
                      <w:lang w:eastAsia="zh-CN"/>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w:t>
                  </w:r>
                </w:p>
              </w:tc>
              <w:tc>
                <w:tcPr>
                  <w:tcW w:w="853" w:type="pct"/>
                  <w:vMerge w:val="restar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危废</w:t>
                  </w: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eastAsia="zh-CN"/>
                    </w:rPr>
                    <w:t>废</w:t>
                  </w:r>
                  <w:r>
                    <w:rPr>
                      <w:rFonts w:hint="eastAsia" w:cs="Times New Roman"/>
                      <w:color w:val="auto"/>
                      <w:sz w:val="21"/>
                      <w:highlight w:val="none"/>
                      <w:lang w:val="en-US" w:eastAsia="zh-CN"/>
                    </w:rPr>
                    <w:t>油墨瓶</w:t>
                  </w:r>
                </w:p>
              </w:tc>
              <w:tc>
                <w:tcPr>
                  <w:tcW w:w="714" w:type="pct"/>
                  <w:tcBorders>
                    <w:tl2br w:val="nil"/>
                    <w:tr2bl w:val="nil"/>
                  </w:tcBorders>
                  <w:vAlign w:val="center"/>
                </w:tcPr>
                <w:p>
                  <w:pPr>
                    <w:pStyle w:val="42"/>
                    <w:keepNext w:val="0"/>
                    <w:keepLines w:val="0"/>
                    <w:pageBreakBefore w:val="0"/>
                    <w:widowControl w:val="0"/>
                    <w:kinsoku/>
                    <w:wordWrap/>
                    <w:bidi w:val="0"/>
                    <w:rPr>
                      <w:rFonts w:hint="default" w:ascii="Times New Roman" w:hAnsi="Times New Roman" w:eastAsia="宋体" w:cs="Times New Roman"/>
                      <w:color w:val="auto"/>
                      <w:sz w:val="21"/>
                      <w:lang w:val="en-US" w:eastAsia="zh-CN"/>
                    </w:rPr>
                  </w:pPr>
                  <w:r>
                    <w:rPr>
                      <w:rFonts w:hint="eastAsia" w:ascii="Times New Roman" w:hAnsi="Times New Roman" w:eastAsia="宋体"/>
                      <w:color w:val="000000"/>
                      <w:sz w:val="21"/>
                      <w:szCs w:val="21"/>
                    </w:rPr>
                    <w:t>HW</w:t>
                  </w:r>
                  <w:r>
                    <w:rPr>
                      <w:rFonts w:hint="eastAsia" w:eastAsia="宋体"/>
                      <w:color w:val="000000"/>
                      <w:sz w:val="21"/>
                      <w:szCs w:val="21"/>
                      <w:lang w:val="en-US" w:eastAsia="zh-CN"/>
                    </w:rPr>
                    <w:t>12</w:t>
                  </w:r>
                </w:p>
              </w:tc>
              <w:tc>
                <w:tcPr>
                  <w:tcW w:w="714" w:type="pct"/>
                  <w:tcBorders>
                    <w:tl2br w:val="nil"/>
                    <w:tr2bl w:val="nil"/>
                  </w:tcBorders>
                  <w:vAlign w:val="center"/>
                </w:tcPr>
                <w:p>
                  <w:pPr>
                    <w:pStyle w:val="42"/>
                    <w:keepNext w:val="0"/>
                    <w:keepLines w:val="0"/>
                    <w:pageBreakBefore w:val="0"/>
                    <w:widowControl w:val="0"/>
                    <w:kinsoku/>
                    <w:wordWrap/>
                    <w:bidi w:val="0"/>
                    <w:rPr>
                      <w:rFonts w:ascii="Times New Roman" w:hAnsi="Times New Roman" w:cs="Times New Roman"/>
                      <w:color w:val="auto"/>
                      <w:sz w:val="21"/>
                      <w:lang w:eastAsia="zh-CN"/>
                    </w:rPr>
                  </w:pPr>
                  <w:r>
                    <w:rPr>
                      <w:rFonts w:hint="eastAsia" w:ascii="Times New Roman" w:hAnsi="Times New Roman" w:eastAsia="宋体"/>
                      <w:color w:val="000000"/>
                      <w:sz w:val="21"/>
                      <w:szCs w:val="21"/>
                    </w:rPr>
                    <w:t>264-013-12</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0.001</w:t>
                  </w:r>
                </w:p>
              </w:tc>
              <w:tc>
                <w:tcPr>
                  <w:tcW w:w="752" w:type="pct"/>
                  <w:vMerge w:val="restar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暂存危废间，委托有资质单位定期处理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2</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废试剂瓶</w:t>
                  </w:r>
                </w:p>
              </w:tc>
              <w:tc>
                <w:tcPr>
                  <w:tcW w:w="71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HW49</w:t>
                  </w:r>
                </w:p>
              </w:tc>
              <w:tc>
                <w:tcPr>
                  <w:tcW w:w="71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900-041-49</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0.001</w:t>
                  </w:r>
                </w:p>
              </w:tc>
              <w:tc>
                <w:tcPr>
                  <w:tcW w:w="752"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3</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eastAsia="zh-CN"/>
                    </w:rPr>
                    <w:t>废</w:t>
                  </w:r>
                  <w:r>
                    <w:rPr>
                      <w:rFonts w:hint="eastAsia" w:ascii="Times New Roman" w:hAnsi="Times New Roman" w:cs="Times New Roman"/>
                      <w:color w:val="auto"/>
                      <w:sz w:val="21"/>
                      <w:highlight w:val="none"/>
                      <w:lang w:val="en-US" w:eastAsia="zh-CN"/>
                    </w:rPr>
                    <w:t>液</w:t>
                  </w:r>
                </w:p>
              </w:tc>
              <w:tc>
                <w:tcPr>
                  <w:tcW w:w="71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HW06</w:t>
                  </w:r>
                </w:p>
              </w:tc>
              <w:tc>
                <w:tcPr>
                  <w:tcW w:w="71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900-404-06</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0.1</w:t>
                  </w:r>
                </w:p>
              </w:tc>
              <w:tc>
                <w:tcPr>
                  <w:tcW w:w="752"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4</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废</w:t>
                  </w:r>
                  <w:r>
                    <w:rPr>
                      <w:rFonts w:hint="eastAsia" w:cs="Times New Roman"/>
                      <w:color w:val="auto"/>
                      <w:sz w:val="21"/>
                      <w:highlight w:val="none"/>
                      <w:lang w:val="en-US" w:eastAsia="zh-CN"/>
                    </w:rPr>
                    <w:t>油漆桶</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eastAsia="zh-CN"/>
                    </w:rPr>
                    <w:t>HW1</w:t>
                  </w:r>
                  <w:r>
                    <w:rPr>
                      <w:rFonts w:hint="eastAsia" w:cs="Times New Roman"/>
                      <w:color w:val="auto"/>
                      <w:sz w:val="21"/>
                      <w:lang w:val="en-US" w:eastAsia="zh-CN"/>
                    </w:rPr>
                    <w:t>2</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eastAsia="zh-CN"/>
                    </w:rPr>
                    <w:t>900-</w:t>
                  </w:r>
                  <w:r>
                    <w:rPr>
                      <w:rFonts w:hint="eastAsia" w:cs="Times New Roman"/>
                      <w:color w:val="auto"/>
                      <w:sz w:val="21"/>
                      <w:lang w:val="en-US" w:eastAsia="zh-CN"/>
                    </w:rPr>
                    <w:t>250</w:t>
                  </w:r>
                  <w:r>
                    <w:rPr>
                      <w:rFonts w:hint="eastAsia" w:ascii="Times New Roman" w:hAnsi="Times New Roman" w:cs="Times New Roman"/>
                      <w:color w:val="auto"/>
                      <w:sz w:val="21"/>
                      <w:lang w:eastAsia="zh-CN"/>
                    </w:rPr>
                    <w:t>-1</w:t>
                  </w:r>
                  <w:r>
                    <w:rPr>
                      <w:rFonts w:hint="eastAsia" w:cs="Times New Roman"/>
                      <w:color w:val="auto"/>
                      <w:sz w:val="21"/>
                      <w:lang w:val="en-US" w:eastAsia="zh-CN"/>
                    </w:rPr>
                    <w:t>2</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1.5</w:t>
                  </w:r>
                </w:p>
              </w:tc>
              <w:tc>
                <w:tcPr>
                  <w:tcW w:w="752"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5</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废</w:t>
                  </w:r>
                  <w:r>
                    <w:rPr>
                      <w:rFonts w:hint="eastAsia" w:ascii="Times New Roman" w:hAnsi="Times New Roman" w:cs="Times New Roman"/>
                      <w:color w:val="auto"/>
                      <w:sz w:val="21"/>
                      <w:highlight w:val="none"/>
                      <w:lang w:val="en-US" w:eastAsia="zh-CN"/>
                    </w:rPr>
                    <w:t>矿物</w:t>
                  </w:r>
                  <w:r>
                    <w:rPr>
                      <w:rFonts w:hint="eastAsia" w:ascii="Times New Roman" w:hAnsi="Times New Roman" w:cs="Times New Roman"/>
                      <w:color w:val="auto"/>
                      <w:sz w:val="21"/>
                      <w:highlight w:val="none"/>
                      <w:lang w:eastAsia="zh-CN"/>
                    </w:rPr>
                    <w:t>油</w:t>
                  </w:r>
                </w:p>
              </w:tc>
              <w:tc>
                <w:tcPr>
                  <w:tcW w:w="71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HW08</w:t>
                  </w:r>
                </w:p>
              </w:tc>
              <w:tc>
                <w:tcPr>
                  <w:tcW w:w="71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900-219-08</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4</w:t>
                  </w:r>
                  <w:r>
                    <w:rPr>
                      <w:rFonts w:hint="eastAsia" w:ascii="Times New Roman" w:hAnsi="Times New Roman" w:eastAsia="宋体" w:cs="Times New Roman"/>
                      <w:color w:val="auto"/>
                      <w:sz w:val="21"/>
                      <w:lang w:val="en-US" w:eastAsia="zh-CN"/>
                    </w:rPr>
                    <w:t>.0</w:t>
                  </w:r>
                </w:p>
              </w:tc>
              <w:tc>
                <w:tcPr>
                  <w:tcW w:w="752"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6</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eastAsia="zh-CN"/>
                    </w:rPr>
                    <w:t>废</w:t>
                  </w:r>
                  <w:r>
                    <w:rPr>
                      <w:rFonts w:hint="eastAsia" w:ascii="Times New Roman" w:hAnsi="Times New Roman" w:cs="Times New Roman"/>
                      <w:color w:val="auto"/>
                      <w:sz w:val="21"/>
                      <w:highlight w:val="none"/>
                      <w:lang w:val="en-US" w:eastAsia="zh-CN"/>
                    </w:rPr>
                    <w:t>矿物油桶</w:t>
                  </w:r>
                </w:p>
              </w:tc>
              <w:tc>
                <w:tcPr>
                  <w:tcW w:w="714" w:type="pct"/>
                  <w:tcBorders>
                    <w:tl2br w:val="nil"/>
                    <w:tr2bl w:val="nil"/>
                  </w:tcBorders>
                  <w:vAlign w:val="center"/>
                </w:tcPr>
                <w:p>
                  <w:pPr>
                    <w:pStyle w:val="42"/>
                    <w:keepNext w:val="0"/>
                    <w:keepLines w:val="0"/>
                    <w:pageBreakBefore w:val="0"/>
                    <w:widowControl w:val="0"/>
                    <w:kinsoku/>
                    <w:wordWrap/>
                    <w:bidi w:val="0"/>
                    <w:rPr>
                      <w:rFonts w:ascii="Times New Roman" w:hAnsi="Times New Roman" w:cs="Times New Roman"/>
                      <w:color w:val="auto"/>
                      <w:sz w:val="21"/>
                      <w:lang w:eastAsia="zh-CN"/>
                    </w:rPr>
                  </w:pPr>
                  <w:r>
                    <w:rPr>
                      <w:rFonts w:hint="eastAsia" w:ascii="Times New Roman" w:hAnsi="Times New Roman" w:eastAsia="宋体"/>
                      <w:color w:val="000000"/>
                      <w:sz w:val="21"/>
                      <w:szCs w:val="21"/>
                    </w:rPr>
                    <w:t>HW49</w:t>
                  </w:r>
                </w:p>
              </w:tc>
              <w:tc>
                <w:tcPr>
                  <w:tcW w:w="714" w:type="pct"/>
                  <w:tcBorders>
                    <w:tl2br w:val="nil"/>
                    <w:tr2bl w:val="nil"/>
                  </w:tcBorders>
                  <w:vAlign w:val="center"/>
                </w:tcPr>
                <w:p>
                  <w:pPr>
                    <w:pStyle w:val="42"/>
                    <w:keepNext w:val="0"/>
                    <w:keepLines w:val="0"/>
                    <w:pageBreakBefore w:val="0"/>
                    <w:widowControl w:val="0"/>
                    <w:kinsoku/>
                    <w:wordWrap/>
                    <w:bidi w:val="0"/>
                    <w:rPr>
                      <w:rFonts w:ascii="Times New Roman" w:hAnsi="Times New Roman" w:cs="Times New Roman"/>
                      <w:color w:val="auto"/>
                      <w:sz w:val="21"/>
                      <w:lang w:eastAsia="zh-CN"/>
                    </w:rPr>
                  </w:pPr>
                  <w:r>
                    <w:rPr>
                      <w:rFonts w:hint="eastAsia" w:ascii="Times New Roman" w:hAnsi="Times New Roman" w:eastAsia="宋体"/>
                      <w:color w:val="000000"/>
                      <w:sz w:val="21"/>
                      <w:szCs w:val="21"/>
                    </w:rPr>
                    <w:t>900-0</w:t>
                  </w:r>
                  <w:r>
                    <w:rPr>
                      <w:rFonts w:hint="eastAsia" w:ascii="Times New Roman" w:hAnsi="Times New Roman" w:eastAsia="宋体"/>
                      <w:color w:val="000000"/>
                      <w:sz w:val="21"/>
                      <w:szCs w:val="21"/>
                      <w:lang w:val="en-US" w:eastAsia="zh-CN"/>
                    </w:rPr>
                    <w:t>41</w:t>
                  </w:r>
                  <w:r>
                    <w:rPr>
                      <w:rFonts w:hint="eastAsia" w:ascii="Times New Roman" w:hAnsi="Times New Roman" w:eastAsia="宋体"/>
                      <w:color w:val="000000"/>
                      <w:sz w:val="21"/>
                      <w:szCs w:val="21"/>
                    </w:rPr>
                    <w:t>-49</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w:t>
                  </w:r>
                  <w:r>
                    <w:rPr>
                      <w:rFonts w:hint="eastAsia" w:ascii="Times New Roman" w:hAnsi="Times New Roman" w:cs="Times New Roman"/>
                      <w:color w:val="auto"/>
                      <w:sz w:val="21"/>
                      <w:lang w:val="en-US" w:eastAsia="zh-CN"/>
                    </w:rPr>
                    <w:t>.5</w:t>
                  </w:r>
                </w:p>
              </w:tc>
              <w:tc>
                <w:tcPr>
                  <w:tcW w:w="752"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7</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废活性炭</w:t>
                  </w:r>
                </w:p>
              </w:tc>
              <w:tc>
                <w:tcPr>
                  <w:tcW w:w="71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HW49</w:t>
                  </w:r>
                </w:p>
              </w:tc>
              <w:tc>
                <w:tcPr>
                  <w:tcW w:w="714"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900-039-49</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0.2</w:t>
                  </w:r>
                </w:p>
              </w:tc>
              <w:tc>
                <w:tcPr>
                  <w:tcW w:w="752"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8</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废过滤棉</w:t>
                  </w:r>
                </w:p>
              </w:tc>
              <w:tc>
                <w:tcPr>
                  <w:tcW w:w="714" w:type="pct"/>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eastAsia="zh-CN"/>
                    </w:rPr>
                  </w:pPr>
                  <w:r>
                    <w:rPr>
                      <w:rFonts w:hint="eastAsia" w:ascii="Times New Roman" w:hAnsi="Times New Roman" w:cs="Times New Roman"/>
                      <w:color w:val="auto"/>
                      <w:sz w:val="21"/>
                      <w:lang w:eastAsia="zh-CN"/>
                    </w:rPr>
                    <w:t>HW49</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900-041-49</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0.002</w:t>
                  </w:r>
                </w:p>
              </w:tc>
              <w:tc>
                <w:tcPr>
                  <w:tcW w:w="752"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9</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废叉车电池</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eastAsia="zh-CN"/>
                    </w:rPr>
                    <w:t>HW</w:t>
                  </w:r>
                  <w:r>
                    <w:rPr>
                      <w:rFonts w:hint="eastAsia" w:cs="Times New Roman"/>
                      <w:color w:val="auto"/>
                      <w:sz w:val="21"/>
                      <w:lang w:val="en-US" w:eastAsia="zh-CN"/>
                    </w:rPr>
                    <w:t>31</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900-052-31</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1.5</w:t>
                  </w:r>
                </w:p>
              </w:tc>
              <w:tc>
                <w:tcPr>
                  <w:tcW w:w="752"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10</w:t>
                  </w:r>
                </w:p>
              </w:tc>
              <w:tc>
                <w:tcPr>
                  <w:tcW w:w="853" w:type="pct"/>
                  <w:vMerge w:val="restar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一般固体废物</w:t>
                  </w: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废包装材料</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39</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152</w:t>
                  </w:r>
                  <w:r>
                    <w:rPr>
                      <w:rFonts w:hint="eastAsia" w:ascii="Times New Roman" w:hAnsi="Times New Roman" w:cs="Times New Roman"/>
                      <w:color w:val="auto"/>
                      <w:sz w:val="21"/>
                      <w:lang w:eastAsia="zh-CN"/>
                    </w:rPr>
                    <w:t>-0</w:t>
                  </w:r>
                  <w:r>
                    <w:rPr>
                      <w:rFonts w:hint="eastAsia" w:cs="Times New Roman"/>
                      <w:color w:val="auto"/>
                      <w:sz w:val="21"/>
                      <w:lang w:val="en-US" w:eastAsia="zh-CN"/>
                    </w:rPr>
                    <w:t>02</w:t>
                  </w:r>
                  <w:r>
                    <w:rPr>
                      <w:rFonts w:hint="eastAsia" w:ascii="Times New Roman" w:hAnsi="Times New Roman" w:cs="Times New Roman"/>
                      <w:color w:val="auto"/>
                      <w:sz w:val="21"/>
                      <w:lang w:eastAsia="zh-CN"/>
                    </w:rPr>
                    <w:t>-</w:t>
                  </w:r>
                  <w:r>
                    <w:rPr>
                      <w:rFonts w:hint="eastAsia" w:cs="Times New Roman"/>
                      <w:color w:val="auto"/>
                      <w:sz w:val="21"/>
                      <w:lang w:val="en-US" w:eastAsia="zh-CN"/>
                    </w:rPr>
                    <w:t>3</w:t>
                  </w:r>
                  <w:r>
                    <w:rPr>
                      <w:rFonts w:hint="eastAsia" w:ascii="Times New Roman" w:hAnsi="Times New Roman" w:cs="Times New Roman"/>
                      <w:color w:val="auto"/>
                      <w:sz w:val="21"/>
                      <w:lang w:eastAsia="zh-CN"/>
                    </w:rPr>
                    <w:t>9</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2.0</w:t>
                  </w:r>
                </w:p>
              </w:tc>
              <w:tc>
                <w:tcPr>
                  <w:tcW w:w="752" w:type="pct"/>
                  <w:vMerge w:val="restart"/>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暂存一般固废间，定期外售综合</w:t>
                  </w:r>
                </w:p>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11</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不合格品</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06</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292-006-06</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6.4</w:t>
                  </w:r>
                </w:p>
              </w:tc>
              <w:tc>
                <w:tcPr>
                  <w:tcW w:w="752" w:type="pct"/>
                  <w:vMerge w:val="continue"/>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12</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化学品库废物</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5.2</w:t>
                  </w:r>
                </w:p>
              </w:tc>
              <w:tc>
                <w:tcPr>
                  <w:tcW w:w="752" w:type="pct"/>
                  <w:vMerge w:val="continue"/>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w:t>
                  </w:r>
                  <w:r>
                    <w:rPr>
                      <w:rFonts w:hint="eastAsia" w:cs="Times New Roman"/>
                      <w:color w:val="auto"/>
                      <w:sz w:val="21"/>
                      <w:lang w:val="en-US" w:eastAsia="zh-CN"/>
                    </w:rPr>
                    <w:t>3</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废过滤器</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2.0</w:t>
                  </w:r>
                </w:p>
              </w:tc>
              <w:tc>
                <w:tcPr>
                  <w:tcW w:w="7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供应厂家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14</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eastAsia" w:cs="Times New Roman"/>
                      <w:color w:val="auto"/>
                      <w:sz w:val="21"/>
                      <w:lang w:val="en-US" w:eastAsia="zh-CN"/>
                    </w:rPr>
                  </w:pPr>
                  <w:r>
                    <w:rPr>
                      <w:rFonts w:hint="eastAsia" w:cs="Times New Roman"/>
                      <w:color w:val="auto"/>
                      <w:sz w:val="21"/>
                      <w:lang w:val="en-US" w:eastAsia="zh-CN"/>
                    </w:rPr>
                    <w:t>废活性炭</w:t>
                  </w:r>
                </w:p>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（水处理）</w:t>
                  </w:r>
                </w:p>
              </w:tc>
              <w:tc>
                <w:tcPr>
                  <w:tcW w:w="714" w:type="pct"/>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c>
                <w:tcPr>
                  <w:tcW w:w="714" w:type="pct"/>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10</w:t>
                  </w:r>
                </w:p>
              </w:tc>
              <w:tc>
                <w:tcPr>
                  <w:tcW w:w="7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15</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废反渗透膜</w:t>
                  </w:r>
                </w:p>
              </w:tc>
              <w:tc>
                <w:tcPr>
                  <w:tcW w:w="714" w:type="pct"/>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c>
                <w:tcPr>
                  <w:tcW w:w="714" w:type="pct"/>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0.005</w:t>
                  </w:r>
                </w:p>
              </w:tc>
              <w:tc>
                <w:tcPr>
                  <w:tcW w:w="7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w:t>
                  </w:r>
                  <w:r>
                    <w:rPr>
                      <w:rFonts w:hint="eastAsia" w:cs="Times New Roman"/>
                      <w:color w:val="auto"/>
                      <w:sz w:val="21"/>
                      <w:lang w:val="en-US" w:eastAsia="zh-CN"/>
                    </w:rPr>
                    <w:t>6</w:t>
                  </w:r>
                </w:p>
              </w:tc>
              <w:tc>
                <w:tcPr>
                  <w:tcW w:w="853" w:type="pct"/>
                  <w:vMerge w:val="restar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生活垃圾</w:t>
                  </w: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生活垃圾</w:t>
                  </w:r>
                </w:p>
              </w:tc>
              <w:tc>
                <w:tcPr>
                  <w:tcW w:w="71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c>
                <w:tcPr>
                  <w:tcW w:w="714" w:type="pct"/>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17.85</w:t>
                  </w:r>
                </w:p>
              </w:tc>
              <w:tc>
                <w:tcPr>
                  <w:tcW w:w="7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lang w:val="en-US" w:eastAsia="zh-CN"/>
                    </w:rPr>
                  </w:pPr>
                  <w:r>
                    <w:rPr>
                      <w:rFonts w:hint="eastAsia"/>
                      <w:b w:val="0"/>
                      <w:bCs w:val="0"/>
                      <w:sz w:val="21"/>
                      <w:szCs w:val="21"/>
                      <w:lang w:val="en-US" w:eastAsia="zh-CN"/>
                    </w:rPr>
                    <w:t>分类存放，</w:t>
                  </w:r>
                  <w:r>
                    <w:rPr>
                      <w:rFonts w:hint="eastAsia"/>
                      <w:sz w:val="21"/>
                      <w:szCs w:val="21"/>
                    </w:rPr>
                    <w:t>收集后由环卫部门清运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w:t>
                  </w:r>
                  <w:r>
                    <w:rPr>
                      <w:rFonts w:hint="eastAsia" w:cs="Times New Roman"/>
                      <w:color w:val="auto"/>
                      <w:sz w:val="21"/>
                      <w:lang w:val="en-US" w:eastAsia="zh-CN"/>
                    </w:rPr>
                    <w:t>7</w:t>
                  </w:r>
                </w:p>
              </w:tc>
              <w:tc>
                <w:tcPr>
                  <w:tcW w:w="853" w:type="pct"/>
                  <w:vMerge w:val="continue"/>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p>
              </w:tc>
              <w:tc>
                <w:tcPr>
                  <w:tcW w:w="954"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餐厨垃圾</w:t>
                  </w:r>
                </w:p>
              </w:tc>
              <w:tc>
                <w:tcPr>
                  <w:tcW w:w="714" w:type="pct"/>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c>
                <w:tcPr>
                  <w:tcW w:w="714" w:type="pct"/>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w:t>
                  </w:r>
                </w:p>
              </w:tc>
              <w:tc>
                <w:tcPr>
                  <w:tcW w:w="675"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1.79</w:t>
                  </w:r>
                </w:p>
              </w:tc>
              <w:tc>
                <w:tcPr>
                  <w:tcW w:w="7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lang w:val="en-US" w:eastAsia="zh-CN"/>
                    </w:rPr>
                  </w:pPr>
                </w:p>
              </w:tc>
            </w:tr>
          </w:tbl>
          <w:p>
            <w:pPr>
              <w:keepNext w:val="0"/>
              <w:keepLines w:val="0"/>
              <w:pageBreakBefore w:val="0"/>
              <w:widowControl w:val="0"/>
              <w:tabs>
                <w:tab w:val="left" w:pos="8945"/>
              </w:tabs>
              <w:kinsoku/>
              <w:wordWrap/>
              <w:bidi w:val="0"/>
              <w:spacing w:line="360" w:lineRule="auto"/>
              <w:jc w:val="both"/>
              <w:outlineLvl w:val="1"/>
              <w:rPr>
                <w:rFonts w:ascii="Times New Roman" w:hAnsi="Times New Roman" w:cs="Times New Roman"/>
                <w:b/>
                <w:bCs/>
                <w:color w:val="auto"/>
                <w:sz w:val="24"/>
                <w:szCs w:val="21"/>
                <w:lang w:eastAsia="zh-CN"/>
              </w:rPr>
            </w:pPr>
            <w:r>
              <w:rPr>
                <w:rFonts w:hint="eastAsia"/>
                <w:b/>
                <w:bCs/>
                <w:vertAlign w:val="baseline"/>
                <w:lang w:val="en-US" w:eastAsia="zh-CN"/>
              </w:rPr>
              <w:t>4、</w:t>
            </w:r>
            <w:r>
              <w:rPr>
                <w:rFonts w:hint="eastAsia" w:ascii="Times New Roman" w:hAnsi="Times New Roman" w:cs="Times New Roman"/>
                <w:b/>
                <w:bCs/>
                <w:color w:val="auto"/>
                <w:sz w:val="24"/>
                <w:szCs w:val="21"/>
                <w:lang w:eastAsia="zh-CN"/>
              </w:rPr>
              <w:t>现有工程“三废”排放汇总</w:t>
            </w:r>
          </w:p>
          <w:p>
            <w:pPr>
              <w:keepNext w:val="0"/>
              <w:keepLines w:val="0"/>
              <w:pageBreakBefore w:val="0"/>
              <w:widowControl w:val="0"/>
              <w:tabs>
                <w:tab w:val="left" w:pos="8945"/>
              </w:tabs>
              <w:kinsoku/>
              <w:wordWrap/>
              <w:overflowPunct/>
              <w:topLinePunct w:val="0"/>
              <w:autoSpaceDE/>
              <w:autoSpaceDN/>
              <w:bidi w:val="0"/>
              <w:adjustRightInd/>
              <w:snapToGrid/>
              <w:spacing w:line="240" w:lineRule="auto"/>
              <w:jc w:val="center"/>
              <w:textAlignment w:val="auto"/>
              <w:outlineLvl w:val="1"/>
              <w:rPr>
                <w:rFonts w:ascii="Times New Roman" w:hAnsi="Times New Roman" w:cs="Times New Roman"/>
                <w:color w:val="auto"/>
                <w:lang w:eastAsia="zh-CN"/>
              </w:rPr>
            </w:pPr>
            <w:r>
              <w:rPr>
                <w:rFonts w:hint="eastAsia" w:ascii="Times New Roman" w:hAnsi="Times New Roman" w:cs="Times New Roman"/>
                <w:b/>
                <w:bCs/>
                <w:color w:val="auto"/>
                <w:lang w:eastAsia="zh-CN"/>
              </w:rPr>
              <w:t>表</w:t>
            </w:r>
            <w:r>
              <w:rPr>
                <w:rFonts w:hint="eastAsia" w:ascii="Times New Roman" w:hAnsi="Times New Roman" w:cs="Times New Roman"/>
                <w:b/>
                <w:bCs/>
                <w:color w:val="auto"/>
                <w:lang w:val="en-US" w:eastAsia="zh-CN"/>
              </w:rPr>
              <w:t>2</w:t>
            </w:r>
            <w:r>
              <w:rPr>
                <w:rFonts w:hint="eastAsia" w:ascii="Times New Roman" w:hAnsi="Times New Roman" w:cs="Times New Roman"/>
                <w:b/>
                <w:bCs/>
                <w:color w:val="auto"/>
                <w:lang w:eastAsia="zh-CN"/>
              </w:rPr>
              <w:t>-</w:t>
            </w:r>
            <w:r>
              <w:rPr>
                <w:rFonts w:hint="eastAsia" w:cs="Times New Roman"/>
                <w:b/>
                <w:bCs/>
                <w:color w:val="auto"/>
                <w:lang w:val="en-US" w:eastAsia="zh-CN"/>
              </w:rPr>
              <w:t>16</w:t>
            </w:r>
            <w:r>
              <w:rPr>
                <w:rFonts w:hint="eastAsia" w:ascii="Times New Roman" w:hAnsi="Times New Roman" w:cs="Times New Roman"/>
                <w:b/>
                <w:bCs/>
                <w:color w:val="auto"/>
                <w:lang w:eastAsia="zh-CN"/>
              </w:rPr>
              <w:t xml:space="preserve"> 现有工程污染物排放情况一览表</w:t>
            </w:r>
          </w:p>
          <w:tbl>
            <w:tblPr>
              <w:tblStyle w:val="22"/>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4186"/>
              <w:gridCol w:w="29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33"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b/>
                      <w:bCs/>
                      <w:color w:val="auto"/>
                      <w:sz w:val="21"/>
                      <w:lang w:eastAsia="zh-CN"/>
                    </w:rPr>
                    <w:t>分类</w:t>
                  </w:r>
                </w:p>
              </w:tc>
              <w:tc>
                <w:tcPr>
                  <w:tcW w:w="2398"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b/>
                      <w:bCs/>
                      <w:color w:val="auto"/>
                      <w:sz w:val="21"/>
                      <w:lang w:eastAsia="zh-CN"/>
                    </w:rPr>
                    <w:t>污染物名称</w:t>
                  </w:r>
                </w:p>
              </w:tc>
              <w:tc>
                <w:tcPr>
                  <w:tcW w:w="1667"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cs="Times New Roman"/>
                      <w:b/>
                      <w:bCs/>
                      <w:color w:val="auto"/>
                      <w:sz w:val="21"/>
                      <w:lang w:val="en-US" w:eastAsia="zh-CN"/>
                    </w:rPr>
                    <w:t>实际</w:t>
                  </w:r>
                  <w:r>
                    <w:rPr>
                      <w:rFonts w:hint="eastAsia" w:ascii="Times New Roman" w:hAnsi="Times New Roman" w:cs="Times New Roman"/>
                      <w:b/>
                      <w:bCs/>
                      <w:color w:val="auto"/>
                      <w:sz w:val="21"/>
                      <w:lang w:eastAsia="zh-CN"/>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vMerge w:val="restar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废气</w:t>
                  </w:r>
                </w:p>
              </w:tc>
              <w:tc>
                <w:tcPr>
                  <w:tcW w:w="2398"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b w:val="0"/>
                      <w:bCs w:val="0"/>
                      <w:color w:val="auto"/>
                      <w:sz w:val="21"/>
                      <w:lang w:eastAsia="zh-CN"/>
                    </w:rPr>
                  </w:pPr>
                  <w:r>
                    <w:rPr>
                      <w:rFonts w:hint="eastAsia" w:ascii="Times New Roman" w:hAnsi="Times New Roman" w:cs="Times New Roman"/>
                      <w:b w:val="0"/>
                      <w:bCs w:val="0"/>
                      <w:color w:val="auto"/>
                      <w:sz w:val="21"/>
                      <w:lang w:eastAsia="zh-CN"/>
                    </w:rPr>
                    <w:t>VOCs</w:t>
                  </w:r>
                </w:p>
              </w:tc>
              <w:tc>
                <w:tcPr>
                  <w:tcW w:w="1667"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b w:val="0"/>
                      <w:bCs w:val="0"/>
                      <w:color w:val="auto"/>
                      <w:sz w:val="21"/>
                      <w:lang w:val="en-US" w:eastAsia="zh-CN"/>
                    </w:rPr>
                  </w:pPr>
                  <w:r>
                    <w:rPr>
                      <w:rFonts w:hint="eastAsia" w:ascii="Times New Roman" w:hAnsi="Times New Roman" w:cs="Times New Roman"/>
                      <w:b w:val="0"/>
                      <w:bCs w:val="0"/>
                      <w:color w:val="auto"/>
                      <w:sz w:val="21"/>
                      <w:lang w:val="en-US" w:eastAsia="zh-CN"/>
                    </w:rPr>
                    <w:t>0.</w:t>
                  </w:r>
                  <w:r>
                    <w:rPr>
                      <w:rFonts w:hint="eastAsia" w:cs="Times New Roman"/>
                      <w:b w:val="0"/>
                      <w:bCs w:val="0"/>
                      <w:color w:val="auto"/>
                      <w:sz w:val="21"/>
                      <w:lang w:val="en-US" w:eastAsia="zh-CN"/>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vMerge w:val="continue"/>
                  <w:tcBorders>
                    <w:tl2br w:val="nil"/>
                    <w:tr2bl w:val="nil"/>
                  </w:tcBorders>
                  <w:vAlign w:val="center"/>
                </w:tcPr>
                <w:p>
                  <w:pPr>
                    <w:keepNext w:val="0"/>
                    <w:keepLines w:val="0"/>
                    <w:pageBreakBefore w:val="0"/>
                    <w:widowControl w:val="0"/>
                    <w:kinsoku/>
                    <w:wordWrap/>
                    <w:bidi w:val="0"/>
                    <w:jc w:val="center"/>
                    <w:rPr>
                      <w:rFonts w:hint="eastAsia" w:ascii="Times New Roman" w:hAnsi="Times New Roman" w:cs="Times New Roman"/>
                      <w:color w:val="auto"/>
                      <w:sz w:val="21"/>
                      <w:lang w:val="en-US" w:eastAsia="zh-CN"/>
                    </w:rPr>
                  </w:pPr>
                </w:p>
              </w:tc>
              <w:tc>
                <w:tcPr>
                  <w:tcW w:w="2398"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b w:val="0"/>
                      <w:bCs w:val="0"/>
                      <w:color w:val="FF0000"/>
                      <w:sz w:val="21"/>
                      <w:lang w:val="en-US" w:eastAsia="zh-CN"/>
                    </w:rPr>
                  </w:pPr>
                  <w:r>
                    <w:rPr>
                      <w:rFonts w:hint="eastAsia" w:ascii="Times New Roman" w:hAnsi="Times New Roman" w:cs="Times New Roman"/>
                      <w:b w:val="0"/>
                      <w:bCs w:val="0"/>
                      <w:color w:val="auto"/>
                      <w:sz w:val="21"/>
                      <w:lang w:val="en-US" w:eastAsia="zh-CN"/>
                    </w:rPr>
                    <w:t>油烟</w:t>
                  </w:r>
                </w:p>
              </w:tc>
              <w:tc>
                <w:tcPr>
                  <w:tcW w:w="1667"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b w:val="0"/>
                      <w:bCs w:val="0"/>
                      <w:color w:val="FF0000"/>
                      <w:sz w:val="21"/>
                      <w:lang w:val="en-US" w:eastAsia="zh-CN"/>
                    </w:rPr>
                  </w:pPr>
                  <w:r>
                    <w:rPr>
                      <w:rFonts w:hint="eastAsia" w:ascii="Times New Roman" w:hAnsi="Times New Roman" w:cs="Times New Roman"/>
                      <w:b w:val="0"/>
                      <w:bCs w:val="0"/>
                      <w:color w:val="auto"/>
                      <w:sz w:val="21"/>
                      <w:lang w:val="en-US" w:eastAsia="zh-CN"/>
                    </w:rPr>
                    <w:t>1</w:t>
                  </w:r>
                  <w:r>
                    <w:rPr>
                      <w:rFonts w:hint="eastAsia" w:cs="Times New Roman"/>
                      <w:b w:val="0"/>
                      <w:bCs w:val="0"/>
                      <w:color w:val="auto"/>
                      <w:sz w:val="21"/>
                      <w:lang w:val="en-US" w:eastAsia="zh-CN"/>
                    </w:rPr>
                    <w:t>.</w:t>
                  </w:r>
                  <w:r>
                    <w:rPr>
                      <w:rFonts w:hint="eastAsia" w:ascii="Times New Roman" w:hAnsi="Times New Roman" w:cs="Times New Roman"/>
                      <w:b w:val="0"/>
                      <w:bCs w:val="0"/>
                      <w:color w:val="auto"/>
                      <w:sz w:val="21"/>
                      <w:lang w:val="en-US" w:eastAsia="zh-CN"/>
                    </w:rPr>
                    <w:t>395</w:t>
                  </w:r>
                  <w:r>
                    <w:rPr>
                      <w:rFonts w:hint="eastAsia"/>
                      <w:sz w:val="21"/>
                      <w:szCs w:val="21"/>
                      <w:lang w:eastAsia="zh-CN"/>
                    </w:rPr>
                    <w:t>×10</w:t>
                  </w:r>
                  <w:r>
                    <w:rPr>
                      <w:rFonts w:hint="eastAsia"/>
                      <w:sz w:val="21"/>
                      <w:szCs w:val="21"/>
                      <w:vertAlign w:val="superscript"/>
                      <w:lang w:eastAsia="zh-CN"/>
                    </w:rPr>
                    <w:t>-</w:t>
                  </w:r>
                  <w:r>
                    <w:rPr>
                      <w:rFonts w:hint="eastAsia"/>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vMerge w:val="restar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废水</w:t>
                  </w:r>
                </w:p>
              </w:tc>
              <w:tc>
                <w:tcPr>
                  <w:tcW w:w="2398"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废水量</w:t>
                  </w:r>
                </w:p>
              </w:tc>
              <w:tc>
                <w:tcPr>
                  <w:tcW w:w="1667"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10533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2398"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b w:val="0"/>
                      <w:bCs w:val="0"/>
                      <w:sz w:val="21"/>
                      <w:szCs w:val="21"/>
                    </w:rPr>
                    <w:t>COD</w:t>
                  </w:r>
                  <w:r>
                    <w:rPr>
                      <w:b w:val="0"/>
                      <w:bCs w:val="0"/>
                      <w:sz w:val="21"/>
                      <w:szCs w:val="21"/>
                      <w:vertAlign w:val="subscript"/>
                    </w:rPr>
                    <w:t>Cr</w:t>
                  </w:r>
                </w:p>
              </w:tc>
              <w:tc>
                <w:tcPr>
                  <w:tcW w:w="1667" w:type="pct"/>
                  <w:tcBorders>
                    <w:tl2br w:val="nil"/>
                    <w:tr2bl w:val="nil"/>
                  </w:tcBorders>
                  <w:vAlign w:val="center"/>
                </w:tcPr>
                <w:p>
                  <w:pPr>
                    <w:keepNext w:val="0"/>
                    <w:keepLines w:val="0"/>
                    <w:pageBreakBefore w:val="0"/>
                    <w:widowControl w:val="0"/>
                    <w:kinsoku/>
                    <w:wordWrap/>
                    <w:bidi w:val="0"/>
                    <w:jc w:val="center"/>
                    <w:rPr>
                      <w:rFonts w:hint="default" w:cs="Times New Roman"/>
                      <w:color w:val="auto"/>
                      <w:sz w:val="21"/>
                      <w:lang w:val="en-US" w:eastAsia="zh-CN"/>
                    </w:rPr>
                  </w:pPr>
                  <w:r>
                    <w:rPr>
                      <w:rFonts w:hint="eastAsia" w:cs="Times New Roman"/>
                      <w:color w:val="auto"/>
                      <w:sz w:val="21"/>
                      <w:lang w:val="en-US" w:eastAsia="zh-CN"/>
                    </w:rPr>
                    <w:t>8.39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23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sz w:val="21"/>
                      <w:szCs w:val="21"/>
                      <w:lang w:val="en-US" w:eastAsia="zh-CN"/>
                    </w:rPr>
                  </w:pPr>
                  <w:r>
                    <w:rPr>
                      <w:rFonts w:hint="eastAsia"/>
                      <w:b w:val="0"/>
                      <w:bCs w:val="0"/>
                      <w:sz w:val="21"/>
                      <w:szCs w:val="21"/>
                      <w:lang w:val="en-US" w:eastAsia="zh-CN"/>
                    </w:rPr>
                    <w:t>BOD</w:t>
                  </w:r>
                  <w:r>
                    <w:rPr>
                      <w:rFonts w:hint="eastAsia"/>
                      <w:b w:val="0"/>
                      <w:bCs w:val="0"/>
                      <w:sz w:val="21"/>
                      <w:szCs w:val="21"/>
                      <w:vertAlign w:val="subscript"/>
                      <w:lang w:val="en-US" w:eastAsia="zh-CN"/>
                    </w:rPr>
                    <w:t>5</w:t>
                  </w:r>
                </w:p>
              </w:tc>
              <w:tc>
                <w:tcPr>
                  <w:tcW w:w="1667" w:type="pct"/>
                  <w:tcBorders>
                    <w:tl2br w:val="nil"/>
                    <w:tr2bl w:val="nil"/>
                  </w:tcBorders>
                  <w:vAlign w:val="center"/>
                </w:tcPr>
                <w:p>
                  <w:pPr>
                    <w:keepNext w:val="0"/>
                    <w:keepLines w:val="0"/>
                    <w:pageBreakBefore w:val="0"/>
                    <w:widowControl w:val="0"/>
                    <w:kinsoku/>
                    <w:wordWrap/>
                    <w:bidi w:val="0"/>
                    <w:jc w:val="center"/>
                    <w:rPr>
                      <w:rFonts w:hint="default" w:cs="Times New Roman"/>
                      <w:color w:val="auto"/>
                      <w:sz w:val="21"/>
                      <w:lang w:val="en-US" w:eastAsia="zh-CN"/>
                    </w:rPr>
                  </w:pPr>
                  <w:r>
                    <w:rPr>
                      <w:rFonts w:hint="eastAsia" w:cs="Times New Roman"/>
                      <w:color w:val="auto"/>
                      <w:sz w:val="21"/>
                      <w:lang w:val="en-US" w:eastAsia="zh-CN"/>
                    </w:rPr>
                    <w:t>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23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9"/>
                      <w:kern w:val="2"/>
                      <w:sz w:val="24"/>
                      <w:szCs w:val="24"/>
                      <w:vertAlign w:val="baseline"/>
                      <w:lang w:val="en-US" w:eastAsia="zh-CN" w:bidi="ar-SA"/>
                    </w:rPr>
                  </w:pPr>
                  <w:r>
                    <w:rPr>
                      <w:b w:val="0"/>
                      <w:bCs w:val="0"/>
                      <w:sz w:val="21"/>
                      <w:szCs w:val="21"/>
                    </w:rPr>
                    <w:t>NH</w:t>
                  </w:r>
                  <w:r>
                    <w:rPr>
                      <w:b w:val="0"/>
                      <w:bCs w:val="0"/>
                      <w:sz w:val="21"/>
                      <w:szCs w:val="21"/>
                      <w:vertAlign w:val="subscript"/>
                    </w:rPr>
                    <w:t>3</w:t>
                  </w:r>
                  <w:r>
                    <w:rPr>
                      <w:b w:val="0"/>
                      <w:bCs w:val="0"/>
                      <w:sz w:val="21"/>
                      <w:szCs w:val="21"/>
                    </w:rPr>
                    <w:t>-N</w:t>
                  </w:r>
                </w:p>
              </w:tc>
              <w:tc>
                <w:tcPr>
                  <w:tcW w:w="1667" w:type="pct"/>
                  <w:tcBorders>
                    <w:tl2br w:val="nil"/>
                    <w:tr2bl w:val="nil"/>
                  </w:tcBorders>
                  <w:vAlign w:val="center"/>
                </w:tcPr>
                <w:p>
                  <w:pPr>
                    <w:keepNext w:val="0"/>
                    <w:keepLines w:val="0"/>
                    <w:pageBreakBefore w:val="0"/>
                    <w:widowControl w:val="0"/>
                    <w:kinsoku/>
                    <w:wordWrap/>
                    <w:bidi w:val="0"/>
                    <w:jc w:val="center"/>
                    <w:rPr>
                      <w:rFonts w:hint="default" w:cs="Times New Roman"/>
                      <w:color w:val="auto"/>
                      <w:sz w:val="21"/>
                      <w:lang w:val="en-US" w:eastAsia="zh-CN"/>
                    </w:rPr>
                  </w:pPr>
                  <w:r>
                    <w:rPr>
                      <w:rFonts w:hint="eastAsia" w:cs="Times New Roman"/>
                      <w:color w:val="auto"/>
                      <w:sz w:val="21"/>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23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sz w:val="21"/>
                      <w:szCs w:val="21"/>
                      <w:lang w:val="en-US" w:eastAsia="zh-CN"/>
                    </w:rPr>
                  </w:pPr>
                  <w:r>
                    <w:rPr>
                      <w:rFonts w:hint="eastAsia"/>
                      <w:b w:val="0"/>
                      <w:bCs w:val="0"/>
                      <w:sz w:val="21"/>
                      <w:szCs w:val="21"/>
                      <w:lang w:val="en-US" w:eastAsia="zh-CN"/>
                    </w:rPr>
                    <w:t>SS</w:t>
                  </w:r>
                </w:p>
              </w:tc>
              <w:tc>
                <w:tcPr>
                  <w:tcW w:w="1667" w:type="pct"/>
                  <w:tcBorders>
                    <w:tl2br w:val="nil"/>
                    <w:tr2bl w:val="nil"/>
                  </w:tcBorders>
                  <w:vAlign w:val="center"/>
                </w:tcPr>
                <w:p>
                  <w:pPr>
                    <w:keepNext w:val="0"/>
                    <w:keepLines w:val="0"/>
                    <w:pageBreakBefore w:val="0"/>
                    <w:widowControl w:val="0"/>
                    <w:kinsoku/>
                    <w:wordWrap/>
                    <w:bidi w:val="0"/>
                    <w:jc w:val="center"/>
                    <w:rPr>
                      <w:rFonts w:hint="default" w:cs="Times New Roman"/>
                      <w:color w:val="auto"/>
                      <w:sz w:val="21"/>
                      <w:lang w:val="en-US" w:eastAsia="zh-CN"/>
                    </w:rPr>
                  </w:pPr>
                  <w:r>
                    <w:rPr>
                      <w:rFonts w:hint="eastAsia" w:cs="Times New Roman"/>
                      <w:color w:val="auto"/>
                      <w:sz w:val="21"/>
                      <w:lang w:val="en-US" w:eastAsia="zh-CN"/>
                    </w:rPr>
                    <w:t>2.35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23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sz w:val="21"/>
                      <w:szCs w:val="21"/>
                      <w:lang w:val="en-US" w:eastAsia="zh-CN"/>
                    </w:rPr>
                  </w:pPr>
                  <w:r>
                    <w:rPr>
                      <w:rFonts w:hint="eastAsia"/>
                      <w:b w:val="0"/>
                      <w:bCs w:val="0"/>
                      <w:sz w:val="21"/>
                      <w:szCs w:val="21"/>
                      <w:lang w:val="en-US" w:eastAsia="zh-CN"/>
                    </w:rPr>
                    <w:t>TN</w:t>
                  </w:r>
                </w:p>
              </w:tc>
              <w:tc>
                <w:tcPr>
                  <w:tcW w:w="1667" w:type="pct"/>
                  <w:tcBorders>
                    <w:tl2br w:val="nil"/>
                    <w:tr2bl w:val="nil"/>
                  </w:tcBorders>
                  <w:vAlign w:val="center"/>
                </w:tcPr>
                <w:p>
                  <w:pPr>
                    <w:keepNext w:val="0"/>
                    <w:keepLines w:val="0"/>
                    <w:pageBreakBefore w:val="0"/>
                    <w:widowControl w:val="0"/>
                    <w:kinsoku/>
                    <w:wordWrap/>
                    <w:bidi w:val="0"/>
                    <w:jc w:val="center"/>
                    <w:rPr>
                      <w:rFonts w:hint="default" w:cs="Times New Roman"/>
                      <w:color w:val="auto"/>
                      <w:sz w:val="21"/>
                      <w:lang w:val="en-US" w:eastAsia="zh-CN"/>
                    </w:rPr>
                  </w:pPr>
                  <w:r>
                    <w:rPr>
                      <w:rFonts w:hint="eastAsia" w:cs="Times New Roman"/>
                      <w:color w:val="auto"/>
                      <w:sz w:val="21"/>
                      <w:lang w:val="en-US" w:eastAsia="zh-CN"/>
                    </w:rPr>
                    <w:t>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vMerge w:val="continue"/>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p>
              </w:tc>
              <w:tc>
                <w:tcPr>
                  <w:tcW w:w="239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b w:val="0"/>
                      <w:bCs w:val="0"/>
                      <w:sz w:val="21"/>
                      <w:szCs w:val="21"/>
                      <w:lang w:val="en-US" w:eastAsia="zh-CN"/>
                    </w:rPr>
                  </w:pPr>
                  <w:r>
                    <w:rPr>
                      <w:rFonts w:hint="eastAsia"/>
                      <w:b w:val="0"/>
                      <w:bCs w:val="0"/>
                      <w:sz w:val="21"/>
                      <w:szCs w:val="21"/>
                      <w:lang w:val="en-US" w:eastAsia="zh-CN"/>
                    </w:rPr>
                    <w:t>TP</w:t>
                  </w:r>
                </w:p>
              </w:tc>
              <w:tc>
                <w:tcPr>
                  <w:tcW w:w="1667" w:type="pct"/>
                  <w:tcBorders>
                    <w:tl2br w:val="nil"/>
                    <w:tr2bl w:val="nil"/>
                  </w:tcBorders>
                  <w:vAlign w:val="center"/>
                </w:tcPr>
                <w:p>
                  <w:pPr>
                    <w:keepNext w:val="0"/>
                    <w:keepLines w:val="0"/>
                    <w:pageBreakBefore w:val="0"/>
                    <w:widowControl w:val="0"/>
                    <w:kinsoku/>
                    <w:wordWrap/>
                    <w:bidi w:val="0"/>
                    <w:jc w:val="center"/>
                    <w:rPr>
                      <w:rFonts w:hint="default" w:cs="Times New Roman"/>
                      <w:color w:val="auto"/>
                      <w:sz w:val="21"/>
                      <w:lang w:val="en-US" w:eastAsia="zh-CN"/>
                    </w:rPr>
                  </w:pPr>
                  <w:r>
                    <w:rPr>
                      <w:rFonts w:hint="eastAsia" w:cs="Times New Roman"/>
                      <w:color w:val="auto"/>
                      <w:sz w:val="21"/>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3" w:type="pct"/>
                  <w:tcBorders>
                    <w:tl2br w:val="nil"/>
                    <w:tr2bl w:val="nil"/>
                  </w:tcBorders>
                  <w:vAlign w:val="center"/>
                </w:tcPr>
                <w:p>
                  <w:pPr>
                    <w:keepNext w:val="0"/>
                    <w:keepLines w:val="0"/>
                    <w:pageBreakBefore w:val="0"/>
                    <w:widowControl w:val="0"/>
                    <w:kinsoku/>
                    <w:wordWrap/>
                    <w:bidi w:val="0"/>
                    <w:jc w:val="center"/>
                    <w:rPr>
                      <w:rFonts w:ascii="Times New Roman" w:hAnsi="Times New Roman" w:cs="Times New Roman"/>
                      <w:color w:val="auto"/>
                      <w:sz w:val="21"/>
                      <w:lang w:eastAsia="zh-CN"/>
                    </w:rPr>
                  </w:pPr>
                  <w:r>
                    <w:rPr>
                      <w:rFonts w:hint="eastAsia" w:ascii="Times New Roman" w:hAnsi="Times New Roman" w:cs="Times New Roman"/>
                      <w:color w:val="auto"/>
                      <w:sz w:val="21"/>
                      <w:lang w:eastAsia="zh-CN"/>
                    </w:rPr>
                    <w:t>固废</w:t>
                  </w:r>
                </w:p>
              </w:tc>
              <w:tc>
                <w:tcPr>
                  <w:tcW w:w="2398"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eastAsia="zh-CN"/>
                    </w:rPr>
                    <w:t>一般固废、危险固废、</w:t>
                  </w:r>
                  <w:r>
                    <w:rPr>
                      <w:rFonts w:hint="eastAsia" w:ascii="Times New Roman" w:hAnsi="Times New Roman" w:cs="Times New Roman"/>
                      <w:color w:val="auto"/>
                      <w:sz w:val="21"/>
                      <w:lang w:val="en-US" w:eastAsia="zh-CN"/>
                    </w:rPr>
                    <w:t>生活垃圾</w:t>
                  </w:r>
                </w:p>
              </w:tc>
              <w:tc>
                <w:tcPr>
                  <w:tcW w:w="1667" w:type="pct"/>
                  <w:tcBorders>
                    <w:tl2br w:val="nil"/>
                    <w:tr2bl w:val="nil"/>
                  </w:tcBorders>
                  <w:vAlign w:val="center"/>
                </w:tcPr>
                <w:p>
                  <w:pPr>
                    <w:keepNext w:val="0"/>
                    <w:keepLines w:val="0"/>
                    <w:pageBreakBefore w:val="0"/>
                    <w:widowControl w:val="0"/>
                    <w:kinsoku/>
                    <w:wordWrap/>
                    <w:bidi w:val="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54.049</w:t>
                  </w:r>
                  <w:r>
                    <w:rPr>
                      <w:rFonts w:hint="eastAsia" w:ascii="Times New Roman" w:hAnsi="Times New Roman" w:cs="Times New Roman"/>
                      <w:color w:val="auto"/>
                      <w:sz w:val="21"/>
                      <w:lang w:val="en-US" w:eastAsia="zh-CN"/>
                    </w:rPr>
                    <w:t>*</w:t>
                  </w:r>
                </w:p>
              </w:tc>
            </w:tr>
          </w:tbl>
          <w:p>
            <w:pPr>
              <w:keepNext w:val="0"/>
              <w:keepLines w:val="0"/>
              <w:pageBreakBefore w:val="0"/>
              <w:widowControl w:val="0"/>
              <w:tabs>
                <w:tab w:val="left" w:pos="8945"/>
              </w:tabs>
              <w:kinsoku/>
              <w:wordWrap/>
              <w:overflowPunct/>
              <w:topLinePunct w:val="0"/>
              <w:autoSpaceDE/>
              <w:autoSpaceDN/>
              <w:bidi w:val="0"/>
              <w:adjustRightInd w:val="0"/>
              <w:snapToGrid w:val="0"/>
              <w:spacing w:line="240" w:lineRule="auto"/>
              <w:ind w:firstLine="360" w:firstLineChars="200"/>
              <w:jc w:val="both"/>
              <w:textAlignment w:val="auto"/>
              <w:outlineLvl w:val="1"/>
              <w:rPr>
                <w:rFonts w:hint="default" w:ascii="Times New Roman" w:hAnsi="Times New Roman" w:cs="Times New Roman"/>
                <w:b w:val="0"/>
                <w:bCs w:val="0"/>
                <w:color w:val="auto"/>
                <w:sz w:val="18"/>
                <w:szCs w:val="15"/>
                <w:lang w:val="en-US" w:eastAsia="zh-CN"/>
              </w:rPr>
            </w:pPr>
            <w:r>
              <w:rPr>
                <w:rFonts w:hint="eastAsia" w:ascii="Times New Roman" w:hAnsi="Times New Roman" w:cs="Times New Roman"/>
                <w:b w:val="0"/>
                <w:bCs w:val="0"/>
                <w:color w:val="auto"/>
                <w:sz w:val="18"/>
                <w:szCs w:val="15"/>
                <w:lang w:val="en-US" w:eastAsia="zh-CN"/>
              </w:rPr>
              <w:t>注：</w:t>
            </w:r>
            <w:r>
              <w:rPr>
                <w:rFonts w:hint="eastAsia" w:cs="Times New Roman"/>
                <w:b w:val="0"/>
                <w:bCs w:val="0"/>
                <w:color w:val="auto"/>
                <w:sz w:val="18"/>
                <w:szCs w:val="15"/>
                <w:lang w:val="en-US" w:eastAsia="zh-CN"/>
              </w:rPr>
              <w:t>废气、废水污染物实际排放量按例行监测数据计算，废水量</w:t>
            </w:r>
            <w:r>
              <w:rPr>
                <w:rFonts w:hint="eastAsia"/>
                <w:color w:val="auto"/>
                <w:sz w:val="18"/>
                <w:szCs w:val="18"/>
                <w:lang w:val="en-US" w:eastAsia="zh-CN"/>
              </w:rPr>
              <w:t>不包括制备软化</w:t>
            </w:r>
            <w:r>
              <w:rPr>
                <w:rFonts w:hint="eastAsia" w:cs="Times New Roman"/>
                <w:b w:val="0"/>
                <w:bCs w:val="0"/>
                <w:color w:val="auto"/>
                <w:sz w:val="18"/>
                <w:szCs w:val="15"/>
                <w:lang w:val="en-US" w:eastAsia="zh-CN"/>
              </w:rPr>
              <w:t>纯净水所产生的清净下水，</w:t>
            </w:r>
            <w:r>
              <w:rPr>
                <w:rFonts w:hint="eastAsia" w:ascii="Times New Roman" w:hAnsi="Times New Roman" w:cs="Times New Roman"/>
                <w:color w:val="auto"/>
                <w:sz w:val="21"/>
                <w:lang w:val="en-US" w:eastAsia="zh-CN"/>
              </w:rPr>
              <w:t>*</w:t>
            </w:r>
            <w:r>
              <w:rPr>
                <w:rFonts w:hint="eastAsia" w:ascii="Times New Roman" w:hAnsi="Times New Roman" w:cs="Times New Roman"/>
                <w:b w:val="0"/>
                <w:bCs w:val="0"/>
                <w:color w:val="auto"/>
                <w:sz w:val="18"/>
                <w:szCs w:val="15"/>
                <w:lang w:val="en-US" w:eastAsia="zh-CN"/>
              </w:rPr>
              <w:t>为固体废物产生量</w:t>
            </w:r>
            <w:r>
              <w:rPr>
                <w:rFonts w:hint="eastAsia" w:cs="Times New Roman"/>
                <w:b w:val="0"/>
                <w:bCs w:val="0"/>
                <w:color w:val="auto"/>
                <w:sz w:val="18"/>
                <w:szCs w:val="15"/>
                <w:lang w:val="en-US" w:eastAsia="zh-CN"/>
              </w:rPr>
              <w:t xml:space="preserve"> </w:t>
            </w:r>
          </w:p>
          <w:p>
            <w:pPr>
              <w:keepNext w:val="0"/>
              <w:keepLines w:val="0"/>
              <w:pageBreakBefore w:val="0"/>
              <w:widowControl w:val="0"/>
              <w:tabs>
                <w:tab w:val="left" w:pos="1180"/>
              </w:tabs>
              <w:kinsoku/>
              <w:wordWrap/>
              <w:overflowPunct/>
              <w:topLinePunct w:val="0"/>
              <w:autoSpaceDE/>
              <w:autoSpaceDN/>
              <w:bidi w:val="0"/>
              <w:adjustRightInd w:val="0"/>
              <w:snapToGrid w:val="0"/>
              <w:spacing w:before="157" w:beforeLines="50" w:line="360" w:lineRule="auto"/>
              <w:textAlignment w:val="auto"/>
              <w:rPr>
                <w:b/>
                <w:color w:val="000000"/>
              </w:rPr>
            </w:pPr>
            <w:r>
              <w:rPr>
                <w:rFonts w:hint="eastAsia" w:hAnsi="宋体"/>
                <w:b/>
                <w:color w:val="000000"/>
              </w:rPr>
              <w:t>5、现有项目存在的环境问题和整改措施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rPr>
            </w:pPr>
            <w:r>
              <w:rPr>
                <w:rFonts w:hint="eastAsia" w:ascii="宋体" w:hAnsi="宋体"/>
                <w:color w:val="000000"/>
              </w:rPr>
              <w:t>目前现有厂区存在的环保问题主要体现在以下几方面，</w:t>
            </w:r>
            <w:r>
              <w:rPr>
                <w:rFonts w:hint="eastAsia" w:ascii="宋体" w:hAnsi="宋体"/>
              </w:rPr>
              <w:t>具体</w:t>
            </w:r>
            <w:r>
              <w:rPr>
                <w:rFonts w:ascii="宋体" w:hAnsi="宋体"/>
              </w:rPr>
              <w:t>见</w:t>
            </w:r>
            <w:r>
              <w:rPr>
                <w:rFonts w:hint="eastAsia" w:ascii="宋体" w:hAnsi="宋体"/>
                <w:lang w:val="en-US" w:eastAsia="zh-CN"/>
              </w:rPr>
              <w:t>下</w:t>
            </w:r>
            <w:r>
              <w:rPr>
                <w:rFonts w:ascii="宋体" w:hAnsi="宋体"/>
              </w:rPr>
              <w:t>表</w:t>
            </w:r>
            <w:r>
              <w:rPr>
                <w:rFonts w:hint="eastAsia" w:ascii="宋体" w:hAnsi="宋体"/>
              </w:rPr>
              <w:t>。</w:t>
            </w:r>
          </w:p>
          <w:p>
            <w:pPr>
              <w:keepNext w:val="0"/>
              <w:keepLines w:val="0"/>
              <w:pageBreakBefore w:val="0"/>
              <w:widowControl w:val="0"/>
              <w:kinsoku/>
              <w:wordWrap/>
              <w:topLinePunct w:val="0"/>
              <w:bidi w:val="0"/>
              <w:jc w:val="center"/>
              <w:rPr>
                <w:b/>
                <w:bCs/>
              </w:rPr>
            </w:pPr>
          </w:p>
          <w:p>
            <w:pPr>
              <w:keepNext w:val="0"/>
              <w:keepLines w:val="0"/>
              <w:pageBreakBefore w:val="0"/>
              <w:widowControl w:val="0"/>
              <w:kinsoku/>
              <w:wordWrap/>
              <w:topLinePunct w:val="0"/>
              <w:bidi w:val="0"/>
              <w:jc w:val="center"/>
              <w:rPr>
                <w:b/>
                <w:bCs/>
              </w:rPr>
            </w:pPr>
          </w:p>
          <w:p>
            <w:pPr>
              <w:keepNext w:val="0"/>
              <w:keepLines w:val="0"/>
              <w:pageBreakBefore w:val="0"/>
              <w:widowControl w:val="0"/>
              <w:kinsoku/>
              <w:wordWrap/>
              <w:topLinePunct w:val="0"/>
              <w:bidi w:val="0"/>
              <w:jc w:val="center"/>
              <w:rPr>
                <w:b/>
              </w:rPr>
            </w:pPr>
            <w:r>
              <w:rPr>
                <w:b/>
                <w:bCs/>
              </w:rPr>
              <w:t>表2-</w:t>
            </w:r>
            <w:r>
              <w:rPr>
                <w:rFonts w:hint="eastAsia"/>
                <w:b/>
                <w:bCs/>
                <w:lang w:val="en-US" w:eastAsia="zh-CN"/>
              </w:rPr>
              <w:t>17</w:t>
            </w:r>
            <w:r>
              <w:rPr>
                <w:b/>
                <w:bCs/>
              </w:rPr>
              <w:t xml:space="preserve"> 现有工程存在问题和整改措施表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277"/>
              <w:gridCol w:w="3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tl2br w:val="nil"/>
                    <w:tr2bl w:val="nil"/>
                  </w:tcBorders>
                  <w:noWrap w:val="0"/>
                  <w:vAlign w:val="center"/>
                </w:tcPr>
                <w:p>
                  <w:pPr>
                    <w:keepNext w:val="0"/>
                    <w:keepLines w:val="0"/>
                    <w:pageBreakBefore w:val="0"/>
                    <w:widowControl w:val="0"/>
                    <w:kinsoku/>
                    <w:wordWrap/>
                    <w:topLinePunct w:val="0"/>
                    <w:bidi w:val="0"/>
                    <w:jc w:val="center"/>
                    <w:rPr>
                      <w:b/>
                      <w:bCs/>
                      <w:sz w:val="21"/>
                      <w:szCs w:val="21"/>
                    </w:rPr>
                  </w:pPr>
                  <w:r>
                    <w:rPr>
                      <w:b/>
                      <w:bCs/>
                      <w:sz w:val="21"/>
                      <w:szCs w:val="21"/>
                    </w:rPr>
                    <w:t>序号</w:t>
                  </w:r>
                </w:p>
              </w:tc>
              <w:tc>
                <w:tcPr>
                  <w:tcW w:w="2448" w:type="pct"/>
                  <w:tcBorders>
                    <w:tl2br w:val="nil"/>
                    <w:tr2bl w:val="nil"/>
                  </w:tcBorders>
                  <w:noWrap w:val="0"/>
                  <w:vAlign w:val="center"/>
                </w:tcPr>
                <w:p>
                  <w:pPr>
                    <w:keepNext w:val="0"/>
                    <w:keepLines w:val="0"/>
                    <w:pageBreakBefore w:val="0"/>
                    <w:widowControl w:val="0"/>
                    <w:kinsoku/>
                    <w:wordWrap/>
                    <w:topLinePunct w:val="0"/>
                    <w:bidi w:val="0"/>
                    <w:jc w:val="center"/>
                    <w:rPr>
                      <w:b/>
                      <w:bCs/>
                      <w:sz w:val="21"/>
                      <w:szCs w:val="21"/>
                    </w:rPr>
                  </w:pPr>
                  <w:r>
                    <w:rPr>
                      <w:b/>
                      <w:bCs/>
                      <w:sz w:val="21"/>
                      <w:szCs w:val="21"/>
                    </w:rPr>
                    <w:t>现有工程存在问题</w:t>
                  </w:r>
                </w:p>
              </w:tc>
              <w:tc>
                <w:tcPr>
                  <w:tcW w:w="2126" w:type="pct"/>
                  <w:tcBorders>
                    <w:tl2br w:val="nil"/>
                    <w:tr2bl w:val="nil"/>
                  </w:tcBorders>
                  <w:noWrap w:val="0"/>
                  <w:vAlign w:val="center"/>
                </w:tcPr>
                <w:p>
                  <w:pPr>
                    <w:keepNext w:val="0"/>
                    <w:keepLines w:val="0"/>
                    <w:pageBreakBefore w:val="0"/>
                    <w:widowControl w:val="0"/>
                    <w:kinsoku/>
                    <w:wordWrap/>
                    <w:topLinePunct w:val="0"/>
                    <w:bidi w:val="0"/>
                    <w:jc w:val="center"/>
                    <w:rPr>
                      <w:b/>
                      <w:bCs/>
                      <w:sz w:val="21"/>
                      <w:szCs w:val="21"/>
                    </w:rPr>
                  </w:pPr>
                  <w:r>
                    <w:rPr>
                      <w:b/>
                      <w:bCs/>
                      <w:sz w:val="21"/>
                      <w:szCs w:val="21"/>
                    </w:rPr>
                    <w:t>整改措施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4" w:type="pct"/>
                  <w:tcBorders>
                    <w:tl2br w:val="nil"/>
                    <w:tr2bl w:val="nil"/>
                  </w:tcBorders>
                  <w:noWrap w:val="0"/>
                  <w:vAlign w:val="center"/>
                </w:tcPr>
                <w:p>
                  <w:pPr>
                    <w:keepNext w:val="0"/>
                    <w:keepLines w:val="0"/>
                    <w:pageBreakBefore w:val="0"/>
                    <w:widowControl w:val="0"/>
                    <w:kinsoku/>
                    <w:wordWrap/>
                    <w:topLinePunct w:val="0"/>
                    <w:bidi w:val="0"/>
                    <w:jc w:val="center"/>
                    <w:rPr>
                      <w:rFonts w:hint="eastAsia" w:eastAsia="宋体"/>
                      <w:sz w:val="21"/>
                      <w:szCs w:val="21"/>
                      <w:lang w:val="en-US" w:eastAsia="zh-CN"/>
                    </w:rPr>
                  </w:pPr>
                  <w:r>
                    <w:rPr>
                      <w:rFonts w:hint="eastAsia"/>
                      <w:sz w:val="21"/>
                      <w:szCs w:val="21"/>
                      <w:lang w:val="en-US" w:eastAsia="zh-CN"/>
                    </w:rPr>
                    <w:t>1</w:t>
                  </w:r>
                </w:p>
              </w:tc>
              <w:tc>
                <w:tcPr>
                  <w:tcW w:w="2448" w:type="pct"/>
                  <w:tcBorders>
                    <w:tl2br w:val="nil"/>
                    <w:tr2bl w:val="nil"/>
                  </w:tcBorders>
                  <w:noWrap w:val="0"/>
                  <w:vAlign w:val="center"/>
                </w:tcPr>
                <w:p>
                  <w:pPr>
                    <w:keepNext w:val="0"/>
                    <w:keepLines w:val="0"/>
                    <w:pageBreakBefore w:val="0"/>
                    <w:widowControl w:val="0"/>
                    <w:kinsoku/>
                    <w:wordWrap/>
                    <w:topLinePunct w:val="0"/>
                    <w:bidi w:val="0"/>
                    <w:ind w:firstLine="630" w:firstLineChars="300"/>
                    <w:jc w:val="both"/>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雨污水接管口未设置</w:t>
                  </w:r>
                  <w:r>
                    <w:rPr>
                      <w:rFonts w:hint="eastAsia" w:cs="Times New Roman"/>
                      <w:sz w:val="21"/>
                      <w:szCs w:val="21"/>
                      <w:lang w:val="en-US" w:eastAsia="zh-CN"/>
                    </w:rPr>
                    <w:t>标识标牌</w:t>
                  </w:r>
                  <w:r>
                    <w:rPr>
                      <w:rFonts w:hint="eastAsia" w:ascii="Times New Roman" w:hAnsi="Times New Roman" w:eastAsia="宋体" w:cs="Times New Roman"/>
                      <w:sz w:val="21"/>
                      <w:szCs w:val="21"/>
                    </w:rPr>
                    <w:t>。</w:t>
                  </w:r>
                </w:p>
              </w:tc>
              <w:tc>
                <w:tcPr>
                  <w:tcW w:w="2126" w:type="pct"/>
                  <w:tcBorders>
                    <w:tl2br w:val="nil"/>
                    <w:tr2bl w:val="nil"/>
                  </w:tcBorders>
                  <w:noWrap w:val="0"/>
                  <w:vAlign w:val="center"/>
                </w:tcPr>
                <w:p>
                  <w:pPr>
                    <w:keepNext w:val="0"/>
                    <w:keepLines w:val="0"/>
                    <w:pageBreakBefore w:val="0"/>
                    <w:widowControl w:val="0"/>
                    <w:kinsoku/>
                    <w:wordWrap/>
                    <w:topLinePunct w:val="0"/>
                    <w:bidi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规范化设置雨污水接管口标识标牌。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24" w:type="pct"/>
                  <w:tcBorders>
                    <w:tl2br w:val="nil"/>
                    <w:tr2bl w:val="nil"/>
                  </w:tcBorders>
                  <w:noWrap w:val="0"/>
                  <w:vAlign w:val="center"/>
                </w:tcPr>
                <w:p>
                  <w:pPr>
                    <w:keepNext w:val="0"/>
                    <w:keepLines w:val="0"/>
                    <w:pageBreakBefore w:val="0"/>
                    <w:widowControl w:val="0"/>
                    <w:kinsoku/>
                    <w:wordWrap/>
                    <w:topLinePunct w:val="0"/>
                    <w:bidi w:val="0"/>
                    <w:jc w:val="center"/>
                    <w:rPr>
                      <w:rFonts w:hint="eastAsia" w:eastAsia="宋体"/>
                      <w:sz w:val="21"/>
                      <w:szCs w:val="21"/>
                      <w:lang w:val="en-US" w:eastAsia="zh-CN"/>
                    </w:rPr>
                  </w:pPr>
                  <w:r>
                    <w:rPr>
                      <w:rFonts w:hint="eastAsia"/>
                      <w:sz w:val="21"/>
                      <w:szCs w:val="21"/>
                      <w:lang w:val="en-US" w:eastAsia="zh-CN"/>
                    </w:rPr>
                    <w:t>2</w:t>
                  </w:r>
                </w:p>
              </w:tc>
              <w:tc>
                <w:tcPr>
                  <w:tcW w:w="2448" w:type="pct"/>
                  <w:tcBorders>
                    <w:tl2br w:val="nil"/>
                    <w:tr2bl w:val="nil"/>
                  </w:tcBorders>
                  <w:noWrap w:val="0"/>
                  <w:vAlign w:val="center"/>
                </w:tcPr>
                <w:p>
                  <w:pPr>
                    <w:keepNext w:val="0"/>
                    <w:keepLines w:val="0"/>
                    <w:pageBreakBefore w:val="0"/>
                    <w:widowControl w:val="0"/>
                    <w:kinsoku/>
                    <w:wordWrap/>
                    <w:topLinePunct w:val="0"/>
                    <w:bidi w:val="0"/>
                    <w:jc w:val="center"/>
                    <w:rPr>
                      <w:rFonts w:hint="eastAsia" w:ascii="Times New Roman" w:hAnsi="Times New Roman" w:eastAsia="宋体" w:cs="Times New Roman"/>
                      <w:sz w:val="21"/>
                      <w:szCs w:val="21"/>
                    </w:rPr>
                  </w:pPr>
                  <w:r>
                    <w:rPr>
                      <w:rFonts w:hint="eastAsia" w:cs="Times New Roman"/>
                      <w:sz w:val="21"/>
                      <w:szCs w:val="21"/>
                      <w:lang w:val="en-US" w:eastAsia="zh-CN"/>
                    </w:rPr>
                    <w:t>危废暂存间张贴的危废标识未更新</w:t>
                  </w:r>
                  <w:r>
                    <w:rPr>
                      <w:rFonts w:hint="eastAsia" w:ascii="Times New Roman" w:hAnsi="Times New Roman" w:eastAsia="宋体" w:cs="Times New Roman"/>
                      <w:sz w:val="21"/>
                      <w:szCs w:val="21"/>
                    </w:rPr>
                    <w:t>。</w:t>
                  </w:r>
                </w:p>
              </w:tc>
              <w:tc>
                <w:tcPr>
                  <w:tcW w:w="2126" w:type="pct"/>
                  <w:tcBorders>
                    <w:tl2br w:val="nil"/>
                    <w:tr2bl w:val="nil"/>
                  </w:tcBorders>
                  <w:noWrap w:val="0"/>
                  <w:vAlign w:val="center"/>
                </w:tcPr>
                <w:p>
                  <w:pPr>
                    <w:keepNext w:val="0"/>
                    <w:keepLines w:val="0"/>
                    <w:pageBreakBefore w:val="0"/>
                    <w:widowControl w:val="0"/>
                    <w:kinsoku/>
                    <w:wordWrap/>
                    <w:topLinePunct w:val="0"/>
                    <w:bidi w:val="0"/>
                    <w:jc w:val="center"/>
                    <w:rPr>
                      <w:rFonts w:hint="eastAsia" w:cs="Times New Roman"/>
                      <w:sz w:val="21"/>
                      <w:szCs w:val="21"/>
                      <w:lang w:val="en-US" w:eastAsia="zh-CN"/>
                    </w:rPr>
                  </w:pPr>
                  <w:r>
                    <w:rPr>
                      <w:rFonts w:hint="eastAsia" w:cs="Times New Roman"/>
                      <w:sz w:val="21"/>
                      <w:szCs w:val="21"/>
                      <w:lang w:val="en-US" w:eastAsia="zh-CN"/>
                    </w:rPr>
                    <w:t>按照《危险废物识别标志设置技术规范》（HJ 1276-2022），将危废标识</w:t>
                  </w:r>
                </w:p>
                <w:p>
                  <w:pPr>
                    <w:keepNext w:val="0"/>
                    <w:keepLines w:val="0"/>
                    <w:pageBreakBefore w:val="0"/>
                    <w:widowControl w:val="0"/>
                    <w:kinsoku/>
                    <w:wordWrap/>
                    <w:topLinePunct w:val="0"/>
                    <w:bidi w:val="0"/>
                    <w:jc w:val="center"/>
                    <w:rPr>
                      <w:rFonts w:hint="eastAsia" w:ascii="Times New Roman" w:hAnsi="Times New Roman" w:eastAsia="宋体" w:cs="Times New Roman"/>
                      <w:sz w:val="21"/>
                      <w:szCs w:val="21"/>
                    </w:rPr>
                  </w:pPr>
                  <w:r>
                    <w:rPr>
                      <w:rFonts w:hint="eastAsia" w:cs="Times New Roman"/>
                      <w:sz w:val="21"/>
                      <w:szCs w:val="21"/>
                      <w:lang w:val="en-US" w:eastAsia="zh-CN"/>
                    </w:rPr>
                    <w:t>进行更新</w:t>
                  </w:r>
                  <w:r>
                    <w:rPr>
                      <w:rFonts w:hint="eastAsia" w:ascii="Times New Roman" w:hAnsi="Times New Roman" w:eastAsia="宋体" w:cs="Times New Roman"/>
                      <w:sz w:val="21"/>
                      <w:szCs w:val="21"/>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b w:val="0"/>
                <w:bCs w:val="0"/>
                <w:vertAlign w:val="baseline"/>
                <w:lang w:val="en-US" w:eastAsia="zh-CN"/>
              </w:rPr>
            </w:pPr>
          </w:p>
        </w:tc>
      </w:tr>
    </w:tbl>
    <w:p>
      <w:pPr>
        <w:sectPr>
          <w:pgSz w:w="11906" w:h="16838"/>
          <w:pgMar w:top="1134" w:right="1134" w:bottom="1134" w:left="1134" w:header="510"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jc w:val="center"/>
        <w:textAlignment w:val="auto"/>
        <w:rPr>
          <w:b/>
          <w:bCs/>
          <w:sz w:val="32"/>
          <w:szCs w:val="32"/>
        </w:rPr>
      </w:pPr>
      <w:r>
        <w:rPr>
          <w:rFonts w:hint="eastAsia"/>
          <w:b/>
          <w:bCs/>
          <w:sz w:val="32"/>
          <w:szCs w:val="32"/>
          <w:lang w:val="en-US" w:eastAsia="zh-CN"/>
        </w:rPr>
        <w:t xml:space="preserve"> </w:t>
      </w:r>
      <w:r>
        <w:rPr>
          <w:rFonts w:hint="eastAsia"/>
          <w:b/>
          <w:bCs/>
          <w:sz w:val="32"/>
          <w:szCs w:val="32"/>
        </w:rPr>
        <w:t>三、区域环境质量现状、环境保护目标及评价标准</w:t>
      </w:r>
    </w:p>
    <w:tbl>
      <w:tblPr>
        <w:tblStyle w:val="21"/>
        <w:tblW w:w="498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9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376" w:type="pct"/>
            <w:noWrap w:val="0"/>
            <w:vAlign w:val="center"/>
          </w:tcPr>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区域</w:t>
            </w:r>
          </w:p>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环境</w:t>
            </w:r>
          </w:p>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质量</w:t>
            </w:r>
          </w:p>
          <w:p>
            <w:pPr>
              <w:keepNext w:val="0"/>
              <w:keepLines w:val="0"/>
              <w:pageBreakBefore w:val="0"/>
              <w:widowControl w:val="0"/>
              <w:kinsoku/>
              <w:wordWrap/>
              <w:overflowPunct/>
              <w:topLinePunct w:val="0"/>
              <w:bidi w:val="0"/>
              <w:adjustRightInd w:val="0"/>
              <w:snapToGrid w:val="0"/>
              <w:jc w:val="center"/>
              <w:rPr>
                <w:rFonts w:ascii="宋体" w:hAnsi="宋体" w:cs="宋体"/>
                <w:kern w:val="0"/>
                <w:szCs w:val="21"/>
              </w:rPr>
            </w:pPr>
            <w:r>
              <w:rPr>
                <w:rFonts w:hint="eastAsia" w:ascii="宋体" w:hAnsi="宋体" w:cs="宋体"/>
                <w:b/>
                <w:kern w:val="0"/>
                <w:szCs w:val="21"/>
              </w:rPr>
              <w:t>现状</w:t>
            </w:r>
          </w:p>
        </w:tc>
        <w:tc>
          <w:tcPr>
            <w:tcW w:w="4623" w:type="pct"/>
            <w:noWrap w:val="0"/>
            <w:vAlign w:val="center"/>
          </w:tcPr>
          <w:p>
            <w:pPr>
              <w:keepNext w:val="0"/>
              <w:keepLines w:val="0"/>
              <w:pageBreakBefore w:val="0"/>
              <w:widowControl w:val="0"/>
              <w:kinsoku/>
              <w:wordWrap/>
              <w:overflowPunct/>
              <w:topLinePunct w:val="0"/>
              <w:bidi w:val="0"/>
              <w:spacing w:line="360" w:lineRule="auto"/>
              <w:jc w:val="left"/>
              <w:rPr>
                <w:b/>
                <w:bCs/>
                <w:color w:val="000000"/>
                <w:szCs w:val="32"/>
              </w:rPr>
            </w:pPr>
            <w:bookmarkStart w:id="1" w:name="_Toc16819358"/>
            <w:bookmarkStart w:id="2" w:name="_Toc17555435"/>
            <w:r>
              <w:rPr>
                <w:b/>
                <w:bCs/>
                <w:color w:val="000000"/>
                <w:szCs w:val="32"/>
              </w:rPr>
              <w:t>1、大气环境质量状况</w:t>
            </w:r>
            <w:bookmarkEnd w:id="1"/>
            <w:bookmarkEnd w:id="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（1）大气环境质量标准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项目所在区域为环境空气功能二类区，评价区内SO</w:t>
            </w:r>
            <w:r>
              <w:rPr>
                <w:sz w:val="24"/>
                <w:vertAlign w:val="subscript"/>
              </w:rPr>
              <w:t>2</w:t>
            </w:r>
            <w:r>
              <w:rPr>
                <w:sz w:val="24"/>
              </w:rPr>
              <w:t>、NO</w:t>
            </w:r>
            <w:r>
              <w:rPr>
                <w:sz w:val="24"/>
                <w:vertAlign w:val="subscript"/>
              </w:rPr>
              <w:t>2</w:t>
            </w:r>
            <w:r>
              <w:rPr>
                <w:sz w:val="24"/>
              </w:rPr>
              <w:t>、PM</w:t>
            </w:r>
            <w:r>
              <w:rPr>
                <w:sz w:val="24"/>
                <w:vertAlign w:val="subscript"/>
              </w:rPr>
              <w:t>2.5</w:t>
            </w:r>
            <w:r>
              <w:rPr>
                <w:sz w:val="24"/>
              </w:rPr>
              <w:t>、PM</w:t>
            </w:r>
            <w:r>
              <w:rPr>
                <w:sz w:val="24"/>
                <w:vertAlign w:val="subscript"/>
              </w:rPr>
              <w:t>10</w:t>
            </w:r>
            <w:r>
              <w:rPr>
                <w:sz w:val="24"/>
              </w:rPr>
              <w:t>、O</w:t>
            </w:r>
            <w:r>
              <w:rPr>
                <w:sz w:val="24"/>
                <w:vertAlign w:val="subscript"/>
              </w:rPr>
              <w:t>3</w:t>
            </w:r>
            <w:r>
              <w:rPr>
                <w:sz w:val="24"/>
              </w:rPr>
              <w:t>、CO执行</w:t>
            </w:r>
            <w:r>
              <w:rPr>
                <w:snapToGrid w:val="0"/>
                <w:sz w:val="24"/>
              </w:rPr>
              <w:t>《环境空气质量标准》（GB3095-2012）及2018年修改单中的二级标准</w:t>
            </w:r>
            <w:r>
              <w:rPr>
                <w:sz w:val="24"/>
              </w:rPr>
              <w:t>。</w:t>
            </w:r>
            <w:r>
              <w:rPr>
                <w:rFonts w:hint="default" w:ascii="Times New Roman" w:hAnsi="Times New Roman" w:cs="Times New Roman"/>
                <w:color w:val="auto"/>
              </w:rPr>
              <w:t>非甲烷总烃参照执行《大气污染物综合排放标准详解》中的标准</w:t>
            </w:r>
            <w:r>
              <w:rPr>
                <w:rFonts w:hint="eastAsia" w:cs="Times New Roman"/>
                <w:color w:val="auto"/>
                <w:lang w:eastAsia="zh-CN"/>
              </w:rPr>
              <w:t>，</w:t>
            </w:r>
            <w:r>
              <w:rPr>
                <w:sz w:val="24"/>
              </w:rPr>
              <w:t>具体见下表。</w:t>
            </w:r>
          </w:p>
          <w:p>
            <w:pPr>
              <w:keepNext w:val="0"/>
              <w:keepLines w:val="0"/>
              <w:pageBreakBefore w:val="0"/>
              <w:widowControl w:val="0"/>
              <w:tabs>
                <w:tab w:val="left" w:pos="420"/>
              </w:tabs>
              <w:kinsoku/>
              <w:wordWrap/>
              <w:overflowPunct/>
              <w:topLinePunct w:val="0"/>
              <w:autoSpaceDE/>
              <w:autoSpaceDN/>
              <w:bidi w:val="0"/>
              <w:adjustRightInd/>
              <w:snapToGrid/>
              <w:spacing w:line="240" w:lineRule="auto"/>
              <w:jc w:val="center"/>
              <w:textAlignment w:val="auto"/>
              <w:rPr>
                <w:b/>
                <w:color w:val="000000"/>
                <w:szCs w:val="32"/>
              </w:rPr>
            </w:pPr>
            <w:r>
              <w:rPr>
                <w:b/>
                <w:color w:val="000000"/>
                <w:szCs w:val="32"/>
              </w:rPr>
              <w:t>表</w:t>
            </w:r>
            <w:r>
              <w:rPr>
                <w:rFonts w:hint="eastAsia"/>
                <w:b/>
                <w:color w:val="000000"/>
                <w:szCs w:val="32"/>
                <w:lang w:val="en-US" w:eastAsia="zh-CN"/>
              </w:rPr>
              <w:t xml:space="preserve">3-1 </w:t>
            </w:r>
            <w:r>
              <w:rPr>
                <w:b/>
                <w:color w:val="000000"/>
                <w:szCs w:val="32"/>
              </w:rPr>
              <w:t>环境空气质量标准</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1"/>
              <w:gridCol w:w="954"/>
              <w:gridCol w:w="2320"/>
              <w:gridCol w:w="1561"/>
              <w:gridCol w:w="33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390" w:type="pct"/>
                  <w:tcBorders>
                    <w:top w:val="single" w:color="auto" w:sz="12" w:space="0"/>
                    <w:left w:val="nil"/>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napToGrid w:val="0"/>
                      <w:sz w:val="21"/>
                      <w:szCs w:val="21"/>
                    </w:rPr>
                  </w:pPr>
                  <w:r>
                    <w:rPr>
                      <w:b/>
                      <w:snapToGrid w:val="0"/>
                      <w:sz w:val="21"/>
                      <w:szCs w:val="21"/>
                    </w:rPr>
                    <w:t>类别</w:t>
                  </w:r>
                </w:p>
              </w:tc>
              <w:tc>
                <w:tcPr>
                  <w:tcW w:w="538" w:type="pc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napToGrid w:val="0"/>
                      <w:sz w:val="21"/>
                      <w:szCs w:val="21"/>
                    </w:rPr>
                  </w:pPr>
                  <w:r>
                    <w:rPr>
                      <w:b/>
                      <w:snapToGrid w:val="0"/>
                      <w:sz w:val="21"/>
                      <w:szCs w:val="21"/>
                    </w:rPr>
                    <w:t>项目</w:t>
                  </w:r>
                </w:p>
              </w:tc>
              <w:tc>
                <w:tcPr>
                  <w:tcW w:w="1308" w:type="pc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napToGrid w:val="0"/>
                      <w:sz w:val="21"/>
                      <w:szCs w:val="21"/>
                    </w:rPr>
                  </w:pPr>
                  <w:r>
                    <w:rPr>
                      <w:b/>
                      <w:snapToGrid w:val="0"/>
                      <w:sz w:val="21"/>
                      <w:szCs w:val="21"/>
                    </w:rPr>
                    <w:t>取值时间</w:t>
                  </w:r>
                </w:p>
              </w:tc>
              <w:tc>
                <w:tcPr>
                  <w:tcW w:w="880" w:type="pct"/>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napToGrid w:val="0"/>
                      <w:sz w:val="21"/>
                      <w:szCs w:val="21"/>
                    </w:rPr>
                  </w:pPr>
                  <w:r>
                    <w:rPr>
                      <w:b/>
                      <w:snapToGrid w:val="0"/>
                      <w:sz w:val="21"/>
                      <w:szCs w:val="21"/>
                    </w:rPr>
                    <w:t>标准值</w:t>
                  </w:r>
                </w:p>
              </w:tc>
              <w:tc>
                <w:tcPr>
                  <w:tcW w:w="1882" w:type="pct"/>
                  <w:tcBorders>
                    <w:top w:val="single" w:color="auto" w:sz="12"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napToGrid w:val="0"/>
                      <w:sz w:val="21"/>
                      <w:szCs w:val="21"/>
                    </w:rPr>
                  </w:pPr>
                  <w:r>
                    <w:rPr>
                      <w:b/>
                      <w:snapToGrid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390" w:type="pct"/>
                  <w:vMerge w:val="restart"/>
                  <w:tcBorders>
                    <w:top w:val="single" w:color="auto" w:sz="6" w:space="0"/>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气</w:t>
                  </w:r>
                </w:p>
              </w:tc>
              <w:tc>
                <w:tcPr>
                  <w:tcW w:w="538"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z w:val="21"/>
                      <w:szCs w:val="21"/>
                      <w:shd w:val="clear" w:color="auto" w:fill="FFFFFF"/>
                    </w:rPr>
                    <w:t>SO</w:t>
                  </w:r>
                  <w:r>
                    <w:rPr>
                      <w:sz w:val="21"/>
                      <w:szCs w:val="21"/>
                      <w:shd w:val="clear" w:color="auto" w:fill="FFFFFF"/>
                      <w:vertAlign w:val="subscript"/>
                    </w:rPr>
                    <w:t>2</w:t>
                  </w: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1小时均值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500μg/m</w:t>
                  </w:r>
                  <w:r>
                    <w:rPr>
                      <w:snapToGrid w:val="0"/>
                      <w:sz w:val="21"/>
                      <w:szCs w:val="21"/>
                      <w:vertAlign w:val="superscript"/>
                    </w:rPr>
                    <w:t>3</w:t>
                  </w:r>
                </w:p>
              </w:tc>
              <w:tc>
                <w:tcPr>
                  <w:tcW w:w="1882" w:type="pct"/>
                  <w:vMerge w:val="restart"/>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《环境空气质量标准》（GB3095-2012）中的二级标准及2018年修改单中</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相关标准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24小时均值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150μg/m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年平均</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60μg/m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z w:val="21"/>
                      <w:szCs w:val="21"/>
                      <w:shd w:val="clear" w:color="auto" w:fill="FFFFFF"/>
                    </w:rPr>
                    <w:t>NO</w:t>
                  </w:r>
                  <w:r>
                    <w:rPr>
                      <w:sz w:val="21"/>
                      <w:szCs w:val="21"/>
                      <w:shd w:val="clear" w:color="auto" w:fill="FFFFFF"/>
                      <w:vertAlign w:val="subscript"/>
                    </w:rPr>
                    <w:t>2</w:t>
                  </w: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1小时均值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200μg/m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24小时均值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80μg/m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年平均</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40μg/m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z w:val="21"/>
                      <w:szCs w:val="21"/>
                    </w:rPr>
                    <w:t>PM</w:t>
                  </w:r>
                  <w:r>
                    <w:rPr>
                      <w:sz w:val="21"/>
                      <w:szCs w:val="21"/>
                      <w:vertAlign w:val="subscript"/>
                    </w:rPr>
                    <w:t>2.5</w:t>
                  </w: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24小时均值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75μg/m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年均值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35μg/m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z w:val="21"/>
                      <w:szCs w:val="21"/>
                    </w:rPr>
                    <w:t>PM</w:t>
                  </w:r>
                  <w:r>
                    <w:rPr>
                      <w:sz w:val="21"/>
                      <w:szCs w:val="21"/>
                      <w:vertAlign w:val="subscript"/>
                    </w:rPr>
                    <w:t>10</w:t>
                  </w: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24小时均值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150μg/m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年均值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70μg/m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O</w:t>
                  </w:r>
                  <w:r>
                    <w:rPr>
                      <w:snapToGrid w:val="0"/>
                      <w:sz w:val="21"/>
                      <w:szCs w:val="21"/>
                      <w:vertAlign w:val="subscript"/>
                    </w:rPr>
                    <w:t>3</w:t>
                  </w: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1小时均值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200μg/m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日最大8小时均值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160μg/m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CO</w:t>
                  </w: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1小时均值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10mg/m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1308"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24小时均值</w:t>
                  </w:r>
                </w:p>
              </w:tc>
              <w:tc>
                <w:tcPr>
                  <w:tcW w:w="88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sz w:val="21"/>
                      <w:szCs w:val="21"/>
                    </w:rPr>
                  </w:pPr>
                  <w:r>
                    <w:rPr>
                      <w:snapToGrid w:val="0"/>
                      <w:sz w:val="21"/>
                      <w:szCs w:val="21"/>
                    </w:rPr>
                    <w:t>4mg/m</w:t>
                  </w:r>
                  <w:r>
                    <w:rPr>
                      <w:snapToGrid w:val="0"/>
                      <w:sz w:val="21"/>
                      <w:szCs w:val="21"/>
                      <w:vertAlign w:val="superscript"/>
                    </w:rPr>
                    <w:t>3</w:t>
                  </w:r>
                </w:p>
              </w:tc>
              <w:tc>
                <w:tcPr>
                  <w:tcW w:w="1882" w:type="pct"/>
                  <w:vMerge w:val="continue"/>
                  <w:tcBorders>
                    <w:top w:val="single" w:color="auto" w:sz="6" w:space="0"/>
                    <w:left w:val="single" w:color="auto" w:sz="6" w:space="0"/>
                    <w:bottom w:val="single" w:color="auto" w:sz="6"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0" w:type="pct"/>
                  <w:vMerge w:val="continue"/>
                  <w:tcBorders>
                    <w:left w:val="nil"/>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napToGrid w:val="0"/>
                      <w:sz w:val="21"/>
                      <w:szCs w:val="21"/>
                    </w:rPr>
                  </w:pPr>
                </w:p>
              </w:tc>
              <w:tc>
                <w:tcPr>
                  <w:tcW w:w="538" w:type="pct"/>
                  <w:tcBorders>
                    <w:top w:val="single" w:color="auto" w:sz="6" w:space="0"/>
                    <w:left w:val="single" w:color="auto" w:sz="6" w:space="0"/>
                    <w:bottom w:val="single" w:color="auto" w:sz="12" w:space="0"/>
                    <w:right w:val="single" w:color="auto" w:sz="6"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rFonts w:hint="default" w:ascii="Times New Roman" w:hAnsi="Times New Roman" w:cs="Times New Roman"/>
                      <w:color w:val="auto"/>
                      <w:sz w:val="21"/>
                      <w:szCs w:val="21"/>
                      <w:lang w:val="en-US" w:eastAsia="zh-CN"/>
                    </w:rPr>
                    <w:t>非甲烷总烃</w:t>
                  </w:r>
                </w:p>
              </w:tc>
              <w:tc>
                <w:tcPr>
                  <w:tcW w:w="1308" w:type="pct"/>
                  <w:tcBorders>
                    <w:top w:val="single" w:color="auto" w:sz="6" w:space="0"/>
                    <w:left w:val="single" w:color="auto" w:sz="6" w:space="0"/>
                    <w:bottom w:val="single" w:color="auto" w:sz="12" w:space="0"/>
                    <w:right w:val="single" w:color="auto" w:sz="6"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rFonts w:hint="default" w:ascii="Times New Roman" w:hAnsi="Times New Roman" w:cs="Times New Roman"/>
                      <w:color w:val="auto"/>
                      <w:sz w:val="21"/>
                      <w:szCs w:val="21"/>
                      <w:lang w:val="en-US" w:eastAsia="zh-CN"/>
                    </w:rPr>
                    <w:t>1小时平均</w:t>
                  </w:r>
                </w:p>
              </w:tc>
              <w:tc>
                <w:tcPr>
                  <w:tcW w:w="880" w:type="pct"/>
                  <w:tcBorders>
                    <w:top w:val="single" w:color="auto" w:sz="6" w:space="0"/>
                    <w:left w:val="single" w:color="auto" w:sz="6" w:space="0"/>
                    <w:bottom w:val="single" w:color="auto" w:sz="12" w:space="0"/>
                    <w:right w:val="single" w:color="auto" w:sz="6"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rFonts w:hint="default" w:ascii="Times New Roman" w:hAnsi="Times New Roman" w:cs="Times New Roman"/>
                      <w:color w:val="auto"/>
                      <w:sz w:val="21"/>
                      <w:szCs w:val="21"/>
                      <w:lang w:val="en-US" w:eastAsia="zh-CN"/>
                    </w:rPr>
                    <w:t>2000</w:t>
                  </w:r>
                  <w:r>
                    <w:rPr>
                      <w:snapToGrid w:val="0"/>
                      <w:sz w:val="21"/>
                      <w:szCs w:val="21"/>
                    </w:rPr>
                    <w:t>μg/m</w:t>
                  </w:r>
                  <w:r>
                    <w:rPr>
                      <w:snapToGrid w:val="0"/>
                      <w:sz w:val="21"/>
                      <w:szCs w:val="21"/>
                      <w:vertAlign w:val="superscript"/>
                    </w:rPr>
                    <w:t>3</w:t>
                  </w:r>
                </w:p>
              </w:tc>
              <w:tc>
                <w:tcPr>
                  <w:tcW w:w="1882" w:type="pct"/>
                  <w:tcBorders>
                    <w:top w:val="single" w:color="auto" w:sz="6" w:space="0"/>
                    <w:left w:val="single" w:color="auto" w:sz="6" w:space="0"/>
                    <w:bottom w:val="single" w:color="auto" w:sz="12" w:space="0"/>
                    <w:right w:val="nil"/>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rFonts w:hint="default" w:ascii="Times New Roman" w:hAnsi="Times New Roman" w:cs="Times New Roman"/>
                      <w:color w:val="auto"/>
                      <w:sz w:val="21"/>
                      <w:szCs w:val="21"/>
                      <w:lang w:val="en-US" w:eastAsia="zh-CN"/>
                    </w:rPr>
                    <w:t>《大气污染物综合排放标准详解》</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pPr>
            <w:r>
              <w:t>（</w:t>
            </w:r>
            <w:r>
              <w:rPr>
                <w:rFonts w:hint="eastAsia"/>
                <w:lang w:val="en-US" w:eastAsia="zh-CN"/>
              </w:rPr>
              <w:t>2</w:t>
            </w:r>
            <w:r>
              <w:t>）项目所在区域</w:t>
            </w:r>
            <w:r>
              <w:rPr>
                <w:rFonts w:hint="eastAsia"/>
              </w:rPr>
              <w:t>基本污染物</w:t>
            </w:r>
            <w:r>
              <w:t>达标判断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根据《环境影响评价技术导则大气环境》（HJ2.2-2018），项目所在区域达标情况判定优先采用国家或地方生态环境主管部门公开发布的环境质量公告或环境质量</w:t>
            </w:r>
            <w:r>
              <w:rPr>
                <w:rFonts w:hint="eastAsia"/>
              </w:rPr>
              <w:t>公</w:t>
            </w:r>
            <w:r>
              <w:t>报中的数据或结论。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rPr>
              <w:t>项目</w:t>
            </w:r>
            <w:r>
              <w:t>位于淮北相山经济开发区</w:t>
            </w:r>
            <w:r>
              <w:rPr>
                <w:rFonts w:hint="eastAsia"/>
              </w:rPr>
              <w:t>凤</w:t>
            </w:r>
            <w:r>
              <w:rPr>
                <w:rFonts w:hint="eastAsia"/>
                <w:lang w:val="en-US" w:eastAsia="zh-CN"/>
              </w:rPr>
              <w:t>冠</w:t>
            </w:r>
            <w:r>
              <w:t>路</w:t>
            </w:r>
            <w:r>
              <w:rPr>
                <w:rFonts w:hint="eastAsia"/>
                <w:lang w:val="en-US" w:eastAsia="zh-CN"/>
              </w:rPr>
              <w:t>20</w:t>
            </w:r>
            <w:r>
              <w:t>号</w:t>
            </w:r>
            <w:r>
              <w:rPr>
                <w:rFonts w:hint="eastAsia"/>
              </w:rPr>
              <w:t>，</w:t>
            </w:r>
            <w:r>
              <w:t>根据</w:t>
            </w:r>
            <w:r>
              <w:rPr>
                <w:rFonts w:hint="eastAsia"/>
              </w:rPr>
              <w:t>淮北市</w:t>
            </w:r>
            <w:r>
              <w:t>生态环境局</w:t>
            </w:r>
            <w:r>
              <w:rPr>
                <w:rFonts w:hint="eastAsia"/>
              </w:rPr>
              <w:t>2023年6月30日</w:t>
            </w:r>
            <w:r>
              <w:t>发布的《</w:t>
            </w:r>
            <w:r>
              <w:rPr>
                <w:rFonts w:hint="eastAsia"/>
              </w:rPr>
              <w:t>2022</w:t>
            </w:r>
            <w:r>
              <w:t>年</w:t>
            </w:r>
            <w:r>
              <w:rPr>
                <w:rFonts w:hint="eastAsia"/>
              </w:rPr>
              <w:t>淮北</w:t>
            </w:r>
            <w:r>
              <w:t>市</w:t>
            </w:r>
            <w:r>
              <w:rPr>
                <w:rFonts w:hint="eastAsia"/>
              </w:rPr>
              <w:t>生态</w:t>
            </w:r>
            <w:r>
              <w:t>环境</w:t>
            </w:r>
            <w:r>
              <w:rPr>
                <w:rFonts w:hint="eastAsia"/>
              </w:rPr>
              <w:t>状况公报</w:t>
            </w:r>
            <w:r>
              <w:t>》中的数据，对区域达标情况进行判定，具体结果见表</w:t>
            </w:r>
            <w:r>
              <w:rPr>
                <w:rFonts w:hint="eastAsia"/>
              </w:rPr>
              <w:t>3</w:t>
            </w:r>
            <w:r>
              <w:t>-</w:t>
            </w:r>
            <w:r>
              <w:rPr>
                <w:rFonts w:hint="eastAsia"/>
                <w:lang w:val="en-US" w:eastAsia="zh-CN"/>
              </w:rPr>
              <w:t>2</w:t>
            </w:r>
            <w:r>
              <w:t>。</w:t>
            </w:r>
          </w:p>
          <w:p>
            <w:pPr>
              <w:keepNext w:val="0"/>
              <w:keepLines w:val="0"/>
              <w:pageBreakBefore w:val="0"/>
              <w:widowControl w:val="0"/>
              <w:tabs>
                <w:tab w:val="left" w:pos="420"/>
              </w:tabs>
              <w:kinsoku/>
              <w:wordWrap/>
              <w:overflowPunct/>
              <w:topLinePunct w:val="0"/>
              <w:bidi w:val="0"/>
              <w:spacing w:line="276" w:lineRule="auto"/>
              <w:jc w:val="center"/>
              <w:rPr>
                <w:b/>
                <w:color w:val="000000"/>
              </w:rPr>
            </w:pPr>
            <w:r>
              <w:rPr>
                <w:rFonts w:hint="eastAsia"/>
                <w:b/>
                <w:color w:val="000000"/>
                <w:szCs w:val="32"/>
              </w:rPr>
              <w:t>表3-</w:t>
            </w:r>
            <w:r>
              <w:rPr>
                <w:rFonts w:hint="eastAsia"/>
                <w:b/>
                <w:color w:val="000000"/>
                <w:szCs w:val="32"/>
                <w:lang w:val="en-US" w:eastAsia="zh-CN"/>
              </w:rPr>
              <w:t>2</w:t>
            </w:r>
            <w:r>
              <w:rPr>
                <w:rFonts w:hint="eastAsia"/>
                <w:b/>
                <w:color w:val="000000"/>
                <w:szCs w:val="32"/>
              </w:rPr>
              <w:t xml:space="preserve"> </w:t>
            </w:r>
            <w:r>
              <w:rPr>
                <w:b/>
                <w:color w:val="000000"/>
                <w:szCs w:val="32"/>
              </w:rPr>
              <w:t>区域空气质量现状评价表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02"/>
              <w:gridCol w:w="2000"/>
              <w:gridCol w:w="1363"/>
              <w:gridCol w:w="1417"/>
              <w:gridCol w:w="1819"/>
              <w:gridCol w:w="125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5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b/>
                      <w:bCs/>
                      <w:sz w:val="21"/>
                      <w:szCs w:val="21"/>
                    </w:rPr>
                  </w:pPr>
                  <w:r>
                    <w:rPr>
                      <w:b/>
                      <w:bCs/>
                      <w:sz w:val="21"/>
                      <w:szCs w:val="21"/>
                    </w:rPr>
                    <w:t>污染物</w:t>
                  </w:r>
                </w:p>
              </w:tc>
              <w:tc>
                <w:tcPr>
                  <w:tcW w:w="112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b/>
                      <w:bCs/>
                      <w:sz w:val="21"/>
                      <w:szCs w:val="21"/>
                    </w:rPr>
                  </w:pPr>
                  <w:r>
                    <w:rPr>
                      <w:b/>
                      <w:bCs/>
                      <w:sz w:val="21"/>
                      <w:szCs w:val="21"/>
                    </w:rPr>
                    <w:t>年评价指标</w:t>
                  </w:r>
                </w:p>
              </w:tc>
              <w:tc>
                <w:tcPr>
                  <w:tcW w:w="76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b/>
                      <w:bCs/>
                      <w:sz w:val="21"/>
                      <w:szCs w:val="21"/>
                    </w:rPr>
                  </w:pPr>
                  <w:r>
                    <w:rPr>
                      <w:b/>
                      <w:bCs/>
                      <w:sz w:val="21"/>
                      <w:szCs w:val="21"/>
                    </w:rPr>
                    <w:t>现状浓度（μg/m</w:t>
                  </w:r>
                  <w:r>
                    <w:rPr>
                      <w:b/>
                      <w:bCs/>
                      <w:sz w:val="21"/>
                      <w:szCs w:val="21"/>
                      <w:vertAlign w:val="superscript"/>
                    </w:rPr>
                    <w:t>3</w:t>
                  </w:r>
                  <w:r>
                    <w:rPr>
                      <w:b/>
                      <w:bCs/>
                      <w:sz w:val="21"/>
                      <w:szCs w:val="21"/>
                    </w:rPr>
                    <w:t>）</w:t>
                  </w:r>
                </w:p>
              </w:tc>
              <w:tc>
                <w:tcPr>
                  <w:tcW w:w="7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b/>
                      <w:bCs/>
                      <w:sz w:val="21"/>
                      <w:szCs w:val="21"/>
                    </w:rPr>
                  </w:pPr>
                  <w:r>
                    <w:rPr>
                      <w:b/>
                      <w:bCs/>
                      <w:sz w:val="21"/>
                      <w:szCs w:val="21"/>
                    </w:rPr>
                    <w:t>标准值（μg/m</w:t>
                  </w:r>
                  <w:r>
                    <w:rPr>
                      <w:b/>
                      <w:bCs/>
                      <w:sz w:val="21"/>
                      <w:szCs w:val="21"/>
                      <w:vertAlign w:val="superscript"/>
                    </w:rPr>
                    <w:t>3</w:t>
                  </w:r>
                  <w:r>
                    <w:rPr>
                      <w:b/>
                      <w:bCs/>
                      <w:sz w:val="21"/>
                      <w:szCs w:val="21"/>
                    </w:rPr>
                    <w:t>）</w:t>
                  </w:r>
                </w:p>
              </w:tc>
              <w:tc>
                <w:tcPr>
                  <w:tcW w:w="102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b/>
                      <w:bCs/>
                      <w:sz w:val="21"/>
                      <w:szCs w:val="21"/>
                    </w:rPr>
                  </w:pPr>
                  <w:r>
                    <w:rPr>
                      <w:b/>
                      <w:bCs/>
                      <w:sz w:val="21"/>
                      <w:szCs w:val="21"/>
                    </w:rPr>
                    <w:t>占标率（%）</w:t>
                  </w:r>
                </w:p>
              </w:tc>
              <w:tc>
                <w:tcPr>
                  <w:tcW w:w="7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b/>
                      <w:bCs/>
                      <w:sz w:val="21"/>
                      <w:szCs w:val="21"/>
                    </w:rPr>
                  </w:pPr>
                  <w:r>
                    <w:rPr>
                      <w:b/>
                      <w:bCs/>
                      <w:sz w:val="21"/>
                      <w:szCs w:val="21"/>
                    </w:rPr>
                    <w:t>达标情况</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5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PM</w:t>
                  </w:r>
                  <w:r>
                    <w:rPr>
                      <w:sz w:val="21"/>
                      <w:szCs w:val="21"/>
                      <w:vertAlign w:val="subscript"/>
                    </w:rPr>
                    <w:t>10</w:t>
                  </w:r>
                </w:p>
              </w:tc>
              <w:tc>
                <w:tcPr>
                  <w:tcW w:w="1128"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年平均质量浓度</w:t>
                  </w:r>
                </w:p>
              </w:tc>
              <w:tc>
                <w:tcPr>
                  <w:tcW w:w="76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70</w:t>
                  </w:r>
                </w:p>
              </w:tc>
              <w:tc>
                <w:tcPr>
                  <w:tcW w:w="7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70</w:t>
                  </w:r>
                </w:p>
              </w:tc>
              <w:tc>
                <w:tcPr>
                  <w:tcW w:w="102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100.00</w:t>
                  </w:r>
                </w:p>
              </w:tc>
              <w:tc>
                <w:tcPr>
                  <w:tcW w:w="7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5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PM</w:t>
                  </w:r>
                  <w:r>
                    <w:rPr>
                      <w:sz w:val="21"/>
                      <w:szCs w:val="21"/>
                      <w:vertAlign w:val="subscript"/>
                    </w:rPr>
                    <w:t>2.5</w:t>
                  </w:r>
                </w:p>
              </w:tc>
              <w:tc>
                <w:tcPr>
                  <w:tcW w:w="112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p>
              </w:tc>
              <w:tc>
                <w:tcPr>
                  <w:tcW w:w="76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42</w:t>
                  </w:r>
                </w:p>
              </w:tc>
              <w:tc>
                <w:tcPr>
                  <w:tcW w:w="7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35</w:t>
                  </w:r>
                </w:p>
              </w:tc>
              <w:tc>
                <w:tcPr>
                  <w:tcW w:w="102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120.00</w:t>
                  </w:r>
                </w:p>
              </w:tc>
              <w:tc>
                <w:tcPr>
                  <w:tcW w:w="7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rFonts w:hint="eastAsia"/>
                      <w:sz w:val="21"/>
                      <w:szCs w:val="21"/>
                    </w:rPr>
                  </w:pPr>
                  <w:r>
                    <w:rPr>
                      <w:rFonts w:hint="eastAsia"/>
                      <w:sz w:val="21"/>
                      <w:szCs w:val="21"/>
                    </w:rPr>
                    <w:t>超标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5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SO</w:t>
                  </w:r>
                  <w:r>
                    <w:rPr>
                      <w:sz w:val="21"/>
                      <w:szCs w:val="21"/>
                      <w:vertAlign w:val="subscript"/>
                    </w:rPr>
                    <w:t>2</w:t>
                  </w:r>
                </w:p>
              </w:tc>
              <w:tc>
                <w:tcPr>
                  <w:tcW w:w="112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p>
              </w:tc>
              <w:tc>
                <w:tcPr>
                  <w:tcW w:w="76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7</w:t>
                  </w:r>
                </w:p>
              </w:tc>
              <w:tc>
                <w:tcPr>
                  <w:tcW w:w="7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2</w:t>
                  </w:r>
                  <w:r>
                    <w:rPr>
                      <w:sz w:val="21"/>
                      <w:szCs w:val="21"/>
                    </w:rPr>
                    <w:t>0</w:t>
                  </w:r>
                </w:p>
              </w:tc>
              <w:tc>
                <w:tcPr>
                  <w:tcW w:w="102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35.00</w:t>
                  </w:r>
                </w:p>
              </w:tc>
              <w:tc>
                <w:tcPr>
                  <w:tcW w:w="7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5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NO</w:t>
                  </w:r>
                  <w:r>
                    <w:rPr>
                      <w:sz w:val="21"/>
                      <w:szCs w:val="21"/>
                      <w:vertAlign w:val="subscript"/>
                    </w:rPr>
                    <w:t>2</w:t>
                  </w:r>
                </w:p>
              </w:tc>
              <w:tc>
                <w:tcPr>
                  <w:tcW w:w="112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p>
              </w:tc>
              <w:tc>
                <w:tcPr>
                  <w:tcW w:w="76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21</w:t>
                  </w:r>
                </w:p>
              </w:tc>
              <w:tc>
                <w:tcPr>
                  <w:tcW w:w="7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40</w:t>
                  </w:r>
                </w:p>
              </w:tc>
              <w:tc>
                <w:tcPr>
                  <w:tcW w:w="102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52.50</w:t>
                  </w:r>
                </w:p>
              </w:tc>
              <w:tc>
                <w:tcPr>
                  <w:tcW w:w="7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5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CO</w:t>
                  </w:r>
                </w:p>
              </w:tc>
              <w:tc>
                <w:tcPr>
                  <w:tcW w:w="112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第95百分位数日</w:t>
                  </w:r>
                </w:p>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平均质量浓度</w:t>
                  </w:r>
                </w:p>
              </w:tc>
              <w:tc>
                <w:tcPr>
                  <w:tcW w:w="76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rFonts w:hint="eastAsia"/>
                      <w:sz w:val="21"/>
                      <w:szCs w:val="21"/>
                    </w:rPr>
                  </w:pPr>
                  <w:r>
                    <w:rPr>
                      <w:rFonts w:hint="eastAsia"/>
                      <w:sz w:val="21"/>
                      <w:szCs w:val="21"/>
                    </w:rPr>
                    <w:t>1000</w:t>
                  </w:r>
                </w:p>
              </w:tc>
              <w:tc>
                <w:tcPr>
                  <w:tcW w:w="7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4000</w:t>
                  </w:r>
                </w:p>
              </w:tc>
              <w:tc>
                <w:tcPr>
                  <w:tcW w:w="102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25.00</w:t>
                  </w:r>
                </w:p>
              </w:tc>
              <w:tc>
                <w:tcPr>
                  <w:tcW w:w="7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56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O</w:t>
                  </w:r>
                  <w:r>
                    <w:rPr>
                      <w:sz w:val="21"/>
                      <w:szCs w:val="21"/>
                      <w:vertAlign w:val="subscript"/>
                    </w:rPr>
                    <w:t>3</w:t>
                  </w:r>
                </w:p>
              </w:tc>
              <w:tc>
                <w:tcPr>
                  <w:tcW w:w="112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最大8h第90百分位数平均质量浓度</w:t>
                  </w:r>
                </w:p>
              </w:tc>
              <w:tc>
                <w:tcPr>
                  <w:tcW w:w="76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168</w:t>
                  </w:r>
                </w:p>
              </w:tc>
              <w:tc>
                <w:tcPr>
                  <w:tcW w:w="7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sz w:val="21"/>
                      <w:szCs w:val="21"/>
                    </w:rPr>
                    <w:t>160</w:t>
                  </w:r>
                </w:p>
              </w:tc>
              <w:tc>
                <w:tcPr>
                  <w:tcW w:w="1026"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sz w:val="21"/>
                      <w:szCs w:val="21"/>
                    </w:rPr>
                  </w:pPr>
                  <w:r>
                    <w:rPr>
                      <w:rFonts w:hint="eastAsia"/>
                      <w:sz w:val="21"/>
                      <w:szCs w:val="21"/>
                    </w:rPr>
                    <w:t>105.00</w:t>
                  </w:r>
                </w:p>
              </w:tc>
              <w:tc>
                <w:tcPr>
                  <w:tcW w:w="71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64" w:lineRule="auto"/>
                    <w:jc w:val="center"/>
                    <w:rPr>
                      <w:rFonts w:hint="eastAsia"/>
                      <w:sz w:val="21"/>
                      <w:szCs w:val="21"/>
                    </w:rPr>
                  </w:pPr>
                  <w:r>
                    <w:rPr>
                      <w:rFonts w:hint="eastAsia"/>
                      <w:sz w:val="21"/>
                      <w:szCs w:val="21"/>
                    </w:rPr>
                    <w:t>超标</w:t>
                  </w:r>
                </w:p>
              </w:tc>
            </w:tr>
          </w:tbl>
          <w:p>
            <w:pPr>
              <w:keepNext w:val="0"/>
              <w:keepLines w:val="0"/>
              <w:pageBreakBefore w:val="0"/>
              <w:widowControl w:val="0"/>
              <w:kinsoku/>
              <w:wordWrap/>
              <w:overflowPunct/>
              <w:topLinePunct w:val="0"/>
              <w:bidi w:val="0"/>
              <w:spacing w:before="120" w:beforeLines="50" w:line="360" w:lineRule="auto"/>
              <w:ind w:firstLine="480" w:firstLineChars="200"/>
            </w:pPr>
            <w:r>
              <w:rPr>
                <w:rFonts w:hint="eastAsia"/>
              </w:rPr>
              <w:t>由</w:t>
            </w:r>
            <w:r>
              <w:t>《</w:t>
            </w:r>
            <w:r>
              <w:rPr>
                <w:rFonts w:hint="eastAsia"/>
              </w:rPr>
              <w:t>2022</w:t>
            </w:r>
            <w:r>
              <w:t>年</w:t>
            </w:r>
            <w:r>
              <w:rPr>
                <w:rFonts w:hint="eastAsia"/>
              </w:rPr>
              <w:t>度淮北</w:t>
            </w:r>
            <w:r>
              <w:t>市</w:t>
            </w:r>
            <w:r>
              <w:rPr>
                <w:rFonts w:hint="eastAsia"/>
              </w:rPr>
              <w:t>生态</w:t>
            </w:r>
            <w:r>
              <w:t>环境</w:t>
            </w:r>
            <w:r>
              <w:rPr>
                <w:rFonts w:hint="eastAsia"/>
              </w:rPr>
              <w:t>状况公报</w:t>
            </w:r>
            <w:r>
              <w:t>》可知，202</w:t>
            </w:r>
            <w:r>
              <w:rPr>
                <w:rFonts w:hint="eastAsia"/>
              </w:rPr>
              <w:t>2</w:t>
            </w:r>
            <w:r>
              <w:t>年，淮北市城市二氧化硫年均值为7微克/立方米，达到国家一级标准，浓度</w:t>
            </w:r>
            <w:r>
              <w:rPr>
                <w:rFonts w:hint="eastAsia"/>
              </w:rPr>
              <w:t>与上年持平</w:t>
            </w:r>
            <w:r>
              <w:t>；城市二氧化氮年均值为2</w:t>
            </w:r>
            <w:r>
              <w:rPr>
                <w:rFonts w:hint="eastAsia"/>
              </w:rPr>
              <w:t>1</w:t>
            </w:r>
            <w:r>
              <w:t>微克/立方米，达到国家一级标准，浓度比上年下降</w:t>
            </w:r>
            <w:r>
              <w:rPr>
                <w:rFonts w:hint="eastAsia"/>
              </w:rPr>
              <w:t>9.52</w:t>
            </w:r>
            <w:r>
              <w:t>%；城市一氧化碳日均值第95百分位数为1.0 毫克/立方米，达到国家二级标准，浓度</w:t>
            </w:r>
            <w:r>
              <w:rPr>
                <w:rFonts w:hint="eastAsia"/>
              </w:rPr>
              <w:t>与上年持平</w:t>
            </w:r>
            <w:r>
              <w:t>；城市臭氧日最大8小时滑动平均第90百分位值为1</w:t>
            </w:r>
            <w:r>
              <w:rPr>
                <w:rFonts w:hint="eastAsia"/>
              </w:rPr>
              <w:t>68</w:t>
            </w:r>
            <w:r>
              <w:t>微克/立方米，</w:t>
            </w:r>
            <w:r>
              <w:rPr>
                <w:rFonts w:hint="eastAsia"/>
              </w:rPr>
              <w:t>超过</w:t>
            </w:r>
            <w:r>
              <w:t>二级标准</w:t>
            </w:r>
            <w:r>
              <w:rPr>
                <w:rFonts w:hint="eastAsia"/>
              </w:rPr>
              <w:t>要求</w:t>
            </w:r>
            <w:r>
              <w:t>，浓度比上年</w:t>
            </w:r>
            <w:r>
              <w:rPr>
                <w:rFonts w:hint="eastAsia"/>
              </w:rPr>
              <w:t>上升10.53</w:t>
            </w:r>
            <w:r>
              <w:t>%</w:t>
            </w:r>
            <w:r>
              <w:rPr>
                <w:rFonts w:hint="eastAsia"/>
              </w:rPr>
              <w:t>；</w:t>
            </w:r>
            <w:r>
              <w:t>城市可吸入颗粒物年均值为7</w:t>
            </w:r>
            <w:r>
              <w:rPr>
                <w:rFonts w:hint="eastAsia"/>
              </w:rPr>
              <w:t>0</w:t>
            </w:r>
            <w:r>
              <w:t>微克/立方米，达到国家二级标准，浓度比上年下降</w:t>
            </w:r>
            <w:r>
              <w:rPr>
                <w:rFonts w:hint="eastAsia"/>
              </w:rPr>
              <w:t>4.29</w:t>
            </w:r>
            <w:r>
              <w:t xml:space="preserve">% </w:t>
            </w:r>
            <w:r>
              <w:rPr>
                <w:rFonts w:hint="eastAsia"/>
              </w:rPr>
              <w:t>；</w:t>
            </w:r>
            <w:r>
              <w:t>城市细颗粒物年均值为4</w:t>
            </w:r>
            <w:r>
              <w:rPr>
                <w:rFonts w:hint="eastAsia"/>
              </w:rPr>
              <w:t>2</w:t>
            </w:r>
            <w:r>
              <w:t>微克/立方米，达到省控目标49.8微克/立方米的要求，超过国家二级标准0.</w:t>
            </w:r>
            <w:r>
              <w:rPr>
                <w:rFonts w:hint="eastAsia"/>
              </w:rPr>
              <w:t>20</w:t>
            </w:r>
            <w:r>
              <w:t>倍，浓度比上年</w:t>
            </w:r>
            <w:r>
              <w:rPr>
                <w:rFonts w:hint="eastAsia"/>
              </w:rPr>
              <w:t>上升2.44</w:t>
            </w:r>
            <w:r>
              <w:t>% 。202</w:t>
            </w:r>
            <w:r>
              <w:rPr>
                <w:rFonts w:hint="eastAsia"/>
              </w:rPr>
              <w:t>2</w:t>
            </w:r>
            <w:r>
              <w:t>年，淮北市降尘量年均值为</w:t>
            </w:r>
            <w:r>
              <w:rPr>
                <w:rFonts w:hint="eastAsia"/>
              </w:rPr>
              <w:t>4.9</w:t>
            </w:r>
            <w:r>
              <w:t>吨/平方千米</w:t>
            </w:r>
            <w:r>
              <w:rPr>
                <w:rFonts w:hint="eastAsia"/>
              </w:rPr>
              <w:t>·</w:t>
            </w:r>
            <w:r>
              <w:t>月，</w:t>
            </w:r>
            <w:r>
              <w:rPr>
                <w:rFonts w:hint="eastAsia"/>
              </w:rPr>
              <w:t>按照《安徽省打赢蓝天保卫战三年行动计划实施方案》规定，皖北各市平均降尘量不得高于7吨/月·平方公里的要求，全市各降尘监测点降尘量达标率为100%。</w:t>
            </w:r>
            <w:r>
              <w:t>淮北市降水酸度（pH）年均值为6.8</w:t>
            </w:r>
            <w:r>
              <w:rPr>
                <w:rFonts w:hint="eastAsia"/>
              </w:rPr>
              <w:t>8</w:t>
            </w:r>
            <w:r>
              <w:t>，全年未出现酸性降水。</w:t>
            </w:r>
          </w:p>
          <w:p>
            <w:pPr>
              <w:keepNext w:val="0"/>
              <w:keepLines w:val="0"/>
              <w:pageBreakBefore w:val="0"/>
              <w:widowControl w:val="0"/>
              <w:kinsoku/>
              <w:wordWrap/>
              <w:overflowPunct/>
              <w:topLinePunct w:val="0"/>
              <w:bidi w:val="0"/>
              <w:spacing w:line="360" w:lineRule="auto"/>
              <w:ind w:firstLine="480" w:firstLineChars="200"/>
            </w:pPr>
            <w:r>
              <w:rPr>
                <w:rFonts w:hint="eastAsia"/>
              </w:rPr>
              <w:t>通过</w:t>
            </w:r>
            <w:r>
              <w:t>以上数据可知，项目所在区域大气污染物年平均质量浓度PM</w:t>
            </w:r>
            <w:r>
              <w:rPr>
                <w:vertAlign w:val="subscript"/>
              </w:rPr>
              <w:t>2.5</w:t>
            </w:r>
            <w:r>
              <w:t>超标，日最大8小时滑动平均第90百分位</w:t>
            </w:r>
            <w:r>
              <w:rPr>
                <w:rFonts w:hint="eastAsia"/>
              </w:rPr>
              <w:t>数平均质量浓度</w:t>
            </w:r>
            <w:r>
              <w:rPr>
                <w:szCs w:val="21"/>
              </w:rPr>
              <w:t>O</w:t>
            </w:r>
            <w:r>
              <w:rPr>
                <w:szCs w:val="21"/>
                <w:vertAlign w:val="subscript"/>
              </w:rPr>
              <w:t>3</w:t>
            </w:r>
            <w:r>
              <w:t>超标</w:t>
            </w:r>
            <w:r>
              <w:rPr>
                <w:rFonts w:hint="eastAsia"/>
              </w:rPr>
              <w:t>，</w:t>
            </w:r>
            <w:r>
              <w:t>其余四项指标</w:t>
            </w:r>
            <w:r>
              <w:rPr>
                <w:rFonts w:hint="eastAsia"/>
              </w:rPr>
              <w:t>中</w:t>
            </w:r>
            <w:r>
              <w:rPr>
                <w:szCs w:val="21"/>
              </w:rPr>
              <w:t>SO</w:t>
            </w:r>
            <w:r>
              <w:rPr>
                <w:szCs w:val="21"/>
                <w:vertAlign w:val="subscript"/>
              </w:rPr>
              <w:t>2</w:t>
            </w:r>
            <w:r>
              <w:rPr>
                <w:rFonts w:hint="eastAsia"/>
                <w:szCs w:val="21"/>
              </w:rPr>
              <w:t>、</w:t>
            </w:r>
            <w:r>
              <w:rPr>
                <w:szCs w:val="21"/>
              </w:rPr>
              <w:t>NO</w:t>
            </w:r>
            <w:r>
              <w:rPr>
                <w:szCs w:val="21"/>
                <w:vertAlign w:val="subscript"/>
              </w:rPr>
              <w:t>2</w:t>
            </w:r>
            <w:r>
              <w:t>均满足《环境空气质量标准》（GB3095-2012）及其修改单中</w:t>
            </w:r>
            <w:r>
              <w:rPr>
                <w:rFonts w:hint="eastAsia"/>
              </w:rPr>
              <w:t>一</w:t>
            </w:r>
            <w:r>
              <w:t>级标准的要求，</w:t>
            </w:r>
            <w:r>
              <w:rPr>
                <w:szCs w:val="21"/>
              </w:rPr>
              <w:t>CO</w:t>
            </w:r>
            <w:r>
              <w:rPr>
                <w:rFonts w:hint="eastAsia"/>
                <w:szCs w:val="21"/>
              </w:rPr>
              <w:t>、</w:t>
            </w:r>
            <w:r>
              <w:rPr>
                <w:szCs w:val="21"/>
              </w:rPr>
              <w:t>PM</w:t>
            </w:r>
            <w:r>
              <w:rPr>
                <w:szCs w:val="21"/>
                <w:vertAlign w:val="subscript"/>
              </w:rPr>
              <w:t>10</w:t>
            </w:r>
            <w:r>
              <w:t>均满足《环境空气质量标准》（GB3095-2012）及其修改单中</w:t>
            </w:r>
            <w:r>
              <w:rPr>
                <w:rFonts w:hint="eastAsia"/>
              </w:rPr>
              <w:t>二</w:t>
            </w:r>
            <w:r>
              <w:t>级标准的要求</w:t>
            </w:r>
            <w:r>
              <w:rPr>
                <w:rFonts w:hint="eastAsia"/>
              </w:rPr>
              <w:t>。</w:t>
            </w:r>
            <w:r>
              <w:t>环境空气属于不达标区。通过市政府大力推进 锅炉淘汰改造、施工工地扬尘治理、强化移动污染源防治等系列整治措施</w:t>
            </w:r>
            <w:r>
              <w:rPr>
                <w:rFonts w:hint="eastAsia"/>
              </w:rPr>
              <w:t>，</w:t>
            </w:r>
            <w:r>
              <w:t>区域大气环境将得到改善。</w:t>
            </w:r>
          </w:p>
          <w:p>
            <w:pPr>
              <w:keepNext w:val="0"/>
              <w:keepLines w:val="0"/>
              <w:pageBreakBefore w:val="0"/>
              <w:widowControl w:val="0"/>
              <w:shd w:val="clear" w:color="auto" w:fill="FFFFFF"/>
              <w:kinsoku/>
              <w:wordWrap/>
              <w:overflowPunct/>
              <w:topLinePunct w:val="0"/>
              <w:bidi w:val="0"/>
              <w:spacing w:line="360" w:lineRule="auto"/>
              <w:ind w:firstLine="480" w:firstLineChars="200"/>
              <w:jc w:val="left"/>
              <w:rPr>
                <w:color w:val="000000"/>
                <w:kern w:val="1"/>
              </w:rPr>
            </w:pPr>
            <w:r>
              <w:rPr>
                <w:color w:val="000000"/>
                <w:kern w:val="1"/>
              </w:rPr>
              <w:t>（</w:t>
            </w:r>
            <w:r>
              <w:rPr>
                <w:rFonts w:hint="eastAsia"/>
                <w:color w:val="000000"/>
                <w:kern w:val="1"/>
                <w:lang w:val="en-US" w:eastAsia="zh-CN"/>
              </w:rPr>
              <w:t>3</w:t>
            </w:r>
            <w:r>
              <w:rPr>
                <w:color w:val="000000"/>
                <w:kern w:val="1"/>
              </w:rPr>
              <w:t>）</w:t>
            </w:r>
            <w:r>
              <w:rPr>
                <w:rFonts w:hint="eastAsia"/>
                <w:color w:val="000000"/>
                <w:kern w:val="1"/>
              </w:rPr>
              <w:t>特征</w:t>
            </w:r>
            <w:r>
              <w:rPr>
                <w:color w:val="000000"/>
                <w:kern w:val="1"/>
              </w:rPr>
              <w:t>污染物环境质量现状</w:t>
            </w:r>
          </w:p>
          <w:p>
            <w:pPr>
              <w:keepNext w:val="0"/>
              <w:keepLines w:val="0"/>
              <w:pageBreakBefore w:val="0"/>
              <w:widowControl w:val="0"/>
              <w:kinsoku/>
              <w:wordWrap/>
              <w:overflowPunct/>
              <w:topLinePunct w:val="0"/>
              <w:bidi w:val="0"/>
              <w:spacing w:line="360" w:lineRule="auto"/>
              <w:ind w:firstLine="480" w:firstLineChars="200"/>
            </w:pPr>
            <w:r>
              <w:rPr>
                <w:rFonts w:hint="eastAsia"/>
              </w:rPr>
              <w:t>对照《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w:t>
            </w:r>
            <w:r>
              <w:rPr>
                <w:sz w:val="24"/>
              </w:rPr>
              <w:t>为了解项目所在地大气污染物总悬浮颗粒物（TSP）</w:t>
            </w:r>
            <w:r>
              <w:rPr>
                <w:rFonts w:hint="eastAsia"/>
                <w:sz w:val="24"/>
                <w:lang w:eastAsia="zh-CN"/>
              </w:rPr>
              <w:t>、</w:t>
            </w:r>
            <w:r>
              <w:rPr>
                <w:rFonts w:hint="eastAsia"/>
                <w:sz w:val="24"/>
                <w:lang w:val="en-US" w:eastAsia="zh-CN"/>
              </w:rPr>
              <w:t>非甲烷总烃</w:t>
            </w:r>
            <w:r>
              <w:rPr>
                <w:sz w:val="24"/>
              </w:rPr>
              <w:t>的环境空气质量，本次评价引用《</w:t>
            </w:r>
            <w:r>
              <w:rPr>
                <w:rFonts w:hint="eastAsia"/>
                <w:sz w:val="24"/>
                <w:lang w:val="en-US" w:eastAsia="zh-CN"/>
              </w:rPr>
              <w:t>安</w:t>
            </w:r>
            <w:r>
              <w:rPr>
                <w:rFonts w:hint="eastAsia"/>
                <w:sz w:val="24"/>
              </w:rPr>
              <w:t>徽淮北相山经济开发区</w:t>
            </w:r>
            <w:r>
              <w:rPr>
                <w:rFonts w:hint="eastAsia"/>
                <w:sz w:val="24"/>
                <w:lang w:val="en-US" w:eastAsia="zh-CN"/>
              </w:rPr>
              <w:t>“</w:t>
            </w:r>
            <w:r>
              <w:rPr>
                <w:rFonts w:hint="eastAsia"/>
                <w:sz w:val="24"/>
              </w:rPr>
              <w:t>环境影响区域评</w:t>
            </w:r>
            <w:r>
              <w:rPr>
                <w:rFonts w:hint="eastAsia"/>
                <w:sz w:val="24"/>
                <w:lang w:val="en-US" w:eastAsia="zh-CN"/>
              </w:rPr>
              <w:t>估+环境标准”报告</w:t>
            </w:r>
            <w:r>
              <w:rPr>
                <w:sz w:val="24"/>
              </w:rPr>
              <w:t>》</w:t>
            </w:r>
            <w:r>
              <w:rPr>
                <w:rFonts w:hint="eastAsia"/>
                <w:sz w:val="24"/>
                <w:lang w:val="en-US" w:eastAsia="zh-CN"/>
              </w:rPr>
              <w:t>的环境</w:t>
            </w:r>
            <w:r>
              <w:rPr>
                <w:sz w:val="24"/>
              </w:rPr>
              <w:t>监测数据。监测时间为202</w:t>
            </w:r>
            <w:r>
              <w:rPr>
                <w:rFonts w:hint="eastAsia"/>
                <w:sz w:val="24"/>
                <w:lang w:val="en-US" w:eastAsia="zh-CN"/>
              </w:rPr>
              <w:t>1</w:t>
            </w:r>
            <w:r>
              <w:rPr>
                <w:sz w:val="24"/>
              </w:rPr>
              <w:t>年</w:t>
            </w:r>
            <w:r>
              <w:rPr>
                <w:rFonts w:hint="eastAsia"/>
                <w:sz w:val="24"/>
                <w:lang w:val="en-US" w:eastAsia="zh-CN"/>
              </w:rPr>
              <w:t>11</w:t>
            </w:r>
            <w:r>
              <w:rPr>
                <w:sz w:val="24"/>
              </w:rPr>
              <w:t>月</w:t>
            </w:r>
            <w:r>
              <w:rPr>
                <w:rFonts w:hint="eastAsia"/>
                <w:sz w:val="24"/>
                <w:lang w:val="en-US" w:eastAsia="zh-CN"/>
              </w:rPr>
              <w:t>08</w:t>
            </w:r>
            <w:r>
              <w:rPr>
                <w:sz w:val="24"/>
              </w:rPr>
              <w:t>日至202</w:t>
            </w:r>
            <w:r>
              <w:rPr>
                <w:rFonts w:hint="eastAsia"/>
                <w:sz w:val="24"/>
                <w:lang w:val="en-US" w:eastAsia="zh-CN"/>
              </w:rPr>
              <w:t>1</w:t>
            </w:r>
            <w:r>
              <w:rPr>
                <w:sz w:val="24"/>
              </w:rPr>
              <w:t>年</w:t>
            </w:r>
            <w:r>
              <w:rPr>
                <w:rFonts w:hint="eastAsia"/>
                <w:sz w:val="24"/>
                <w:lang w:val="en-US" w:eastAsia="zh-CN"/>
              </w:rPr>
              <w:t>11</w:t>
            </w:r>
            <w:r>
              <w:rPr>
                <w:sz w:val="24"/>
              </w:rPr>
              <w:t>月</w:t>
            </w:r>
            <w:r>
              <w:rPr>
                <w:rFonts w:hint="eastAsia"/>
                <w:sz w:val="24"/>
                <w:lang w:val="en-US" w:eastAsia="zh-CN"/>
              </w:rPr>
              <w:t>14</w:t>
            </w:r>
            <w:r>
              <w:rPr>
                <w:sz w:val="24"/>
              </w:rPr>
              <w:t>日，属于本项目周边5千米范围内近3年的现有监测数据，数据引用符合规定，引用监测数据可行。</w:t>
            </w:r>
            <w:r>
              <w:rPr>
                <w:bCs/>
                <w:sz w:val="24"/>
              </w:rPr>
              <w:t>引用点位置和监测结果如下</w:t>
            </w:r>
            <w:r>
              <w:rPr>
                <w:sz w:val="24"/>
              </w:rPr>
              <w:t>。</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b/>
                <w:bCs/>
                <w:lang w:val="en-US" w:eastAsia="zh-CN"/>
              </w:rPr>
            </w:pPr>
            <w:r>
              <w:rPr>
                <w:rFonts w:hint="default" w:ascii="Times New Roman" w:hAnsi="Times New Roman" w:eastAsia="宋体" w:cs="Times New Roman"/>
                <w:b/>
                <w:bCs/>
                <w:lang w:val="en-US" w:eastAsia="zh-CN"/>
              </w:rPr>
              <w:t>表3-3  安徽淮北相山经济开发区</w:t>
            </w:r>
            <w:r>
              <w:rPr>
                <w:rFonts w:hint="eastAsia" w:ascii="宋体" w:hAnsi="宋体" w:eastAsia="宋体" w:cs="宋体"/>
                <w:b/>
                <w:bCs/>
                <w:lang w:val="en-US" w:eastAsia="zh-CN"/>
              </w:rPr>
              <w:t>环境空气质量现状监测点布设一览表</w:t>
            </w:r>
          </w:p>
          <w:tbl>
            <w:tblPr>
              <w:tblStyle w:val="21"/>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355"/>
              <w:gridCol w:w="809"/>
              <w:gridCol w:w="1749"/>
              <w:gridCol w:w="1697"/>
              <w:gridCol w:w="1471"/>
              <w:gridCol w:w="1383"/>
              <w:gridCol w:w="629"/>
              <w:gridCol w:w="76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1" w:hRule="atLeast"/>
                <w:jc w:val="center"/>
              </w:trPr>
              <w:tc>
                <w:tcPr>
                  <w:tcW w:w="290" w:type="pct"/>
                  <w:vMerge w:val="restart"/>
                  <w:tcBorders>
                    <w:tl2br w:val="nil"/>
                    <w:tr2bl w:val="nil"/>
                  </w:tcBorders>
                  <w:noWrap w:val="0"/>
                  <w:textDirection w:val="tbRlV"/>
                  <w:vAlign w:val="center"/>
                </w:tcPr>
                <w:p>
                  <w:pPr>
                    <w:keepNext w:val="0"/>
                    <w:keepLines w:val="0"/>
                    <w:pageBreakBefore w:val="0"/>
                    <w:widowControl w:val="0"/>
                    <w:kinsoku/>
                    <w:wordWrap/>
                    <w:overflowPunct/>
                    <w:topLinePunct w:val="0"/>
                    <w:bidi w:val="0"/>
                    <w:spacing w:line="0" w:lineRule="atLeast"/>
                    <w:jc w:val="center"/>
                    <w:rPr>
                      <w:rFonts w:hint="eastAsia"/>
                      <w:b/>
                      <w:bCs/>
                      <w:sz w:val="21"/>
                      <w:szCs w:val="21"/>
                    </w:rPr>
                  </w:pPr>
                  <w:r>
                    <w:rPr>
                      <w:b/>
                      <w:bCs/>
                      <w:sz w:val="21"/>
                      <w:szCs w:val="21"/>
                    </w:rPr>
                    <w:t>序号</w:t>
                  </w:r>
                </w:p>
              </w:tc>
              <w:tc>
                <w:tcPr>
                  <w:tcW w:w="546"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b/>
                      <w:bCs/>
                      <w:sz w:val="21"/>
                      <w:szCs w:val="21"/>
                    </w:rPr>
                  </w:pPr>
                  <w:r>
                    <w:rPr>
                      <w:b/>
                      <w:bCs/>
                      <w:sz w:val="21"/>
                      <w:szCs w:val="21"/>
                    </w:rPr>
                    <w:t>点位名称</w:t>
                  </w:r>
                </w:p>
              </w:tc>
              <w:tc>
                <w:tcPr>
                  <w:tcW w:w="1525" w:type="pct"/>
                  <w:gridSpan w:val="2"/>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b/>
                      <w:bCs/>
                      <w:sz w:val="21"/>
                      <w:szCs w:val="21"/>
                    </w:rPr>
                  </w:pPr>
                  <w:r>
                    <w:rPr>
                      <w:b/>
                      <w:bCs/>
                      <w:sz w:val="21"/>
                      <w:szCs w:val="21"/>
                    </w:rPr>
                    <w:t>监测点位坐标</w:t>
                  </w:r>
                </w:p>
              </w:tc>
              <w:tc>
                <w:tcPr>
                  <w:tcW w:w="919"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b/>
                      <w:bCs/>
                      <w:sz w:val="21"/>
                      <w:szCs w:val="21"/>
                    </w:rPr>
                  </w:pPr>
                  <w:r>
                    <w:rPr>
                      <w:b/>
                      <w:bCs/>
                      <w:sz w:val="21"/>
                      <w:szCs w:val="21"/>
                    </w:rPr>
                    <w:t>监测因子</w:t>
                  </w:r>
                </w:p>
              </w:tc>
              <w:tc>
                <w:tcPr>
                  <w:tcW w:w="753"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b/>
                      <w:bCs/>
                      <w:sz w:val="21"/>
                      <w:szCs w:val="21"/>
                    </w:rPr>
                  </w:pPr>
                  <w:r>
                    <w:rPr>
                      <w:b/>
                      <w:bCs/>
                      <w:sz w:val="21"/>
                      <w:szCs w:val="21"/>
                    </w:rPr>
                    <w:t>监测时段</w:t>
                  </w:r>
                </w:p>
              </w:tc>
              <w:tc>
                <w:tcPr>
                  <w:tcW w:w="444"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b/>
                      <w:bCs/>
                      <w:sz w:val="21"/>
                      <w:szCs w:val="21"/>
                    </w:rPr>
                  </w:pPr>
                  <w:r>
                    <w:rPr>
                      <w:b/>
                      <w:bCs/>
                      <w:sz w:val="21"/>
                      <w:szCs w:val="21"/>
                    </w:rPr>
                    <w:t>相对规划方位</w:t>
                  </w:r>
                </w:p>
              </w:tc>
              <w:tc>
                <w:tcPr>
                  <w:tcW w:w="521"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b/>
                      <w:bCs/>
                      <w:sz w:val="21"/>
                      <w:szCs w:val="21"/>
                    </w:rPr>
                  </w:pPr>
                  <w:r>
                    <w:rPr>
                      <w:b/>
                      <w:bCs/>
                      <w:sz w:val="21"/>
                      <w:szCs w:val="21"/>
                    </w:rPr>
                    <w:t>相对规划边界距离（m）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09" w:hRule="atLeast"/>
                <w:jc w:val="center"/>
              </w:trPr>
              <w:tc>
                <w:tcPr>
                  <w:tcW w:w="290" w:type="pct"/>
                  <w:vMerge w:val="continue"/>
                  <w:tcBorders>
                    <w:tl2br w:val="nil"/>
                    <w:tr2bl w:val="nil"/>
                  </w:tcBorders>
                  <w:noWrap w:val="0"/>
                  <w:textDirection w:val="tbRlV"/>
                  <w:vAlign w:val="center"/>
                </w:tcPr>
                <w:p>
                  <w:pPr>
                    <w:keepNext w:val="0"/>
                    <w:keepLines w:val="0"/>
                    <w:pageBreakBefore w:val="0"/>
                    <w:widowControl w:val="0"/>
                    <w:kinsoku/>
                    <w:wordWrap/>
                    <w:overflowPunct/>
                    <w:topLinePunct w:val="0"/>
                    <w:bidi w:val="0"/>
                    <w:spacing w:line="0" w:lineRule="atLeast"/>
                    <w:jc w:val="center"/>
                    <w:rPr>
                      <w:sz w:val="21"/>
                      <w:szCs w:val="21"/>
                    </w:rPr>
                  </w:pP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p>
              </w:tc>
              <w:tc>
                <w:tcPr>
                  <w:tcW w:w="691" w:type="pc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r>
                    <w:rPr>
                      <w:sz w:val="21"/>
                      <w:szCs w:val="21"/>
                    </w:rPr>
                    <w:t>X</w:t>
                  </w:r>
                </w:p>
              </w:tc>
              <w:tc>
                <w:tcPr>
                  <w:tcW w:w="834" w:type="pc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r>
                    <w:rPr>
                      <w:sz w:val="21"/>
                      <w:szCs w:val="21"/>
                    </w:rPr>
                    <w:t>Y</w:t>
                  </w:r>
                </w:p>
              </w:tc>
              <w:tc>
                <w:tcPr>
                  <w:tcW w:w="919"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p>
              </w:tc>
              <w:tc>
                <w:tcPr>
                  <w:tcW w:w="753"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p>
              </w:tc>
              <w:tc>
                <w:tcPr>
                  <w:tcW w:w="521"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7" w:hRule="atLeast"/>
                <w:jc w:val="center"/>
              </w:trPr>
              <w:tc>
                <w:tcPr>
                  <w:tcW w:w="290" w:type="pc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r>
                    <w:rPr>
                      <w:sz w:val="21"/>
                      <w:szCs w:val="21"/>
                    </w:rPr>
                    <w:t>G2</w:t>
                  </w:r>
                </w:p>
              </w:tc>
              <w:tc>
                <w:tcPr>
                  <w:tcW w:w="546" w:type="pc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r>
                    <w:rPr>
                      <w:sz w:val="21"/>
                      <w:szCs w:val="21"/>
                    </w:rPr>
                    <w:t>任庄</w:t>
                  </w:r>
                </w:p>
              </w:tc>
              <w:tc>
                <w:tcPr>
                  <w:tcW w:w="691" w:type="pc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r>
                    <w:rPr>
                      <w:rFonts w:hint="eastAsia"/>
                      <w:sz w:val="21"/>
                      <w:szCs w:val="21"/>
                    </w:rPr>
                    <w:t>N:33°59′12.92″</w:t>
                  </w:r>
                </w:p>
              </w:tc>
              <w:tc>
                <w:tcPr>
                  <w:tcW w:w="834" w:type="pc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r>
                    <w:rPr>
                      <w:sz w:val="21"/>
                      <w:szCs w:val="21"/>
                    </w:rPr>
                    <w:t>E:116°4</w:t>
                  </w:r>
                  <w:r>
                    <w:rPr>
                      <w:rFonts w:hint="eastAsia"/>
                      <w:sz w:val="21"/>
                      <w:szCs w:val="21"/>
                    </w:rPr>
                    <w:t>5′14.64″</w:t>
                  </w:r>
                </w:p>
              </w:tc>
              <w:tc>
                <w:tcPr>
                  <w:tcW w:w="919" w:type="pct"/>
                  <w:tcBorders>
                    <w:tl2br w:val="nil"/>
                    <w:tr2bl w:val="nil"/>
                  </w:tcBorders>
                  <w:noWrap w:val="0"/>
                  <w:vAlign w:val="center"/>
                </w:tcPr>
                <w:p>
                  <w:pPr>
                    <w:keepNext w:val="0"/>
                    <w:keepLines w:val="0"/>
                    <w:pageBreakBefore w:val="0"/>
                    <w:widowControl w:val="0"/>
                    <w:kinsoku/>
                    <w:wordWrap/>
                    <w:overflowPunct/>
                    <w:topLinePunct w:val="0"/>
                    <w:bidi w:val="0"/>
                    <w:spacing w:line="0" w:lineRule="atLeast"/>
                    <w:ind w:firstLine="210" w:firstLineChars="100"/>
                    <w:jc w:val="both"/>
                    <w:rPr>
                      <w:rFonts w:hint="default"/>
                      <w:sz w:val="21"/>
                      <w:szCs w:val="21"/>
                      <w:lang w:val="en-US" w:eastAsia="zh-CN"/>
                    </w:rPr>
                  </w:pPr>
                  <w:r>
                    <w:rPr>
                      <w:rFonts w:hint="eastAsia"/>
                      <w:sz w:val="21"/>
                      <w:szCs w:val="21"/>
                      <w:lang w:val="en-US" w:eastAsia="zh-CN"/>
                    </w:rPr>
                    <w:t>非甲烷总烃</w:t>
                  </w:r>
                </w:p>
              </w:tc>
              <w:tc>
                <w:tcPr>
                  <w:tcW w:w="753" w:type="pc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rFonts w:hint="default" w:eastAsia="宋体"/>
                      <w:sz w:val="21"/>
                      <w:szCs w:val="21"/>
                      <w:lang w:val="en-US" w:eastAsia="zh-CN"/>
                    </w:rPr>
                  </w:pPr>
                  <w:r>
                    <w:rPr>
                      <w:rFonts w:hint="eastAsia"/>
                      <w:sz w:val="21"/>
                      <w:szCs w:val="21"/>
                      <w:lang w:val="en-US" w:eastAsia="zh-CN"/>
                    </w:rPr>
                    <w:t>2021.11.8-11.14</w:t>
                  </w:r>
                </w:p>
              </w:tc>
              <w:tc>
                <w:tcPr>
                  <w:tcW w:w="444" w:type="pc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r>
                    <w:rPr>
                      <w:sz w:val="21"/>
                      <w:szCs w:val="21"/>
                    </w:rPr>
                    <w:t>规划区范围内</w:t>
                  </w:r>
                </w:p>
              </w:tc>
              <w:tc>
                <w:tcPr>
                  <w:tcW w:w="521" w:type="pct"/>
                  <w:tcBorders>
                    <w:tl2br w:val="nil"/>
                    <w:tr2bl w:val="nil"/>
                  </w:tcBorders>
                  <w:noWrap w:val="0"/>
                  <w:vAlign w:val="center"/>
                </w:tcPr>
                <w:p>
                  <w:pPr>
                    <w:keepNext w:val="0"/>
                    <w:keepLines w:val="0"/>
                    <w:pageBreakBefore w:val="0"/>
                    <w:widowControl w:val="0"/>
                    <w:kinsoku/>
                    <w:wordWrap/>
                    <w:overflowPunct/>
                    <w:topLinePunct w:val="0"/>
                    <w:bidi w:val="0"/>
                    <w:spacing w:line="0" w:lineRule="atLeast"/>
                    <w:jc w:val="center"/>
                    <w:rPr>
                      <w:sz w:val="21"/>
                      <w:szCs w:val="21"/>
                    </w:rPr>
                  </w:pPr>
                  <w:r>
                    <w:rPr>
                      <w:sz w:val="21"/>
                      <w:szCs w:val="21"/>
                    </w:rPr>
                    <w:t>规划</w:t>
                  </w:r>
                </w:p>
                <w:p>
                  <w:pPr>
                    <w:keepNext w:val="0"/>
                    <w:keepLines w:val="0"/>
                    <w:pageBreakBefore w:val="0"/>
                    <w:widowControl w:val="0"/>
                    <w:kinsoku/>
                    <w:wordWrap/>
                    <w:overflowPunct/>
                    <w:topLinePunct w:val="0"/>
                    <w:bidi w:val="0"/>
                    <w:spacing w:line="0" w:lineRule="atLeast"/>
                    <w:jc w:val="center"/>
                    <w:rPr>
                      <w:sz w:val="21"/>
                      <w:szCs w:val="21"/>
                    </w:rPr>
                  </w:pPr>
                  <w:r>
                    <w:rPr>
                      <w:sz w:val="21"/>
                      <w:szCs w:val="21"/>
                    </w:rPr>
                    <w:t>区内</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b/>
                <w:bCs/>
                <w:color w:val="000000"/>
                <w:szCs w:val="32"/>
              </w:rPr>
            </w:pPr>
            <w:r>
              <w:rPr>
                <w:rFonts w:hint="eastAsia"/>
                <w:lang w:eastAsia="zh-CN"/>
              </w:rPr>
              <w:drawing>
                <wp:anchor distT="0" distB="0" distL="114300" distR="114300" simplePos="0" relativeHeight="251660288" behindDoc="1" locked="0" layoutInCell="1" allowOverlap="1">
                  <wp:simplePos x="0" y="0"/>
                  <wp:positionH relativeFrom="column">
                    <wp:posOffset>27940</wp:posOffset>
                  </wp:positionH>
                  <wp:positionV relativeFrom="paragraph">
                    <wp:posOffset>955675</wp:posOffset>
                  </wp:positionV>
                  <wp:extent cx="5574665" cy="4143375"/>
                  <wp:effectExtent l="0" t="0" r="6985" b="9525"/>
                  <wp:wrapNone/>
                  <wp:docPr id="2" name="图片 2" descr="168083563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0835632093"/>
                          <pic:cNvPicPr>
                            <a:picLocks noChangeAspect="1"/>
                          </pic:cNvPicPr>
                        </pic:nvPicPr>
                        <pic:blipFill>
                          <a:blip r:embed="rId20"/>
                          <a:stretch>
                            <a:fillRect/>
                          </a:stretch>
                        </pic:blipFill>
                        <pic:spPr>
                          <a:xfrm>
                            <a:off x="0" y="0"/>
                            <a:ext cx="5574665" cy="4143375"/>
                          </a:xfrm>
                          <a:prstGeom prst="rect">
                            <a:avLst/>
                          </a:prstGeom>
                          <a:noFill/>
                          <a:ln>
                            <a:noFill/>
                          </a:ln>
                        </pic:spPr>
                      </pic:pic>
                    </a:graphicData>
                  </a:graphic>
                </wp:anchor>
              </w:drawing>
            </w:r>
            <w:r>
              <w:rPr>
                <w:rFonts w:hint="eastAsia"/>
              </w:rPr>
              <w:t>本项目所在地位于安徽淮北相山经济开发区内，本环评拟引用点G</w:t>
            </w:r>
            <w:r>
              <w:t>2</w:t>
            </w:r>
            <w:r>
              <w:rPr>
                <w:rFonts w:hint="eastAsia"/>
              </w:rPr>
              <w:t>点位（任庄）数据分析本项目环境现状达标情况。从环境空气区域与时效性来看，引用该数据有效</w:t>
            </w:r>
            <w:r>
              <w:rPr>
                <w:rFonts w:hint="eastAsia"/>
                <w:lang w:eastAsia="zh-CN"/>
              </w:rPr>
              <w:t>；</w:t>
            </w:r>
            <w:r>
              <w:rPr>
                <w:rFonts w:hint="eastAsia"/>
                <w:lang w:val="en-US" w:eastAsia="zh-CN"/>
              </w:rPr>
              <w:t>如图所示</w:t>
            </w:r>
            <w:r>
              <w:rPr>
                <w:rFonts w:hint="eastAsia"/>
              </w:rPr>
              <w:t>。</w:t>
            </w:r>
            <w:r>
              <w:rPr>
                <w:rFonts w:hint="eastAsia"/>
                <w:lang w:val="en-US" w:eastAsia="zh-CN"/>
              </w:rPr>
              <w:t xml:space="preserve">    </w:t>
            </w: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r>
              <mc:AlternateContent>
                <mc:Choice Requires="wps">
                  <w:drawing>
                    <wp:anchor distT="0" distB="0" distL="114300" distR="114300" simplePos="0" relativeHeight="251661312" behindDoc="0" locked="0" layoutInCell="1" allowOverlap="1">
                      <wp:simplePos x="0" y="0"/>
                      <wp:positionH relativeFrom="column">
                        <wp:posOffset>3299460</wp:posOffset>
                      </wp:positionH>
                      <wp:positionV relativeFrom="paragraph">
                        <wp:posOffset>147320</wp:posOffset>
                      </wp:positionV>
                      <wp:extent cx="934720" cy="285750"/>
                      <wp:effectExtent l="4445" t="5080" r="13335" b="71120"/>
                      <wp:wrapNone/>
                      <wp:docPr id="3" name="矩形标注 3"/>
                      <wp:cNvGraphicFramePr/>
                      <a:graphic xmlns:a="http://schemas.openxmlformats.org/drawingml/2006/main">
                        <a:graphicData uri="http://schemas.microsoft.com/office/word/2010/wordprocessingShape">
                          <wps:wsp>
                            <wps:cNvSpPr/>
                            <wps:spPr>
                              <a:xfrm>
                                <a:off x="0" y="0"/>
                                <a:ext cx="934720" cy="28575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18"/>
                                      <w:szCs w:val="18"/>
                                      <w:lang w:val="en-US" w:eastAsia="zh-CN"/>
                                    </w:rPr>
                                  </w:pPr>
                                  <w:r>
                                    <w:rPr>
                                      <w:rFonts w:hint="eastAsia"/>
                                      <w:color w:val="FF0000"/>
                                      <w:sz w:val="18"/>
                                      <w:szCs w:val="18"/>
                                      <w:lang w:val="en-US" w:eastAsia="zh-CN"/>
                                    </w:rPr>
                                    <w:t>项目所在位置</w:t>
                                  </w:r>
                                </w:p>
                              </w:txbxContent>
                            </wps:txbx>
                            <wps:bodyPr upright="1"/>
                          </wps:wsp>
                        </a:graphicData>
                      </a:graphic>
                    </wp:anchor>
                  </w:drawing>
                </mc:Choice>
                <mc:Fallback>
                  <w:pict>
                    <v:shape id="_x0000_s1026" o:spid="_x0000_s1026" o:spt="61" type="#_x0000_t61" style="position:absolute;left:0pt;margin-left:259.8pt;margin-top:11.6pt;height:22.5pt;width:73.6pt;z-index:251661312;mso-width-relative:page;mso-height-relative:page;" fillcolor="#FFFFFF" filled="t" stroked="t" coordsize="21600,21600" o:gfxdata="UEsDBAoAAAAAAIdO4kAAAAAAAAAAAAAAAAAEAAAAZHJzL1BLAwQUAAAACACHTuJAva4acNUAAAAJ&#10;AQAADwAAAGRycy9kb3ducmV2LnhtbE2PwU7DMAyG70i8Q2QkbixtJ6JSmk4CaZdJHAg8QNZ4bUXj&#10;VEm2lbfHnOBmy59+f3+7W/0sLhjTFEhDuSlAIPXBTTRo+PzYP9QgUrbk7BwINXxjgl13e9PaxoUr&#10;vePF5EFwCKXGahhzXhopUz+it2kTFiS+nUL0NvMaB+mivXK4n2VVFEp6OxF/GO2CryP2X+bsNfR0&#10;mmppjNkXb7RVZj28RDpofX9XFs8gMq75D4ZffVaHjp2O4UwuiVnDY/mkGNVQbSsQDCiluMuRh7oC&#10;2bXyf4PuB1BLAwQUAAAACACHTuJA5c2G0zgCAACMBAAADgAAAGRycy9lMm9Eb2MueG1srVRLktMw&#10;EN1TxR1U2k+cOBMyuOLMYkLYUDDFwAE6lmyL0q8kJU5OwDGgWDFr1hyH4Rq0FJNJhk0WeOG03K2n&#10;916rM7veKkk23HlhdElHgyElXFeGCd2U9OOH5cUVJT6AZiCN5iXdcU+v58+fzTpb8Ny0RjLuCIJo&#10;X3S2pG0ItsgyX7VcgR8YyzUma+MUBFy6JmMOOkRXMsuHwxdZZxyzzlTce/y62Cdpj+jOATR1LSq+&#10;MNVacR32qI5LCCjJt8J6Ok9s65pX4V1dex6ILCkqDemNh2C8iu9sPoOicWBbUfUU4BwKTzQpEBoP&#10;PUAtIABZO/EPlBKVM97UYVAZle2FJEdQxWj4xJu7FixPWtBqbw+m+/8HW73d3DoiWEnHlGhQ2PDf&#10;X+5//fz28PXzw4/vZBwd6qwvsPDO3rp+5TGMcre1U/EXhZBtcnV3cJVvA6nw48vx5TRHvytM5VeT&#10;6SS5nj1uts6H19woEoOSdpw1/D127gakNOuQfIXNGx+SwaynCezTiJJaSezXBiS5uBz30NiFo6L8&#10;uGg6xCdKwuN7SIz+Eoj43kjBlkLKtHDN6kY6gvglXaan33xSJjXpUOckn6BKwJmo8S5iqCz66nWT&#10;FJzs8MfAkdOB1UlZJLYA3+4JpFQ8HwolAo+9gKLlwF5pRsLOYu80jiyNZBRnlEiOEx6jVBlAyHMq&#10;0RCp0aHY9X2fYxS2qy3CxHBl2A4vzdo60bTYsFHyJGbwkiZr+4GKU3C8TqCPfyL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2uGnDVAAAACQEAAA8AAAAAAAAAAQAgAAAAIgAAAGRycy9kb3ducmV2&#10;LnhtbFBLAQIUABQAAAAIAIdO4kDlzYbTOAIAAIwEAAAOAAAAAAAAAAEAIAAAACQBAABkcnMvZTJv&#10;RG9jLnhtbFBLBQYAAAAABgAGAFkBAADOBQAAAAA=&#10;" adj="1350,25920">
                      <v:fill on="t" focussize="0,0"/>
                      <v:stroke color="#000000" joinstyle="miter"/>
                      <v:imagedata o:title=""/>
                      <o:lock v:ext="edit" aspectratio="f"/>
                      <v:textbox>
                        <w:txbxContent>
                          <w:p>
                            <w:pPr>
                              <w:rPr>
                                <w:rFonts w:hint="default" w:eastAsia="宋体"/>
                                <w:sz w:val="18"/>
                                <w:szCs w:val="18"/>
                                <w:lang w:val="en-US" w:eastAsia="zh-CN"/>
                              </w:rPr>
                            </w:pPr>
                            <w:r>
                              <w:rPr>
                                <w:rFonts w:hint="eastAsia"/>
                                <w:color w:val="FF0000"/>
                                <w:sz w:val="18"/>
                                <w:szCs w:val="18"/>
                                <w:lang w:val="en-US" w:eastAsia="zh-CN"/>
                              </w:rPr>
                              <w:t>项目所在位置</w:t>
                            </w:r>
                          </w:p>
                        </w:txbxContent>
                      </v:textbox>
                    </v:shape>
                  </w:pict>
                </mc:Fallback>
              </mc:AlternateContent>
            </w: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spacing w:line="360" w:lineRule="auto"/>
              <w:rPr>
                <w:rFonts w:hint="eastAsia"/>
                <w:b/>
                <w:bCs/>
                <w:color w:val="000000"/>
                <w:szCs w:val="32"/>
              </w:rPr>
            </w:pPr>
          </w:p>
          <w:p>
            <w:pPr>
              <w:keepNext w:val="0"/>
              <w:keepLines w:val="0"/>
              <w:pageBreakBefore w:val="0"/>
              <w:widowControl w:val="0"/>
              <w:kinsoku/>
              <w:wordWrap/>
              <w:overflowPunct/>
              <w:topLinePunct w:val="0"/>
              <w:bidi w:val="0"/>
              <w:adjustRightInd w:val="0"/>
              <w:snapToGrid w:val="0"/>
              <w:jc w:val="center"/>
              <w:rPr>
                <w:rFonts w:hint="eastAsia"/>
                <w:b/>
                <w:bCs/>
                <w:color w:val="000000"/>
                <w:szCs w:val="32"/>
                <w:lang w:val="en-US" w:eastAsia="zh-CN"/>
              </w:rPr>
            </w:pPr>
            <w:r>
              <w:rPr>
                <w:rFonts w:hint="eastAsia"/>
                <w:b/>
                <w:bCs/>
                <w:lang w:val="en-US" w:eastAsia="zh-CN"/>
              </w:rPr>
              <w:t>图3-1 监测点位与项目所在位置示意图</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eastAsia="宋体"/>
                <w:b/>
                <w:bCs/>
                <w:color w:val="000000"/>
                <w:szCs w:val="32"/>
                <w:lang w:val="en-US" w:eastAsia="zh-CN"/>
              </w:rPr>
            </w:pPr>
            <w:r>
              <w:rPr>
                <w:rFonts w:hint="eastAsia"/>
                <w:b/>
                <w:bCs/>
                <w:color w:val="000000"/>
                <w:szCs w:val="32"/>
                <w:lang w:val="en-US" w:eastAsia="zh-CN"/>
              </w:rPr>
              <w:t>表3-4 非甲烷总烃监测结果一览表</w:t>
            </w:r>
          </w:p>
          <w:tbl>
            <w:tblPr>
              <w:tblStyle w:val="22"/>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060"/>
              <w:gridCol w:w="1120"/>
              <w:gridCol w:w="1175"/>
              <w:gridCol w:w="1175"/>
              <w:gridCol w:w="1175"/>
              <w:gridCol w:w="1175"/>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000000"/>
                      <w:sz w:val="21"/>
                      <w:szCs w:val="21"/>
                      <w:vertAlign w:val="baseline"/>
                      <w:lang w:val="en-US" w:eastAsia="zh-CN"/>
                    </w:rPr>
                  </w:pPr>
                  <w:r>
                    <w:rPr>
                      <w:rFonts w:hint="eastAsia"/>
                      <w:b/>
                      <w:bCs/>
                      <w:color w:val="000000"/>
                      <w:sz w:val="21"/>
                      <w:szCs w:val="21"/>
                      <w:vertAlign w:val="baseline"/>
                      <w:lang w:val="en-US" w:eastAsia="zh-CN"/>
                    </w:rPr>
                    <w:t>检测点位</w:t>
                  </w:r>
                </w:p>
              </w:tc>
              <w:tc>
                <w:tcPr>
                  <w:tcW w:w="4546" w:type="pct"/>
                  <w:gridSpan w:val="7"/>
                  <w:tcBorders>
                    <w:tl2br w:val="nil"/>
                    <w:tr2bl w:val="nil"/>
                  </w:tcBorders>
                  <w:noWrap w:val="0"/>
                  <w:vAlign w:val="center"/>
                </w:tcPr>
                <w:p>
                  <w:pPr>
                    <w:keepNext w:val="0"/>
                    <w:keepLines w:val="0"/>
                    <w:pageBreakBefore w:val="0"/>
                    <w:widowControl w:val="0"/>
                    <w:tabs>
                      <w:tab w:val="left" w:pos="3077"/>
                    </w:tabs>
                    <w:kinsoku/>
                    <w:wordWrap/>
                    <w:overflowPunct/>
                    <w:topLinePunct w:val="0"/>
                    <w:autoSpaceDE/>
                    <w:autoSpaceDN/>
                    <w:bidi w:val="0"/>
                    <w:adjustRightInd w:val="0"/>
                    <w:snapToGrid w:val="0"/>
                    <w:spacing w:line="240" w:lineRule="auto"/>
                    <w:jc w:val="center"/>
                    <w:textAlignment w:val="auto"/>
                    <w:rPr>
                      <w:rFonts w:hint="default" w:eastAsia="宋体"/>
                      <w:b/>
                      <w:bCs/>
                      <w:color w:val="000000"/>
                      <w:sz w:val="21"/>
                      <w:szCs w:val="21"/>
                      <w:vertAlign w:val="baseline"/>
                      <w:lang w:val="en-US" w:eastAsia="zh-CN"/>
                    </w:rPr>
                  </w:pPr>
                  <w:r>
                    <w:rPr>
                      <w:rFonts w:hint="eastAsia"/>
                      <w:b/>
                      <w:bCs/>
                      <w:color w:val="000000"/>
                      <w:sz w:val="21"/>
                      <w:szCs w:val="21"/>
                      <w:vertAlign w:val="baseline"/>
                      <w:lang w:val="en-US" w:eastAsia="zh-CN"/>
                    </w:rPr>
                    <w:t>24小时平均值检测结果（单位：mg/m</w:t>
                  </w:r>
                  <w:r>
                    <w:rPr>
                      <w:rFonts w:hint="eastAsia"/>
                      <w:b/>
                      <w:bCs/>
                      <w:color w:val="000000"/>
                      <w:sz w:val="21"/>
                      <w:szCs w:val="21"/>
                      <w:vertAlign w:val="superscript"/>
                      <w:lang w:val="en-US" w:eastAsia="zh-CN"/>
                    </w:rPr>
                    <w:t>3</w:t>
                  </w:r>
                  <w:r>
                    <w:rPr>
                      <w:rFonts w:hint="eastAsia"/>
                      <w:b/>
                      <w:bCs/>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000000"/>
                      <w:sz w:val="21"/>
                      <w:szCs w:val="21"/>
                      <w:vertAlign w:val="baseline"/>
                      <w:lang w:val="en-US" w:eastAsia="zh-CN"/>
                    </w:rPr>
                  </w:pP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000000"/>
                      <w:sz w:val="21"/>
                      <w:szCs w:val="21"/>
                      <w:vertAlign w:val="baseline"/>
                      <w:lang w:val="en-US" w:eastAsia="zh-CN"/>
                    </w:rPr>
                  </w:pPr>
                  <w:r>
                    <w:rPr>
                      <w:rFonts w:hint="eastAsia"/>
                      <w:b/>
                      <w:bCs/>
                      <w:color w:val="000000"/>
                      <w:sz w:val="21"/>
                      <w:szCs w:val="21"/>
                      <w:vertAlign w:val="baseline"/>
                      <w:lang w:val="en-US" w:eastAsia="zh-CN"/>
                    </w:rPr>
                    <w:t>2021.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000000"/>
                      <w:sz w:val="21"/>
                      <w:szCs w:val="21"/>
                      <w:vertAlign w:val="baseline"/>
                      <w:lang w:val="en-US" w:eastAsia="zh-CN"/>
                    </w:rPr>
                  </w:pPr>
                  <w:r>
                    <w:rPr>
                      <w:rFonts w:hint="eastAsia"/>
                      <w:b/>
                      <w:bCs/>
                      <w:color w:val="000000"/>
                      <w:sz w:val="21"/>
                      <w:szCs w:val="21"/>
                      <w:vertAlign w:val="baseline"/>
                      <w:lang w:val="en-US" w:eastAsia="zh-CN"/>
                    </w:rPr>
                    <w:t>11.08</w:t>
                  </w:r>
                </w:p>
              </w:tc>
              <w:tc>
                <w:tcPr>
                  <w:tcW w:w="6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000000"/>
                      <w:sz w:val="21"/>
                      <w:szCs w:val="21"/>
                      <w:vertAlign w:val="baseline"/>
                      <w:lang w:val="en-US" w:eastAsia="zh-CN"/>
                    </w:rPr>
                  </w:pPr>
                  <w:r>
                    <w:rPr>
                      <w:rFonts w:hint="eastAsia"/>
                      <w:b/>
                      <w:bCs/>
                      <w:color w:val="000000"/>
                      <w:sz w:val="21"/>
                      <w:szCs w:val="21"/>
                      <w:vertAlign w:val="baseline"/>
                      <w:lang w:val="en-US" w:eastAsia="zh-CN"/>
                    </w:rPr>
                    <w:t>2021.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000000"/>
                      <w:sz w:val="21"/>
                      <w:szCs w:val="21"/>
                      <w:vertAlign w:val="baseline"/>
                      <w:lang w:val="en-US"/>
                    </w:rPr>
                  </w:pPr>
                  <w:r>
                    <w:rPr>
                      <w:rFonts w:hint="eastAsia"/>
                      <w:b/>
                      <w:bCs/>
                      <w:color w:val="000000"/>
                      <w:sz w:val="21"/>
                      <w:szCs w:val="21"/>
                      <w:vertAlign w:val="baseline"/>
                      <w:lang w:val="en-US" w:eastAsia="zh-CN"/>
                    </w:rPr>
                    <w:t>11.09</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000000"/>
                      <w:sz w:val="21"/>
                      <w:szCs w:val="21"/>
                      <w:vertAlign w:val="baseline"/>
                      <w:lang w:val="en-US" w:eastAsia="zh-CN"/>
                    </w:rPr>
                  </w:pPr>
                  <w:r>
                    <w:rPr>
                      <w:rFonts w:hint="eastAsia"/>
                      <w:b/>
                      <w:bCs/>
                      <w:color w:val="000000"/>
                      <w:sz w:val="21"/>
                      <w:szCs w:val="21"/>
                      <w:vertAlign w:val="baseline"/>
                      <w:lang w:val="en-US" w:eastAsia="zh-CN"/>
                    </w:rPr>
                    <w:t>2021.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000000"/>
                      <w:sz w:val="21"/>
                      <w:szCs w:val="21"/>
                      <w:vertAlign w:val="baseline"/>
                      <w:lang w:val="en-US"/>
                    </w:rPr>
                  </w:pPr>
                  <w:r>
                    <w:rPr>
                      <w:rFonts w:hint="eastAsia"/>
                      <w:b/>
                      <w:bCs/>
                      <w:color w:val="000000"/>
                      <w:sz w:val="21"/>
                      <w:szCs w:val="21"/>
                      <w:vertAlign w:val="baseline"/>
                      <w:lang w:val="en-US" w:eastAsia="zh-CN"/>
                    </w:rPr>
                    <w:t>11.10</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000000"/>
                      <w:sz w:val="21"/>
                      <w:szCs w:val="21"/>
                      <w:vertAlign w:val="baseline"/>
                      <w:lang w:val="en-US" w:eastAsia="zh-CN"/>
                    </w:rPr>
                  </w:pPr>
                  <w:r>
                    <w:rPr>
                      <w:rFonts w:hint="eastAsia"/>
                      <w:b/>
                      <w:bCs/>
                      <w:color w:val="000000"/>
                      <w:sz w:val="21"/>
                      <w:szCs w:val="21"/>
                      <w:vertAlign w:val="baseline"/>
                      <w:lang w:val="en-US" w:eastAsia="zh-CN"/>
                    </w:rPr>
                    <w:t>2021.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000000"/>
                      <w:sz w:val="21"/>
                      <w:szCs w:val="21"/>
                      <w:vertAlign w:val="baseline"/>
                      <w:lang w:val="en-US"/>
                    </w:rPr>
                  </w:pPr>
                  <w:r>
                    <w:rPr>
                      <w:rFonts w:hint="eastAsia"/>
                      <w:b/>
                      <w:bCs/>
                      <w:color w:val="000000"/>
                      <w:sz w:val="21"/>
                      <w:szCs w:val="21"/>
                      <w:vertAlign w:val="baseline"/>
                      <w:lang w:val="en-US" w:eastAsia="zh-CN"/>
                    </w:rPr>
                    <w:t>11.11</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000000"/>
                      <w:sz w:val="21"/>
                      <w:szCs w:val="21"/>
                      <w:vertAlign w:val="baseline"/>
                      <w:lang w:val="en-US" w:eastAsia="zh-CN"/>
                    </w:rPr>
                  </w:pPr>
                  <w:r>
                    <w:rPr>
                      <w:rFonts w:hint="eastAsia"/>
                      <w:b/>
                      <w:bCs/>
                      <w:color w:val="000000"/>
                      <w:sz w:val="21"/>
                      <w:szCs w:val="21"/>
                      <w:vertAlign w:val="baseline"/>
                      <w:lang w:val="en-US" w:eastAsia="zh-CN"/>
                    </w:rPr>
                    <w:t>2021.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000000"/>
                      <w:sz w:val="21"/>
                      <w:szCs w:val="21"/>
                      <w:vertAlign w:val="baseline"/>
                      <w:lang w:val="en-US"/>
                    </w:rPr>
                  </w:pPr>
                  <w:r>
                    <w:rPr>
                      <w:rFonts w:hint="eastAsia"/>
                      <w:b/>
                      <w:bCs/>
                      <w:color w:val="000000"/>
                      <w:sz w:val="21"/>
                      <w:szCs w:val="21"/>
                      <w:vertAlign w:val="baseline"/>
                      <w:lang w:val="en-US" w:eastAsia="zh-CN"/>
                    </w:rPr>
                    <w:t>11.12</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000000"/>
                      <w:sz w:val="21"/>
                      <w:szCs w:val="21"/>
                      <w:vertAlign w:val="baseline"/>
                      <w:lang w:val="en-US" w:eastAsia="zh-CN"/>
                    </w:rPr>
                  </w:pPr>
                  <w:r>
                    <w:rPr>
                      <w:rFonts w:hint="eastAsia"/>
                      <w:b/>
                      <w:bCs/>
                      <w:color w:val="000000"/>
                      <w:sz w:val="21"/>
                      <w:szCs w:val="21"/>
                      <w:vertAlign w:val="baseline"/>
                      <w:lang w:val="en-US" w:eastAsia="zh-CN"/>
                    </w:rPr>
                    <w:t>2021.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000000"/>
                      <w:sz w:val="21"/>
                      <w:szCs w:val="21"/>
                      <w:vertAlign w:val="baseline"/>
                      <w:lang w:val="en-US"/>
                    </w:rPr>
                  </w:pPr>
                  <w:r>
                    <w:rPr>
                      <w:rFonts w:hint="eastAsia"/>
                      <w:b/>
                      <w:bCs/>
                      <w:color w:val="000000"/>
                      <w:sz w:val="21"/>
                      <w:szCs w:val="21"/>
                      <w:vertAlign w:val="baseline"/>
                      <w:lang w:val="en-US" w:eastAsia="zh-CN"/>
                    </w:rPr>
                    <w:t>11.13</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000000"/>
                      <w:sz w:val="21"/>
                      <w:szCs w:val="21"/>
                      <w:vertAlign w:val="baseline"/>
                      <w:lang w:val="en-US" w:eastAsia="zh-CN"/>
                    </w:rPr>
                  </w:pPr>
                  <w:r>
                    <w:rPr>
                      <w:rFonts w:hint="eastAsia"/>
                      <w:b/>
                      <w:bCs/>
                      <w:color w:val="000000"/>
                      <w:sz w:val="21"/>
                      <w:szCs w:val="21"/>
                      <w:vertAlign w:val="baseline"/>
                      <w:lang w:val="en-US" w:eastAsia="zh-CN"/>
                    </w:rPr>
                    <w:t>2021.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000000"/>
                      <w:sz w:val="21"/>
                      <w:szCs w:val="21"/>
                      <w:vertAlign w:val="baseline"/>
                      <w:lang w:val="en-US"/>
                    </w:rPr>
                  </w:pPr>
                  <w:r>
                    <w:rPr>
                      <w:rFonts w:hint="eastAsia"/>
                      <w:b/>
                      <w:bCs/>
                      <w:color w:val="000000"/>
                      <w:sz w:val="21"/>
                      <w:szCs w:val="21"/>
                      <w:vertAlign w:val="baseline"/>
                      <w:lang w:val="en-US" w:eastAsia="zh-CN"/>
                    </w:rPr>
                    <w:t>11.14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color w:val="000000"/>
                      <w:sz w:val="21"/>
                      <w:szCs w:val="21"/>
                      <w:vertAlign w:val="baseline"/>
                      <w:lang w:val="en-US" w:eastAsia="zh-CN"/>
                    </w:rPr>
                  </w:pPr>
                  <w:r>
                    <w:rPr>
                      <w:rFonts w:hint="eastAsia"/>
                      <w:b w:val="0"/>
                      <w:bCs w:val="0"/>
                      <w:color w:val="000000"/>
                      <w:sz w:val="21"/>
                      <w:szCs w:val="21"/>
                      <w:vertAlign w:val="baseline"/>
                      <w:lang w:val="en-US" w:eastAsia="zh-CN"/>
                    </w:rPr>
                    <w:t>G2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000000"/>
                      <w:sz w:val="21"/>
                      <w:szCs w:val="21"/>
                      <w:vertAlign w:val="baseline"/>
                      <w:lang w:val="en-US" w:eastAsia="zh-CN"/>
                    </w:rPr>
                  </w:pPr>
                  <w:r>
                    <w:rPr>
                      <w:rFonts w:hint="eastAsia"/>
                      <w:b w:val="0"/>
                      <w:bCs w:val="0"/>
                      <w:color w:val="000000"/>
                      <w:sz w:val="21"/>
                      <w:szCs w:val="21"/>
                      <w:vertAlign w:val="baseline"/>
                      <w:lang w:val="en-US" w:eastAsia="zh-CN"/>
                    </w:rPr>
                    <w:t>任庄</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000000"/>
                      <w:sz w:val="21"/>
                      <w:szCs w:val="21"/>
                      <w:vertAlign w:val="baseline"/>
                      <w:lang w:val="en-US" w:eastAsia="zh-CN"/>
                    </w:rPr>
                  </w:pPr>
                  <w:r>
                    <w:rPr>
                      <w:rFonts w:hint="eastAsia" w:eastAsia="宋体"/>
                      <w:b w:val="0"/>
                      <w:bCs w:val="0"/>
                      <w:color w:val="000000"/>
                      <w:sz w:val="21"/>
                      <w:szCs w:val="21"/>
                      <w:vertAlign w:val="baseline"/>
                      <w:lang w:val="en-US" w:eastAsia="zh-CN"/>
                    </w:rPr>
                    <w:t>1.2450</w:t>
                  </w:r>
                </w:p>
              </w:tc>
              <w:tc>
                <w:tcPr>
                  <w:tcW w:w="6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000000"/>
                      <w:sz w:val="21"/>
                      <w:szCs w:val="21"/>
                      <w:vertAlign w:val="baseline"/>
                      <w:lang w:val="en-US" w:eastAsia="zh-CN"/>
                    </w:rPr>
                  </w:pPr>
                  <w:r>
                    <w:rPr>
                      <w:rFonts w:hint="eastAsia" w:eastAsia="宋体"/>
                      <w:b w:val="0"/>
                      <w:bCs w:val="0"/>
                      <w:color w:val="000000"/>
                      <w:sz w:val="21"/>
                      <w:szCs w:val="21"/>
                      <w:vertAlign w:val="baseline"/>
                      <w:lang w:val="en-US" w:eastAsia="zh-CN"/>
                    </w:rPr>
                    <w:t>1.1900</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000000"/>
                      <w:sz w:val="21"/>
                      <w:szCs w:val="21"/>
                      <w:vertAlign w:val="baseline"/>
                      <w:lang w:val="en-US" w:eastAsia="zh-CN"/>
                    </w:rPr>
                  </w:pPr>
                  <w:r>
                    <w:rPr>
                      <w:rFonts w:hint="eastAsia" w:eastAsia="宋体"/>
                      <w:b w:val="0"/>
                      <w:bCs w:val="0"/>
                      <w:color w:val="000000"/>
                      <w:sz w:val="21"/>
                      <w:szCs w:val="21"/>
                      <w:vertAlign w:val="baseline"/>
                      <w:lang w:val="en-US" w:eastAsia="zh-CN"/>
                    </w:rPr>
                    <w:t>1.2025</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000000"/>
                      <w:sz w:val="21"/>
                      <w:szCs w:val="21"/>
                      <w:vertAlign w:val="baseline"/>
                      <w:lang w:val="en-US" w:eastAsia="zh-CN"/>
                    </w:rPr>
                  </w:pPr>
                  <w:r>
                    <w:rPr>
                      <w:rFonts w:hint="eastAsia" w:eastAsia="宋体"/>
                      <w:b w:val="0"/>
                      <w:bCs w:val="0"/>
                      <w:color w:val="000000"/>
                      <w:sz w:val="21"/>
                      <w:szCs w:val="21"/>
                      <w:vertAlign w:val="baseline"/>
                      <w:lang w:val="en-US" w:eastAsia="zh-CN"/>
                    </w:rPr>
                    <w:t>1.1600</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000000"/>
                      <w:sz w:val="21"/>
                      <w:szCs w:val="21"/>
                      <w:vertAlign w:val="baseline"/>
                      <w:lang w:val="en-US" w:eastAsia="zh-CN"/>
                    </w:rPr>
                  </w:pPr>
                  <w:r>
                    <w:rPr>
                      <w:rFonts w:hint="eastAsia" w:eastAsia="宋体"/>
                      <w:b w:val="0"/>
                      <w:bCs w:val="0"/>
                      <w:color w:val="000000"/>
                      <w:sz w:val="21"/>
                      <w:szCs w:val="21"/>
                      <w:vertAlign w:val="baseline"/>
                      <w:lang w:val="en-US" w:eastAsia="zh-CN"/>
                    </w:rPr>
                    <w:t>1.2000</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000000"/>
                      <w:sz w:val="21"/>
                      <w:szCs w:val="21"/>
                      <w:vertAlign w:val="baseline"/>
                      <w:lang w:val="en-US" w:eastAsia="zh-CN"/>
                    </w:rPr>
                  </w:pPr>
                  <w:r>
                    <w:rPr>
                      <w:rFonts w:hint="eastAsia" w:eastAsia="宋体"/>
                      <w:b w:val="0"/>
                      <w:bCs w:val="0"/>
                      <w:color w:val="000000"/>
                      <w:sz w:val="21"/>
                      <w:szCs w:val="21"/>
                      <w:vertAlign w:val="baseline"/>
                      <w:lang w:val="en-US" w:eastAsia="zh-CN"/>
                    </w:rPr>
                    <w:t>1.1775</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000000"/>
                      <w:sz w:val="21"/>
                      <w:szCs w:val="21"/>
                      <w:vertAlign w:val="baseline"/>
                      <w:lang w:val="en-US" w:eastAsia="zh-CN"/>
                    </w:rPr>
                  </w:pPr>
                  <w:r>
                    <w:rPr>
                      <w:rFonts w:hint="eastAsia" w:eastAsia="宋体"/>
                      <w:b w:val="0"/>
                      <w:bCs w:val="0"/>
                      <w:color w:val="000000"/>
                      <w:sz w:val="21"/>
                      <w:szCs w:val="21"/>
                      <w:vertAlign w:val="baseline"/>
                      <w:lang w:val="en-US" w:eastAsia="zh-CN"/>
                    </w:rPr>
                    <w:t>1.1875</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rPr>
              <w:t>表3-</w:t>
            </w:r>
            <w:r>
              <w:rPr>
                <w:rFonts w:hint="eastAsia" w:cs="Times New Roman"/>
                <w:b/>
                <w:bCs/>
                <w:lang w:val="en-US" w:eastAsia="zh-CN"/>
              </w:rPr>
              <w:t>5</w:t>
            </w:r>
            <w:r>
              <w:rPr>
                <w:rFonts w:hint="default" w:ascii="Times New Roman" w:hAnsi="Times New Roman" w:eastAsia="宋体" w:cs="Times New Roman"/>
                <w:b/>
                <w:bCs/>
              </w:rPr>
              <w:t xml:space="preserve"> 特征因子环境质量现状（监测结果）表</w:t>
            </w:r>
          </w:p>
          <w:tbl>
            <w:tblPr>
              <w:tblStyle w:val="21"/>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49"/>
              <w:gridCol w:w="1001"/>
              <w:gridCol w:w="1453"/>
              <w:gridCol w:w="1405"/>
              <w:gridCol w:w="1040"/>
              <w:gridCol w:w="742"/>
              <w:gridCol w:w="552"/>
              <w:gridCol w:w="18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污染物</w:t>
                  </w:r>
                </w:p>
              </w:tc>
              <w:tc>
                <w:tcPr>
                  <w:tcW w:w="5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平均时间</w:t>
                  </w:r>
                </w:p>
              </w:tc>
              <w:tc>
                <w:tcPr>
                  <w:tcW w:w="8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评价标准（mg/m</w:t>
                  </w:r>
                  <w:r>
                    <w:rPr>
                      <w:b/>
                      <w:bCs/>
                      <w:sz w:val="21"/>
                      <w:szCs w:val="21"/>
                      <w:vertAlign w:val="superscript"/>
                    </w:rPr>
                    <w:t>3</w:t>
                  </w:r>
                  <w:r>
                    <w:rPr>
                      <w:b/>
                      <w:bCs/>
                      <w:sz w:val="21"/>
                      <w:szCs w:val="21"/>
                    </w:rPr>
                    <w:t>）</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监测浓度范围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（mg/m</w:t>
                  </w:r>
                  <w:r>
                    <w:rPr>
                      <w:b/>
                      <w:bCs/>
                      <w:sz w:val="21"/>
                      <w:szCs w:val="21"/>
                      <w:vertAlign w:val="superscript"/>
                    </w:rPr>
                    <w:t>3</w:t>
                  </w:r>
                  <w:r>
                    <w:rPr>
                      <w:b/>
                      <w:bCs/>
                      <w:sz w:val="21"/>
                      <w:szCs w:val="21"/>
                    </w:rPr>
                    <w:t>）</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最大浓度占标率（%）</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超标率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w:t>
                  </w:r>
                </w:p>
              </w:tc>
              <w:tc>
                <w:tcPr>
                  <w:tcW w:w="3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达标情况</w:t>
                  </w:r>
                </w:p>
              </w:tc>
              <w:tc>
                <w:tcPr>
                  <w:tcW w:w="1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sz w:val="21"/>
                      <w:szCs w:val="21"/>
                      <w:lang w:val="en-US" w:eastAsia="zh-CN"/>
                    </w:rPr>
                  </w:pPr>
                  <w:r>
                    <w:rPr>
                      <w:rFonts w:hint="eastAsia"/>
                      <w:b/>
                      <w:bCs/>
                      <w:sz w:val="21"/>
                      <w:szCs w:val="21"/>
                      <w:lang w:val="en-US" w:eastAsia="zh-CN"/>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非甲烷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lang w:val="en-US" w:eastAsia="zh-CN"/>
                    </w:rPr>
                  </w:pPr>
                  <w:r>
                    <w:rPr>
                      <w:rFonts w:hint="eastAsia"/>
                      <w:sz w:val="21"/>
                      <w:szCs w:val="21"/>
                      <w:lang w:val="en-US" w:eastAsia="zh-CN"/>
                    </w:rPr>
                    <w:t>总烃</w:t>
                  </w:r>
                </w:p>
              </w:tc>
              <w:tc>
                <w:tcPr>
                  <w:tcW w:w="5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1小时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平均</w:t>
                  </w:r>
                </w:p>
              </w:tc>
              <w:tc>
                <w:tcPr>
                  <w:tcW w:w="8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2.0</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b w:val="0"/>
                      <w:bCs/>
                      <w:sz w:val="21"/>
                      <w:szCs w:val="21"/>
                      <w:lang w:val="en-US" w:eastAsia="zh-CN"/>
                    </w:rPr>
                    <w:t>1.1600</w:t>
                  </w:r>
                  <w:r>
                    <w:rPr>
                      <w:rFonts w:hint="eastAsia"/>
                      <w:b w:val="0"/>
                      <w:bCs/>
                      <w:sz w:val="21"/>
                      <w:szCs w:val="21"/>
                    </w:rPr>
                    <w:t>~</w:t>
                  </w:r>
                  <w:r>
                    <w:rPr>
                      <w:rFonts w:hint="eastAsia"/>
                      <w:b w:val="0"/>
                      <w:bCs/>
                      <w:sz w:val="21"/>
                      <w:szCs w:val="21"/>
                      <w:lang w:val="en-US" w:eastAsia="zh-CN"/>
                    </w:rPr>
                    <w:t>1.2450</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eastAsia="宋体"/>
                      <w:b w:val="0"/>
                      <w:bCs/>
                      <w:sz w:val="21"/>
                      <w:szCs w:val="21"/>
                      <w:lang w:val="en-US" w:eastAsia="zh-CN"/>
                    </w:rPr>
                    <w:t>62.25</w:t>
                  </w:r>
                </w:p>
              </w:tc>
              <w:tc>
                <w:tcPr>
                  <w:tcW w:w="4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b w:val="0"/>
                      <w:bCs w:val="0"/>
                      <w:color w:val="000000"/>
                      <w:sz w:val="21"/>
                      <w:szCs w:val="21"/>
                      <w:vertAlign w:val="baseline"/>
                      <w:lang w:val="en-US" w:eastAsia="zh-CN"/>
                    </w:rPr>
                    <w:t>0</w:t>
                  </w:r>
                </w:p>
              </w:tc>
              <w:tc>
                <w:tcPr>
                  <w:tcW w:w="3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b w:val="0"/>
                      <w:bCs w:val="0"/>
                      <w:color w:val="000000"/>
                      <w:sz w:val="21"/>
                      <w:szCs w:val="21"/>
                      <w:vertAlign w:val="baseline"/>
                      <w:lang w:val="en-US" w:eastAsia="zh-CN"/>
                    </w:rPr>
                    <w:t>达标</w:t>
                  </w:r>
                </w:p>
              </w:tc>
              <w:tc>
                <w:tcPr>
                  <w:tcW w:w="1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default" w:ascii="Times New Roman" w:hAnsi="Times New Roman" w:cs="Times New Roman"/>
                      <w:color w:val="auto"/>
                      <w:sz w:val="21"/>
                      <w:szCs w:val="21"/>
                      <w:lang w:val="en-US" w:eastAsia="zh-CN"/>
                    </w:rPr>
                    <w:t>《大气污染物综合排放标准详解》</w:t>
                  </w:r>
                </w:p>
              </w:tc>
            </w:tr>
          </w:tbl>
          <w:p>
            <w:pPr>
              <w:keepNext w:val="0"/>
              <w:keepLines w:val="0"/>
              <w:pageBreakBefore w:val="0"/>
              <w:widowControl w:val="0"/>
              <w:kinsoku/>
              <w:wordWrap/>
              <w:overflowPunct/>
              <w:topLinePunct w:val="0"/>
              <w:bidi w:val="0"/>
              <w:adjustRightInd w:val="0"/>
              <w:spacing w:line="360" w:lineRule="auto"/>
              <w:ind w:firstLine="480" w:firstLineChars="200"/>
              <w:rPr>
                <w:sz w:val="24"/>
              </w:rPr>
            </w:pPr>
            <w:r>
              <w:rPr>
                <w:sz w:val="24"/>
              </w:rPr>
              <w:t>根据上表可知，</w:t>
            </w:r>
            <w:r>
              <w:rPr>
                <w:rFonts w:hint="eastAsia"/>
                <w:sz w:val="24"/>
                <w:lang w:val="en-US" w:eastAsia="zh-CN"/>
              </w:rPr>
              <w:t>非甲烷总烃1小时平均值</w:t>
            </w:r>
            <w:r>
              <w:rPr>
                <w:sz w:val="24"/>
              </w:rPr>
              <w:t>现状监测结果满足</w:t>
            </w:r>
            <w:r>
              <w:rPr>
                <w:rFonts w:hint="default" w:eastAsia="宋体"/>
                <w:sz w:val="24"/>
                <w:lang w:val="en-US" w:eastAsia="zh-CN"/>
              </w:rPr>
              <w:t>《大气污染物综合排放标准详解》</w:t>
            </w:r>
            <w:r>
              <w:rPr>
                <w:rFonts w:hint="eastAsia" w:eastAsia="宋体"/>
                <w:sz w:val="24"/>
                <w:lang w:val="en-US" w:eastAsia="zh-CN"/>
              </w:rPr>
              <w:t>标准</w:t>
            </w:r>
            <w:r>
              <w:rPr>
                <w:sz w:val="24"/>
              </w:rPr>
              <w:t>。</w:t>
            </w:r>
          </w:p>
          <w:p>
            <w:pPr>
              <w:keepNext w:val="0"/>
              <w:keepLines w:val="0"/>
              <w:pageBreakBefore w:val="0"/>
              <w:widowControl w:val="0"/>
              <w:kinsoku/>
              <w:wordWrap/>
              <w:overflowPunct/>
              <w:topLinePunct w:val="0"/>
              <w:bidi w:val="0"/>
              <w:spacing w:line="360" w:lineRule="auto"/>
              <w:rPr>
                <w:b/>
                <w:bCs/>
                <w:color w:val="000000"/>
                <w:szCs w:val="32"/>
              </w:rPr>
            </w:pPr>
            <w:r>
              <w:rPr>
                <w:rFonts w:hint="eastAsia"/>
                <w:b/>
                <w:bCs/>
                <w:color w:val="000000"/>
                <w:szCs w:val="32"/>
              </w:rPr>
              <w:t>2、</w:t>
            </w:r>
            <w:r>
              <w:rPr>
                <w:b/>
                <w:bCs/>
                <w:color w:val="000000"/>
                <w:szCs w:val="32"/>
              </w:rPr>
              <w:t>地表水环境质量状况</w:t>
            </w:r>
          </w:p>
          <w:p>
            <w:pPr>
              <w:keepNext w:val="0"/>
              <w:keepLines w:val="0"/>
              <w:pageBreakBefore w:val="0"/>
              <w:widowControl w:val="0"/>
              <w:kinsoku/>
              <w:wordWrap/>
              <w:overflowPunct/>
              <w:topLinePunct w:val="0"/>
              <w:bidi w:val="0"/>
              <w:spacing w:line="360" w:lineRule="auto"/>
              <w:ind w:firstLine="480" w:firstLineChars="200"/>
              <w:rPr>
                <w:rFonts w:hint="eastAsia"/>
              </w:rPr>
            </w:pPr>
            <w:r>
              <w:rPr>
                <w:rFonts w:hint="eastAsia"/>
              </w:rPr>
              <w:t>本项目废水由信息产业园污水处理厂处理达标后最终排入</w:t>
            </w:r>
            <w:r>
              <w:rPr>
                <w:spacing w:val="-1"/>
              </w:rPr>
              <w:t>新</w:t>
            </w:r>
            <w:r>
              <w:rPr>
                <w:spacing w:val="-2"/>
              </w:rPr>
              <w:t>濉河</w:t>
            </w:r>
            <w:r>
              <w:rPr>
                <w:rFonts w:hint="eastAsia"/>
              </w:rPr>
              <w:t>，</w:t>
            </w:r>
            <w:r>
              <w:rPr>
                <w:spacing w:val="-4"/>
              </w:rPr>
              <w:t>本次评价引用《安徽淮北相山经济开发区</w:t>
            </w:r>
            <w:r>
              <w:rPr>
                <w:rFonts w:hint="eastAsia"/>
                <w:spacing w:val="-4"/>
              </w:rPr>
              <w:t>“</w:t>
            </w:r>
            <w:r>
              <w:rPr>
                <w:spacing w:val="-5"/>
              </w:rPr>
              <w:t>环境影响区域评估</w:t>
            </w:r>
            <w:r>
              <w:rPr>
                <w:rFonts w:eastAsia="Times New Roman"/>
                <w:spacing w:val="-5"/>
              </w:rPr>
              <w:t>+</w:t>
            </w:r>
            <w:r>
              <w:rPr>
                <w:spacing w:val="-5"/>
              </w:rPr>
              <w:t>环境标准</w:t>
            </w:r>
            <w:r>
              <w:rPr>
                <w:spacing w:val="-88"/>
              </w:rPr>
              <w:t xml:space="preserve"> </w:t>
            </w:r>
            <w:r>
              <w:rPr>
                <w:rFonts w:hint="eastAsia"/>
                <w:spacing w:val="-4"/>
              </w:rPr>
              <w:t>”</w:t>
            </w:r>
            <w:r>
              <w:t>报告》的环境监测数据</w:t>
            </w:r>
            <w:r>
              <w:rPr>
                <w:rFonts w:hint="eastAsia"/>
              </w:rPr>
              <w:t>。</w:t>
            </w:r>
          </w:p>
          <w:p>
            <w:pPr>
              <w:keepNext w:val="0"/>
              <w:keepLines w:val="0"/>
              <w:pageBreakBefore w:val="0"/>
              <w:widowControl w:val="0"/>
              <w:kinsoku/>
              <w:wordWrap/>
              <w:overflowPunct/>
              <w:topLinePunct w:val="0"/>
              <w:bidi w:val="0"/>
              <w:spacing w:line="360" w:lineRule="auto"/>
              <w:ind w:firstLine="480" w:firstLineChars="200"/>
            </w:pPr>
            <w:r>
              <w:t>2.1地表水环境质量现状监测</w:t>
            </w:r>
          </w:p>
          <w:p>
            <w:pPr>
              <w:keepNext w:val="0"/>
              <w:keepLines w:val="0"/>
              <w:pageBreakBefore w:val="0"/>
              <w:widowControl w:val="0"/>
              <w:kinsoku/>
              <w:wordWrap/>
              <w:overflowPunct/>
              <w:topLinePunct w:val="0"/>
              <w:bidi w:val="0"/>
              <w:spacing w:line="360" w:lineRule="auto"/>
              <w:ind w:firstLine="480" w:firstLineChars="200"/>
            </w:pPr>
            <w:r>
              <w:t>（1）监测布点</w:t>
            </w:r>
          </w:p>
          <w:p>
            <w:pPr>
              <w:keepNext w:val="0"/>
              <w:keepLines w:val="0"/>
              <w:pageBreakBefore w:val="0"/>
              <w:widowControl w:val="0"/>
              <w:kinsoku/>
              <w:wordWrap/>
              <w:overflowPunct/>
              <w:topLinePunct w:val="0"/>
              <w:bidi w:val="0"/>
              <w:spacing w:line="360" w:lineRule="auto"/>
              <w:ind w:firstLine="480" w:firstLineChars="200"/>
            </w:pPr>
            <w:r>
              <w:rPr>
                <w:rFonts w:hint="eastAsia"/>
              </w:rPr>
              <w:t>地表水监测共</w:t>
            </w:r>
            <w:r>
              <w:t>布设6个监测断面，断面布置情况见下表，监测时间为2021年8月5日~8月7日。</w:t>
            </w:r>
          </w:p>
          <w:p>
            <w:pPr>
              <w:keepNext w:val="0"/>
              <w:keepLines w:val="0"/>
              <w:pageBreakBefore w:val="0"/>
              <w:widowControl w:val="0"/>
              <w:kinsoku/>
              <w:wordWrap/>
              <w:overflowPunct/>
              <w:topLinePunct w:val="0"/>
              <w:bidi w:val="0"/>
              <w:jc w:val="center"/>
              <w:rPr>
                <w:b/>
                <w:bCs/>
              </w:rPr>
            </w:pPr>
            <w:r>
              <w:rPr>
                <w:b/>
                <w:bCs/>
              </w:rPr>
              <w:t>表</w:t>
            </w:r>
            <w:r>
              <w:rPr>
                <w:b/>
                <w:bCs/>
                <w:spacing w:val="-56"/>
              </w:rPr>
              <w:t xml:space="preserve"> </w:t>
            </w:r>
            <w:r>
              <w:rPr>
                <w:rFonts w:eastAsia="Times New Roman"/>
                <w:b/>
                <w:bCs/>
              </w:rPr>
              <w:t>3-</w:t>
            </w:r>
            <w:r>
              <w:rPr>
                <w:rFonts w:hint="eastAsia" w:eastAsia="宋体"/>
                <w:b/>
                <w:bCs/>
                <w:lang w:val="en-US" w:eastAsia="zh-CN"/>
              </w:rPr>
              <w:t>6</w:t>
            </w:r>
            <w:r>
              <w:rPr>
                <w:rFonts w:hint="eastAsia"/>
                <w:b/>
                <w:bCs/>
              </w:rPr>
              <w:t xml:space="preserve"> </w:t>
            </w:r>
            <w:r>
              <w:rPr>
                <w:b/>
                <w:bCs/>
              </w:rPr>
              <w:t>地表水现状监测断面设置</w:t>
            </w:r>
            <w:r>
              <w:rPr>
                <w:b/>
                <w:bCs/>
                <w:spacing w:val="-1"/>
              </w:rPr>
              <w:t>一览表</w:t>
            </w:r>
          </w:p>
          <w:p>
            <w:pPr>
              <w:keepNext w:val="0"/>
              <w:keepLines w:val="0"/>
              <w:pageBreakBefore w:val="0"/>
              <w:widowControl w:val="0"/>
              <w:kinsoku/>
              <w:wordWrap/>
              <w:overflowPunct/>
              <w:topLinePunct w:val="0"/>
              <w:bidi w:val="0"/>
              <w:spacing w:line="20" w:lineRule="exact"/>
            </w:pP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19"/>
              <w:gridCol w:w="1331"/>
              <w:gridCol w:w="3315"/>
              <w:gridCol w:w="31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75" w:type="pct"/>
                  <w:tcBorders>
                    <w:tl2br w:val="nil"/>
                    <w:tr2bl w:val="nil"/>
                  </w:tcBorders>
                  <w:noWrap w:val="0"/>
                  <w:vAlign w:val="center"/>
                </w:tcPr>
                <w:p>
                  <w:pPr>
                    <w:keepNext w:val="0"/>
                    <w:keepLines w:val="0"/>
                    <w:pageBreakBefore w:val="0"/>
                    <w:widowControl w:val="0"/>
                    <w:kinsoku/>
                    <w:wordWrap/>
                    <w:overflowPunct/>
                    <w:topLinePunct w:val="0"/>
                    <w:bidi w:val="0"/>
                    <w:jc w:val="center"/>
                    <w:rPr>
                      <w:b/>
                      <w:bCs/>
                      <w:sz w:val="21"/>
                      <w:szCs w:val="21"/>
                    </w:rPr>
                  </w:pPr>
                  <w:r>
                    <w:rPr>
                      <w:b/>
                      <w:bCs/>
                      <w:sz w:val="21"/>
                      <w:szCs w:val="21"/>
                    </w:rPr>
                    <w:t>河流</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jc w:val="center"/>
                    <w:rPr>
                      <w:b/>
                      <w:bCs/>
                      <w:sz w:val="21"/>
                      <w:szCs w:val="21"/>
                    </w:rPr>
                  </w:pPr>
                  <w:r>
                    <w:rPr>
                      <w:b/>
                      <w:bCs/>
                      <w:sz w:val="21"/>
                      <w:szCs w:val="21"/>
                    </w:rPr>
                    <w:t>断面编号</w:t>
                  </w:r>
                </w:p>
              </w:tc>
              <w:tc>
                <w:tcPr>
                  <w:tcW w:w="1870" w:type="pct"/>
                  <w:tcBorders>
                    <w:tl2br w:val="nil"/>
                    <w:tr2bl w:val="nil"/>
                  </w:tcBorders>
                  <w:noWrap w:val="0"/>
                  <w:vAlign w:val="center"/>
                </w:tcPr>
                <w:p>
                  <w:pPr>
                    <w:keepNext w:val="0"/>
                    <w:keepLines w:val="0"/>
                    <w:pageBreakBefore w:val="0"/>
                    <w:widowControl w:val="0"/>
                    <w:kinsoku/>
                    <w:wordWrap/>
                    <w:overflowPunct/>
                    <w:topLinePunct w:val="0"/>
                    <w:bidi w:val="0"/>
                    <w:jc w:val="center"/>
                    <w:rPr>
                      <w:b/>
                      <w:bCs/>
                      <w:sz w:val="21"/>
                      <w:szCs w:val="21"/>
                    </w:rPr>
                  </w:pPr>
                  <w:r>
                    <w:rPr>
                      <w:b/>
                      <w:bCs/>
                      <w:sz w:val="21"/>
                      <w:szCs w:val="21"/>
                    </w:rPr>
                    <w:t>断面位置</w:t>
                  </w:r>
                </w:p>
              </w:tc>
              <w:tc>
                <w:tcPr>
                  <w:tcW w:w="1802" w:type="pct"/>
                  <w:tcBorders>
                    <w:tl2br w:val="nil"/>
                    <w:tr2bl w:val="nil"/>
                  </w:tcBorders>
                  <w:noWrap w:val="0"/>
                  <w:vAlign w:val="center"/>
                </w:tcPr>
                <w:p>
                  <w:pPr>
                    <w:keepNext w:val="0"/>
                    <w:keepLines w:val="0"/>
                    <w:pageBreakBefore w:val="0"/>
                    <w:widowControl w:val="0"/>
                    <w:kinsoku/>
                    <w:wordWrap/>
                    <w:overflowPunct/>
                    <w:topLinePunct w:val="0"/>
                    <w:bidi w:val="0"/>
                    <w:jc w:val="center"/>
                    <w:rPr>
                      <w:b/>
                      <w:bCs/>
                      <w:sz w:val="21"/>
                      <w:szCs w:val="21"/>
                    </w:rPr>
                  </w:pPr>
                  <w:r>
                    <w:rPr>
                      <w:b/>
                      <w:bCs/>
                      <w:sz w:val="21"/>
                      <w:szCs w:val="21"/>
                    </w:rPr>
                    <w:t>监测项目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575" w:type="pct"/>
                  <w:vMerge w:val="restar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p>
                <w:p>
                  <w:pPr>
                    <w:keepNext w:val="0"/>
                    <w:keepLines w:val="0"/>
                    <w:pageBreakBefore w:val="0"/>
                    <w:widowControl w:val="0"/>
                    <w:kinsoku/>
                    <w:wordWrap/>
                    <w:overflowPunct/>
                    <w:topLinePunct w:val="0"/>
                    <w:bidi w:val="0"/>
                    <w:jc w:val="center"/>
                    <w:rPr>
                      <w:sz w:val="21"/>
                      <w:szCs w:val="21"/>
                    </w:rPr>
                  </w:pPr>
                  <w:r>
                    <w:rPr>
                      <w:sz w:val="21"/>
                      <w:szCs w:val="21"/>
                    </w:rPr>
                    <w:t>新濉河</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W1</w:t>
                  </w:r>
                </w:p>
              </w:tc>
              <w:tc>
                <w:tcPr>
                  <w:tcW w:w="1870"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丁楼污水处理厂上游500m</w:t>
                  </w:r>
                </w:p>
              </w:tc>
              <w:tc>
                <w:tcPr>
                  <w:tcW w:w="1802" w:type="pct"/>
                  <w:vMerge w:val="restar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p>
                <w:p>
                  <w:pPr>
                    <w:keepNext w:val="0"/>
                    <w:keepLines w:val="0"/>
                    <w:pageBreakBefore w:val="0"/>
                    <w:widowControl w:val="0"/>
                    <w:kinsoku/>
                    <w:wordWrap/>
                    <w:overflowPunct/>
                    <w:topLinePunct w:val="0"/>
                    <w:bidi w:val="0"/>
                    <w:jc w:val="left"/>
                    <w:rPr>
                      <w:sz w:val="21"/>
                      <w:szCs w:val="21"/>
                    </w:rPr>
                  </w:pPr>
                  <w:r>
                    <w:rPr>
                      <w:sz w:val="21"/>
                      <w:szCs w:val="21"/>
                    </w:rPr>
                    <w:t>水温</w:t>
                  </w:r>
                  <w:r>
                    <w:rPr>
                      <w:rFonts w:hint="eastAsia"/>
                      <w:sz w:val="21"/>
                      <w:szCs w:val="21"/>
                    </w:rPr>
                    <w:t>、</w:t>
                  </w:r>
                  <w:r>
                    <w:rPr>
                      <w:sz w:val="21"/>
                      <w:szCs w:val="21"/>
                    </w:rPr>
                    <w:t>SS、pH、DO</w:t>
                  </w:r>
                  <w:r>
                    <w:rPr>
                      <w:rFonts w:hint="eastAsia"/>
                      <w:sz w:val="21"/>
                      <w:szCs w:val="21"/>
                    </w:rPr>
                    <w:t>、</w:t>
                  </w:r>
                  <w:r>
                    <w:rPr>
                      <w:sz w:val="21"/>
                      <w:szCs w:val="21"/>
                    </w:rPr>
                    <w:t>高锰酸盐指数、COD、NH</w:t>
                  </w:r>
                  <w:r>
                    <w:rPr>
                      <w:sz w:val="21"/>
                      <w:szCs w:val="21"/>
                      <w:vertAlign w:val="subscript"/>
                    </w:rPr>
                    <w:t>3</w:t>
                  </w:r>
                  <w:r>
                    <w:rPr>
                      <w:sz w:val="21"/>
                      <w:szCs w:val="21"/>
                    </w:rPr>
                    <w:t xml:space="preserve"> -N</w:t>
                  </w:r>
                  <w:r>
                    <w:rPr>
                      <w:rFonts w:hint="eastAsia"/>
                      <w:sz w:val="21"/>
                      <w:szCs w:val="21"/>
                    </w:rPr>
                    <w:t>、</w:t>
                  </w:r>
                  <w:r>
                    <w:rPr>
                      <w:sz w:val="21"/>
                      <w:szCs w:val="21"/>
                    </w:rPr>
                    <w:t>TP、石油类；同时记录所监测水体有关的水文要素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575"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W2</w:t>
                  </w:r>
                </w:p>
              </w:tc>
              <w:tc>
                <w:tcPr>
                  <w:tcW w:w="1870"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丁楼污水处理厂下游500m</w:t>
                  </w:r>
                </w:p>
              </w:tc>
              <w:tc>
                <w:tcPr>
                  <w:tcW w:w="1802"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2" w:hRule="atLeast"/>
                <w:jc w:val="center"/>
              </w:trPr>
              <w:tc>
                <w:tcPr>
                  <w:tcW w:w="575"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W3</w:t>
                  </w:r>
                </w:p>
              </w:tc>
              <w:tc>
                <w:tcPr>
                  <w:tcW w:w="1870"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丁楼污水处理厂下游1500m</w:t>
                  </w:r>
                </w:p>
              </w:tc>
              <w:tc>
                <w:tcPr>
                  <w:tcW w:w="1802"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575" w:type="pct"/>
                  <w:vMerge w:val="restart"/>
                  <w:tcBorders>
                    <w:tl2br w:val="nil"/>
                    <w:tr2bl w:val="nil"/>
                  </w:tcBorders>
                  <w:noWrap w:val="0"/>
                  <w:vAlign w:val="center"/>
                </w:tcPr>
                <w:p>
                  <w:pPr>
                    <w:keepNext w:val="0"/>
                    <w:keepLines w:val="0"/>
                    <w:pageBreakBefore w:val="0"/>
                    <w:widowControl w:val="0"/>
                    <w:kinsoku/>
                    <w:wordWrap/>
                    <w:overflowPunct/>
                    <w:topLinePunct w:val="0"/>
                    <w:bidi w:val="0"/>
                    <w:ind w:firstLine="210" w:firstLineChars="100"/>
                    <w:jc w:val="both"/>
                    <w:rPr>
                      <w:sz w:val="21"/>
                      <w:szCs w:val="21"/>
                    </w:rPr>
                  </w:pPr>
                  <w:r>
                    <w:rPr>
                      <w:sz w:val="21"/>
                      <w:szCs w:val="21"/>
                    </w:rPr>
                    <w:t>新濉河</w:t>
                  </w: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W4</w:t>
                  </w:r>
                </w:p>
              </w:tc>
              <w:tc>
                <w:tcPr>
                  <w:tcW w:w="1870"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 xml:space="preserve">信息产业园污水处理厂排放口 </w:t>
                  </w:r>
                </w:p>
                <w:p>
                  <w:pPr>
                    <w:keepNext w:val="0"/>
                    <w:keepLines w:val="0"/>
                    <w:pageBreakBefore w:val="0"/>
                    <w:widowControl w:val="0"/>
                    <w:kinsoku/>
                    <w:wordWrap/>
                    <w:overflowPunct/>
                    <w:topLinePunct w:val="0"/>
                    <w:bidi w:val="0"/>
                    <w:jc w:val="center"/>
                    <w:rPr>
                      <w:sz w:val="21"/>
                      <w:szCs w:val="21"/>
                    </w:rPr>
                  </w:pPr>
                  <w:r>
                    <w:rPr>
                      <w:sz w:val="21"/>
                      <w:szCs w:val="21"/>
                    </w:rPr>
                    <w:t>上游500m</w:t>
                  </w:r>
                </w:p>
              </w:tc>
              <w:tc>
                <w:tcPr>
                  <w:tcW w:w="1802"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575"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W5</w:t>
                  </w:r>
                </w:p>
              </w:tc>
              <w:tc>
                <w:tcPr>
                  <w:tcW w:w="1870"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 xml:space="preserve">信息产业园污水处理厂排放口 </w:t>
                  </w:r>
                </w:p>
                <w:p>
                  <w:pPr>
                    <w:keepNext w:val="0"/>
                    <w:keepLines w:val="0"/>
                    <w:pageBreakBefore w:val="0"/>
                    <w:widowControl w:val="0"/>
                    <w:kinsoku/>
                    <w:wordWrap/>
                    <w:overflowPunct/>
                    <w:topLinePunct w:val="0"/>
                    <w:bidi w:val="0"/>
                    <w:jc w:val="center"/>
                    <w:rPr>
                      <w:sz w:val="21"/>
                      <w:szCs w:val="21"/>
                    </w:rPr>
                  </w:pPr>
                  <w:r>
                    <w:rPr>
                      <w:sz w:val="21"/>
                      <w:szCs w:val="21"/>
                    </w:rPr>
                    <w:t>下游500m</w:t>
                  </w:r>
                </w:p>
              </w:tc>
              <w:tc>
                <w:tcPr>
                  <w:tcW w:w="1802"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575"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p>
              </w:tc>
              <w:tc>
                <w:tcPr>
                  <w:tcW w:w="751"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W6</w:t>
                  </w:r>
                </w:p>
              </w:tc>
              <w:tc>
                <w:tcPr>
                  <w:tcW w:w="1870" w:type="pct"/>
                  <w:tcBorders>
                    <w:tl2br w:val="nil"/>
                    <w:tr2bl w:val="nil"/>
                  </w:tcBorders>
                  <w:noWrap w:val="0"/>
                  <w:vAlign w:val="center"/>
                </w:tcPr>
                <w:p>
                  <w:pPr>
                    <w:keepNext w:val="0"/>
                    <w:keepLines w:val="0"/>
                    <w:pageBreakBefore w:val="0"/>
                    <w:widowControl w:val="0"/>
                    <w:kinsoku/>
                    <w:wordWrap/>
                    <w:overflowPunct/>
                    <w:topLinePunct w:val="0"/>
                    <w:bidi w:val="0"/>
                    <w:jc w:val="center"/>
                    <w:rPr>
                      <w:sz w:val="21"/>
                      <w:szCs w:val="21"/>
                    </w:rPr>
                  </w:pPr>
                  <w:r>
                    <w:rPr>
                      <w:sz w:val="21"/>
                      <w:szCs w:val="21"/>
                    </w:rPr>
                    <w:t xml:space="preserve">信息产业园污水处理厂排放口 </w:t>
                  </w:r>
                </w:p>
                <w:p>
                  <w:pPr>
                    <w:keepNext w:val="0"/>
                    <w:keepLines w:val="0"/>
                    <w:pageBreakBefore w:val="0"/>
                    <w:widowControl w:val="0"/>
                    <w:kinsoku/>
                    <w:wordWrap/>
                    <w:overflowPunct/>
                    <w:topLinePunct w:val="0"/>
                    <w:bidi w:val="0"/>
                    <w:jc w:val="center"/>
                    <w:rPr>
                      <w:sz w:val="21"/>
                      <w:szCs w:val="21"/>
                    </w:rPr>
                  </w:pPr>
                  <w:r>
                    <w:rPr>
                      <w:sz w:val="21"/>
                      <w:szCs w:val="21"/>
                    </w:rPr>
                    <w:t>下游1500m</w:t>
                  </w:r>
                </w:p>
              </w:tc>
              <w:tc>
                <w:tcPr>
                  <w:tcW w:w="1802"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t>（2）监测因子、时间</w:t>
            </w:r>
          </w:p>
          <w:p>
            <w:pPr>
              <w:keepNext w:val="0"/>
              <w:keepLines w:val="0"/>
              <w:pageBreakBefore w:val="0"/>
              <w:widowControl w:val="0"/>
              <w:kinsoku/>
              <w:wordWrap/>
              <w:overflowPunct/>
              <w:topLinePunct w:val="0"/>
              <w:bidi w:val="0"/>
              <w:spacing w:line="360" w:lineRule="auto"/>
              <w:ind w:firstLine="480" w:firstLineChars="200"/>
              <w:rPr>
                <w:spacing w:val="-1"/>
              </w:rPr>
            </w:pPr>
            <w:r>
              <w:t>监测项目：水温</w:t>
            </w:r>
            <w:r>
              <w:rPr>
                <w:rFonts w:hint="eastAsia"/>
              </w:rPr>
              <w:t>、</w:t>
            </w:r>
            <w:r>
              <w:t>SS、pH、DO、高锰酸盐指数、COD</w:t>
            </w:r>
            <w:r>
              <w:rPr>
                <w:rFonts w:hint="eastAsia"/>
              </w:rPr>
              <w:t>、</w:t>
            </w:r>
            <w:r>
              <w:t>NH</w:t>
            </w:r>
            <w:r>
              <w:rPr>
                <w:vertAlign w:val="subscript"/>
              </w:rPr>
              <w:t>3</w:t>
            </w:r>
            <w:r>
              <w:t xml:space="preserve"> -N</w:t>
            </w:r>
            <w:r>
              <w:rPr>
                <w:rFonts w:hint="eastAsia"/>
              </w:rPr>
              <w:t>、</w:t>
            </w:r>
            <w:r>
              <w:t>TP、石油类；同时记录所监测</w:t>
            </w:r>
            <w:r>
              <w:rPr>
                <w:spacing w:val="-1"/>
              </w:rPr>
              <w:t>水体有关的水文要素。</w:t>
            </w:r>
          </w:p>
          <w:p>
            <w:pPr>
              <w:keepNext w:val="0"/>
              <w:keepLines w:val="0"/>
              <w:pageBreakBefore w:val="0"/>
              <w:widowControl w:val="0"/>
              <w:kinsoku/>
              <w:wordWrap/>
              <w:overflowPunct/>
              <w:topLinePunct w:val="0"/>
              <w:bidi w:val="0"/>
              <w:spacing w:line="360" w:lineRule="auto"/>
              <w:ind w:firstLine="480" w:firstLineChars="200"/>
            </w:pPr>
            <w:r>
              <w:t>监测时间：2021年8月5日~8月7日。</w:t>
            </w:r>
          </w:p>
          <w:p>
            <w:pPr>
              <w:keepNext w:val="0"/>
              <w:keepLines w:val="0"/>
              <w:pageBreakBefore w:val="0"/>
              <w:widowControl w:val="0"/>
              <w:kinsoku/>
              <w:wordWrap/>
              <w:overflowPunct/>
              <w:topLinePunct w:val="0"/>
              <w:bidi w:val="0"/>
              <w:spacing w:line="360" w:lineRule="auto"/>
              <w:ind w:firstLine="468" w:firstLineChars="200"/>
            </w:pPr>
            <w:r>
              <w:rPr>
                <w:spacing w:val="-3"/>
              </w:rPr>
              <w:t>（</w:t>
            </w:r>
            <w:r>
              <w:rPr>
                <w:rFonts w:eastAsia="Times New Roman"/>
                <w:spacing w:val="-3"/>
              </w:rPr>
              <w:t>3</w:t>
            </w:r>
            <w:r>
              <w:rPr>
                <w:spacing w:val="-3"/>
              </w:rPr>
              <w:t>）监测分析方法</w:t>
            </w:r>
          </w:p>
          <w:p>
            <w:pPr>
              <w:keepNext w:val="0"/>
              <w:keepLines w:val="0"/>
              <w:pageBreakBefore w:val="0"/>
              <w:widowControl w:val="0"/>
              <w:kinsoku/>
              <w:wordWrap/>
              <w:overflowPunct/>
              <w:topLinePunct w:val="0"/>
              <w:bidi w:val="0"/>
              <w:spacing w:line="360" w:lineRule="auto"/>
              <w:ind w:firstLine="480" w:firstLineChars="200"/>
            </w:pPr>
            <w:r>
              <w:t>水质监测按《水质采样分析方法设计规定》（HJ495-2009）</w:t>
            </w:r>
            <w:r>
              <w:rPr>
                <w:rFonts w:hint="eastAsia"/>
              </w:rPr>
              <w:t>、</w:t>
            </w:r>
            <w:r>
              <w:t>《水质河流采样技术指导》（HJ/52-1999）、《水质采样技术指导》（HJ494-2009）、</w:t>
            </w:r>
            <w:r>
              <w:rPr>
                <w:rFonts w:hint="eastAsia"/>
              </w:rPr>
              <w:t>《水质采样样品的保存和管理技术规定》</w:t>
            </w:r>
            <w:r>
              <w:t>（HJ</w:t>
            </w:r>
            <w:r>
              <w:rPr>
                <w:rFonts w:hint="eastAsia"/>
              </w:rPr>
              <w:t>493</w:t>
            </w:r>
            <w:r>
              <w:t>-1999）</w:t>
            </w:r>
            <w:r>
              <w:rPr>
                <w:rFonts w:hint="eastAsia"/>
              </w:rPr>
              <w:t>。监测分析方法按照GB3838-2002《地表水环境质量标准》中规定的方法执行。</w:t>
            </w:r>
          </w:p>
          <w:p>
            <w:pPr>
              <w:keepNext w:val="0"/>
              <w:keepLines w:val="0"/>
              <w:pageBreakBefore w:val="0"/>
              <w:widowControl w:val="0"/>
              <w:kinsoku/>
              <w:wordWrap/>
              <w:overflowPunct/>
              <w:topLinePunct w:val="0"/>
              <w:bidi w:val="0"/>
              <w:spacing w:line="360" w:lineRule="auto"/>
              <w:ind w:firstLine="480" w:firstLineChars="200"/>
            </w:pPr>
            <w:r>
              <w:t>（4）监测结果</w:t>
            </w:r>
          </w:p>
          <w:p>
            <w:pPr>
              <w:keepNext w:val="0"/>
              <w:keepLines w:val="0"/>
              <w:pageBreakBefore w:val="0"/>
              <w:widowControl w:val="0"/>
              <w:kinsoku/>
              <w:wordWrap/>
              <w:overflowPunct/>
              <w:topLinePunct w:val="0"/>
              <w:bidi w:val="0"/>
              <w:spacing w:line="360" w:lineRule="auto"/>
              <w:ind w:firstLine="480" w:firstLineChars="200"/>
            </w:pPr>
            <w:r>
              <w:t>监测结果见下表。</w:t>
            </w:r>
          </w:p>
          <w:p>
            <w:pPr>
              <w:keepNext w:val="0"/>
              <w:keepLines w:val="0"/>
              <w:pageBreakBefore w:val="0"/>
              <w:widowControl w:val="0"/>
              <w:kinsoku/>
              <w:wordWrap/>
              <w:overflowPunct/>
              <w:topLinePunct w:val="0"/>
              <w:bidi w:val="0"/>
              <w:jc w:val="center"/>
              <w:rPr>
                <w:b/>
                <w:bCs/>
              </w:rPr>
            </w:pPr>
          </w:p>
          <w:p>
            <w:pPr>
              <w:keepNext w:val="0"/>
              <w:keepLines w:val="0"/>
              <w:pageBreakBefore w:val="0"/>
              <w:widowControl w:val="0"/>
              <w:kinsoku/>
              <w:wordWrap/>
              <w:overflowPunct/>
              <w:topLinePunct w:val="0"/>
              <w:bidi w:val="0"/>
              <w:jc w:val="center"/>
              <w:rPr>
                <w:b/>
                <w:bCs/>
              </w:rPr>
            </w:pPr>
            <w:r>
              <w:rPr>
                <w:b/>
                <w:bCs/>
              </w:rPr>
              <w:t>表3-</w:t>
            </w:r>
            <w:r>
              <w:rPr>
                <w:rFonts w:hint="eastAsia"/>
                <w:b/>
                <w:bCs/>
                <w:lang w:val="en-US" w:eastAsia="zh-CN"/>
              </w:rPr>
              <w:t>7</w:t>
            </w:r>
            <w:r>
              <w:rPr>
                <w:rFonts w:hint="eastAsia"/>
                <w:b/>
                <w:bCs/>
              </w:rPr>
              <w:t xml:space="preserve"> </w:t>
            </w:r>
            <w:r>
              <w:rPr>
                <w:b/>
                <w:bCs/>
              </w:rPr>
              <w:t>地表水现状监测结果  单位：mg/L ，pH 无量纲</w:t>
            </w:r>
          </w:p>
          <w:p>
            <w:pPr>
              <w:keepNext w:val="0"/>
              <w:keepLines w:val="0"/>
              <w:pageBreakBefore w:val="0"/>
              <w:widowControl w:val="0"/>
              <w:kinsoku/>
              <w:wordWrap/>
              <w:overflowPunct/>
              <w:topLinePunct w:val="0"/>
              <w:bidi w:val="0"/>
              <w:spacing w:line="30" w:lineRule="exact"/>
            </w:pPr>
          </w:p>
          <w:tbl>
            <w:tblPr>
              <w:tblStyle w:val="21"/>
              <w:tblW w:w="4997" w:type="pct"/>
              <w:tblInd w:w="6"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45"/>
              <w:gridCol w:w="1287"/>
              <w:gridCol w:w="762"/>
              <w:gridCol w:w="590"/>
              <w:gridCol w:w="626"/>
              <w:gridCol w:w="695"/>
              <w:gridCol w:w="1170"/>
              <w:gridCol w:w="706"/>
              <w:gridCol w:w="888"/>
              <w:gridCol w:w="695"/>
              <w:gridCol w:w="69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632" w:hRule="atLeast"/>
              </w:trPr>
              <w:tc>
                <w:tcPr>
                  <w:tcW w:w="420" w:type="pct"/>
                  <w:tcBorders>
                    <w:tl2br w:val="nil"/>
                    <w:tr2bl w:val="nil"/>
                  </w:tcBorders>
                  <w:noWrap w:val="0"/>
                  <w:vAlign w:val="center"/>
                </w:tcPr>
                <w:p>
                  <w:pPr>
                    <w:keepNext w:val="0"/>
                    <w:keepLines w:val="0"/>
                    <w:pageBreakBefore w:val="0"/>
                    <w:widowControl w:val="0"/>
                    <w:kinsoku/>
                    <w:wordWrap/>
                    <w:overflowPunct/>
                    <w:topLinePunct w:val="0"/>
                    <w:bidi w:val="0"/>
                    <w:jc w:val="center"/>
                    <w:rPr>
                      <w:b/>
                      <w:bCs/>
                      <w:sz w:val="21"/>
                      <w:szCs w:val="21"/>
                    </w:rPr>
                  </w:pPr>
                  <w:r>
                    <w:rPr>
                      <w:b/>
                      <w:bCs/>
                      <w:sz w:val="21"/>
                      <w:szCs w:val="21"/>
                    </w:rPr>
                    <w:t>断面</w:t>
                  </w:r>
                </w:p>
              </w:tc>
              <w:tc>
                <w:tcPr>
                  <w:tcW w:w="7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sz w:val="21"/>
                      <w:szCs w:val="21"/>
                    </w:rPr>
                  </w:pPr>
                  <w:r>
                    <w:rPr>
                      <w:b/>
                      <w:bCs/>
                      <w:sz w:val="21"/>
                      <w:szCs w:val="21"/>
                    </w:rPr>
                    <w:t>监测日期</w:t>
                  </w:r>
                </w:p>
              </w:tc>
              <w:tc>
                <w:tcPr>
                  <w:tcW w:w="4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sz w:val="21"/>
                      <w:szCs w:val="21"/>
                    </w:rPr>
                  </w:pPr>
                  <w:r>
                    <w:rPr>
                      <w:b/>
                      <w:bCs/>
                      <w:sz w:val="21"/>
                      <w:szCs w:val="21"/>
                    </w:rPr>
                    <w:t>水温/℃</w:t>
                  </w:r>
                </w:p>
              </w:tc>
              <w:tc>
                <w:tcPr>
                  <w:tcW w:w="3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sz w:val="21"/>
                      <w:szCs w:val="21"/>
                    </w:rPr>
                  </w:pPr>
                  <w:r>
                    <w:rPr>
                      <w:b/>
                      <w:bCs/>
                      <w:sz w:val="21"/>
                      <w:szCs w:val="21"/>
                    </w:rPr>
                    <w:t>SS</w:t>
                  </w:r>
                </w:p>
              </w:tc>
              <w:tc>
                <w:tcPr>
                  <w:tcW w:w="3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sz w:val="21"/>
                      <w:szCs w:val="21"/>
                    </w:rPr>
                  </w:pPr>
                  <w:r>
                    <w:rPr>
                      <w:b/>
                      <w:bCs/>
                      <w:sz w:val="21"/>
                      <w:szCs w:val="21"/>
                    </w:rPr>
                    <w:t>pH</w:t>
                  </w:r>
                </w:p>
              </w:tc>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sz w:val="21"/>
                      <w:szCs w:val="21"/>
                    </w:rPr>
                  </w:pPr>
                  <w:r>
                    <w:rPr>
                      <w:b/>
                      <w:bCs/>
                      <w:sz w:val="21"/>
                      <w:szCs w:val="21"/>
                    </w:rPr>
                    <w:t>DO</w:t>
                  </w:r>
                </w:p>
              </w:tc>
              <w:tc>
                <w:tcPr>
                  <w:tcW w:w="6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sz w:val="21"/>
                      <w:szCs w:val="21"/>
                    </w:rPr>
                  </w:pPr>
                  <w:r>
                    <w:rPr>
                      <w:b/>
                      <w:bCs/>
                      <w:sz w:val="21"/>
                      <w:szCs w:val="21"/>
                    </w:rPr>
                    <w:t>高锰酸盐</w:t>
                  </w:r>
                </w:p>
                <w:p>
                  <w:pPr>
                    <w:keepNext w:val="0"/>
                    <w:keepLines w:val="0"/>
                    <w:pageBreakBefore w:val="0"/>
                    <w:widowControl w:val="0"/>
                    <w:kinsoku/>
                    <w:wordWrap/>
                    <w:overflowPunct/>
                    <w:topLinePunct w:val="0"/>
                    <w:autoSpaceDE/>
                    <w:autoSpaceDN/>
                    <w:bidi w:val="0"/>
                    <w:adjustRightInd w:val="0"/>
                    <w:snapToGrid w:val="0"/>
                    <w:jc w:val="center"/>
                    <w:textAlignment w:val="auto"/>
                    <w:rPr>
                      <w:b/>
                      <w:bCs/>
                      <w:sz w:val="21"/>
                      <w:szCs w:val="21"/>
                    </w:rPr>
                  </w:pPr>
                  <w:r>
                    <w:rPr>
                      <w:b/>
                      <w:bCs/>
                      <w:sz w:val="21"/>
                      <w:szCs w:val="21"/>
                    </w:rPr>
                    <w:t>指数</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b/>
                      <w:bCs/>
                      <w:sz w:val="21"/>
                      <w:szCs w:val="21"/>
                    </w:rPr>
                  </w:pPr>
                  <w:r>
                    <w:rPr>
                      <w:b/>
                      <w:bCs/>
                      <w:sz w:val="21"/>
                      <w:szCs w:val="21"/>
                    </w:rPr>
                    <w:t>COD</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b/>
                      <w:bCs/>
                      <w:sz w:val="21"/>
                      <w:szCs w:val="21"/>
                    </w:rPr>
                  </w:pPr>
                  <w:r>
                    <w:rPr>
                      <w:b/>
                      <w:bCs/>
                      <w:sz w:val="21"/>
                      <w:szCs w:val="21"/>
                    </w:rPr>
                    <w:t>NH</w:t>
                  </w:r>
                  <w:r>
                    <w:rPr>
                      <w:b/>
                      <w:bCs/>
                      <w:sz w:val="21"/>
                      <w:szCs w:val="21"/>
                      <w:vertAlign w:val="subscript"/>
                    </w:rPr>
                    <w:t>3</w:t>
                  </w:r>
                  <w:r>
                    <w:rPr>
                      <w:b/>
                      <w:bCs/>
                      <w:sz w:val="21"/>
                      <w:szCs w:val="21"/>
                    </w:rPr>
                    <w:t>-N</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b/>
                      <w:bCs/>
                      <w:sz w:val="21"/>
                      <w:szCs w:val="21"/>
                    </w:rPr>
                  </w:pPr>
                  <w:r>
                    <w:rPr>
                      <w:b/>
                      <w:bCs/>
                      <w:sz w:val="21"/>
                      <w:szCs w:val="21"/>
                    </w:rPr>
                    <w:t>TP</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b/>
                      <w:bCs/>
                      <w:sz w:val="21"/>
                      <w:szCs w:val="21"/>
                    </w:rPr>
                  </w:pPr>
                  <w:r>
                    <w:rPr>
                      <w:rFonts w:hint="eastAsia"/>
                      <w:b/>
                      <w:bCs/>
                      <w:sz w:val="21"/>
                      <w:szCs w:val="21"/>
                    </w:rPr>
                    <w:t>石油类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bidi w:val="0"/>
                    <w:ind w:firstLine="208" w:firstLineChars="100"/>
                    <w:rPr>
                      <w:rFonts w:eastAsia="Times New Roman"/>
                      <w:sz w:val="21"/>
                      <w:szCs w:val="21"/>
                    </w:rPr>
                  </w:pPr>
                  <w:r>
                    <w:rPr>
                      <w:rFonts w:eastAsia="Times New Roman"/>
                      <w:spacing w:val="-1"/>
                      <w:sz w:val="21"/>
                      <w:szCs w:val="21"/>
                    </w:rPr>
                    <w:t>W1</w:t>
                  </w: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2021.8.5</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26.4</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7</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7.1</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6.4</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4.10</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23</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0.452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0.13</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2021.8.6</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26.8</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5"/>
                      <w:sz w:val="21"/>
                      <w:szCs w:val="21"/>
                    </w:rPr>
                    <w:t>12</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6.5</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4.18</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24</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0.11</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2021.8.7</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27.0</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5"/>
                      <w:sz w:val="21"/>
                      <w:szCs w:val="21"/>
                    </w:rPr>
                    <w:t>10</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6.6</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4.16</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25</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0.486</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0.14</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bidi w:val="0"/>
                    <w:ind w:firstLine="208" w:firstLineChars="100"/>
                    <w:rPr>
                      <w:rFonts w:eastAsia="Times New Roman"/>
                      <w:sz w:val="21"/>
                      <w:szCs w:val="21"/>
                    </w:rPr>
                  </w:pPr>
                  <w:r>
                    <w:rPr>
                      <w:rFonts w:eastAsia="Times New Roman"/>
                      <w:spacing w:val="-1"/>
                      <w:sz w:val="21"/>
                      <w:szCs w:val="21"/>
                    </w:rPr>
                    <w:t>W2</w:t>
                  </w: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2021.8.5</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29.1</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8</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6.6</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4.21</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26</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0.504</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0.15</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2021.8.6</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29.0</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9</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6.6</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4.27</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27</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0.513</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0.17</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2021.8.7</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28.8</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8</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6.8</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4.22</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28</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0.515</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0.16</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bidi w:val="0"/>
                    <w:ind w:firstLine="208" w:firstLineChars="100"/>
                    <w:rPr>
                      <w:rFonts w:eastAsia="Times New Roman"/>
                      <w:sz w:val="21"/>
                      <w:szCs w:val="21"/>
                    </w:rPr>
                  </w:pPr>
                  <w:r>
                    <w:rPr>
                      <w:rFonts w:eastAsia="Times New Roman"/>
                      <w:spacing w:val="-1"/>
                      <w:sz w:val="21"/>
                      <w:szCs w:val="21"/>
                    </w:rPr>
                    <w:t>W3</w:t>
                  </w: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2021.8.5</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26.7</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7</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6.7</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4.44</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25</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0.483</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0.17</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2021.8.6</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26.8</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7</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7.1</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6.8</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4.37</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25</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0.476</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0.19</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2021.8.7</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27.0</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9</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6.8</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4.40</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24</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0.493</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0.16</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bidi w:val="0"/>
                    <w:ind w:firstLine="206" w:firstLineChars="100"/>
                    <w:rPr>
                      <w:rFonts w:eastAsia="Times New Roman"/>
                      <w:sz w:val="21"/>
                      <w:szCs w:val="21"/>
                    </w:rPr>
                  </w:pPr>
                  <w:r>
                    <w:rPr>
                      <w:rFonts w:eastAsia="Times New Roman"/>
                      <w:spacing w:val="-2"/>
                      <w:sz w:val="21"/>
                      <w:szCs w:val="21"/>
                    </w:rPr>
                    <w:t>W4</w:t>
                  </w: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2021.8.5</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27.1</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5"/>
                      <w:sz w:val="21"/>
                      <w:szCs w:val="21"/>
                    </w:rPr>
                    <w:t>10</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6.6</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4.26</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23</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0.483</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0.14</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2021.8.6</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27.3</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8</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7.1</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6.8</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4.21</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23</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0.492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0.15</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2021.8.7</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27.5</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5"/>
                      <w:sz w:val="21"/>
                      <w:szCs w:val="21"/>
                    </w:rPr>
                    <w:t>11</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6.8</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4.23</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24</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0.471</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0.13</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bidi w:val="0"/>
                    <w:ind w:firstLine="206" w:firstLineChars="100"/>
                    <w:rPr>
                      <w:rFonts w:eastAsia="Times New Roman"/>
                      <w:sz w:val="21"/>
                      <w:szCs w:val="21"/>
                    </w:rPr>
                  </w:pPr>
                  <w:r>
                    <w:rPr>
                      <w:rFonts w:eastAsia="Times New Roman"/>
                      <w:spacing w:val="-2"/>
                      <w:sz w:val="21"/>
                      <w:szCs w:val="21"/>
                    </w:rPr>
                    <w:t>W5</w:t>
                  </w: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2021.8.5</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28.4</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8</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7.1</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6.8</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4.38</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26</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0.504</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0.15</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2021.8.6</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28.0</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9</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6.9</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4.30</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28</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0.511</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0.14</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2021.8.7</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28.2</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9</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7.1</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6.9</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4.33</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26</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0.532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0.16</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restart"/>
                  <w:tcBorders>
                    <w:tl2br w:val="nil"/>
                    <w:tr2bl w:val="nil"/>
                  </w:tcBorders>
                  <w:noWrap w:val="0"/>
                  <w:vAlign w:val="center"/>
                </w:tcPr>
                <w:p>
                  <w:pPr>
                    <w:keepNext w:val="0"/>
                    <w:keepLines w:val="0"/>
                    <w:pageBreakBefore w:val="0"/>
                    <w:widowControl w:val="0"/>
                    <w:kinsoku/>
                    <w:wordWrap/>
                    <w:overflowPunct/>
                    <w:topLinePunct w:val="0"/>
                    <w:bidi w:val="0"/>
                    <w:ind w:firstLine="206" w:firstLineChars="100"/>
                    <w:rPr>
                      <w:rFonts w:eastAsia="Times New Roman"/>
                      <w:sz w:val="21"/>
                      <w:szCs w:val="21"/>
                    </w:rPr>
                  </w:pPr>
                  <w:r>
                    <w:rPr>
                      <w:rFonts w:eastAsia="Times New Roman"/>
                      <w:spacing w:val="-2"/>
                      <w:sz w:val="21"/>
                      <w:szCs w:val="21"/>
                    </w:rPr>
                    <w:t>W6</w:t>
                  </w: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2021.8.5</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28.2</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6</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6.5</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4.36</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25</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0.492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0.17</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2021.8.6</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28.5</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z w:val="21"/>
                      <w:szCs w:val="21"/>
                    </w:rPr>
                    <w:t>8</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7.2</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6.5</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4.44</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24</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0.473</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0.19</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20"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ascii="Arial"/>
                      <w:sz w:val="21"/>
                      <w:szCs w:val="21"/>
                    </w:rPr>
                  </w:pPr>
                </w:p>
              </w:tc>
              <w:tc>
                <w:tcPr>
                  <w:tcW w:w="726"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2021.8.7</w:t>
                  </w:r>
                </w:p>
              </w:tc>
              <w:tc>
                <w:tcPr>
                  <w:tcW w:w="43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28.4</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5"/>
                      <w:sz w:val="21"/>
                      <w:szCs w:val="21"/>
                    </w:rPr>
                    <w:t>10</w:t>
                  </w:r>
                </w:p>
              </w:tc>
              <w:tc>
                <w:tcPr>
                  <w:tcW w:w="353"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7.1</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4"/>
                      <w:sz w:val="21"/>
                      <w:szCs w:val="21"/>
                    </w:rPr>
                    <w:t>6.4</w:t>
                  </w:r>
                </w:p>
              </w:tc>
              <w:tc>
                <w:tcPr>
                  <w:tcW w:w="660"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1"/>
                      <w:sz w:val="21"/>
                      <w:szCs w:val="21"/>
                    </w:rPr>
                    <w:t>4.41</w:t>
                  </w:r>
                </w:p>
              </w:tc>
              <w:tc>
                <w:tcPr>
                  <w:tcW w:w="39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23</w:t>
                  </w:r>
                </w:p>
              </w:tc>
              <w:tc>
                <w:tcPr>
                  <w:tcW w:w="501"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2"/>
                      <w:sz w:val="21"/>
                      <w:szCs w:val="21"/>
                    </w:rPr>
                    <w:t>0.508</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eastAsia="Times New Roman"/>
                      <w:sz w:val="21"/>
                      <w:szCs w:val="21"/>
                    </w:rPr>
                  </w:pPr>
                  <w:r>
                    <w:rPr>
                      <w:rFonts w:eastAsia="Times New Roman"/>
                      <w:spacing w:val="-3"/>
                      <w:sz w:val="21"/>
                      <w:szCs w:val="21"/>
                    </w:rPr>
                    <w:t>0.18</w:t>
                  </w:r>
                </w:p>
              </w:tc>
              <w:tc>
                <w:tcPr>
                  <w:tcW w:w="392" w:type="pct"/>
                  <w:tcBorders>
                    <w:tl2br w:val="nil"/>
                    <w:tr2bl w:val="nil"/>
                  </w:tcBorders>
                  <w:noWrap w:val="0"/>
                  <w:vAlign w:val="center"/>
                </w:tcPr>
                <w:p>
                  <w:pPr>
                    <w:keepNext w:val="0"/>
                    <w:keepLines w:val="0"/>
                    <w:pageBreakBefore w:val="0"/>
                    <w:widowControl w:val="0"/>
                    <w:kinsoku/>
                    <w:wordWrap/>
                    <w:overflowPunct/>
                    <w:topLinePunct w:val="0"/>
                    <w:bidi w:val="0"/>
                    <w:jc w:val="center"/>
                    <w:rPr>
                      <w:spacing w:val="-3"/>
                      <w:sz w:val="21"/>
                      <w:szCs w:val="21"/>
                    </w:rPr>
                  </w:pPr>
                  <w:r>
                    <w:rPr>
                      <w:rFonts w:hint="eastAsia"/>
                      <w:spacing w:val="-3"/>
                      <w:sz w:val="21"/>
                      <w:szCs w:val="21"/>
                    </w:rPr>
                    <w:t>0.03</w:t>
                  </w:r>
                </w:p>
              </w:tc>
            </w:tr>
          </w:tbl>
          <w:p>
            <w:pPr>
              <w:keepNext w:val="0"/>
              <w:keepLines w:val="0"/>
              <w:pageBreakBefore w:val="0"/>
              <w:widowControl w:val="0"/>
              <w:kinsoku/>
              <w:wordWrap/>
              <w:overflowPunct/>
              <w:topLinePunct w:val="0"/>
              <w:bidi w:val="0"/>
              <w:spacing w:before="120" w:beforeLines="50" w:line="360" w:lineRule="auto"/>
              <w:ind w:firstLine="480" w:firstLineChars="200"/>
            </w:pPr>
            <w:r>
              <w:t>2.2 地表水环境质量现状评价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t>由监测结果可知：新濉河的各项监测指标均能满足《地表水环境质量标准》(GB3838-2002)中的Ⅲ类水标准要求。</w:t>
            </w:r>
          </w:p>
          <w:p>
            <w:pPr>
              <w:keepNext w:val="0"/>
              <w:keepLines w:val="0"/>
              <w:pageBreakBefore w:val="0"/>
              <w:widowControl w:val="0"/>
              <w:kinsoku/>
              <w:wordWrap/>
              <w:overflowPunct/>
              <w:topLinePunct w:val="0"/>
              <w:bidi w:val="0"/>
              <w:adjustRightInd w:val="0"/>
              <w:snapToGrid w:val="0"/>
              <w:spacing w:line="360" w:lineRule="auto"/>
              <w:textAlignment w:val="auto"/>
              <w:rPr>
                <w:b/>
                <w:bCs/>
                <w:color w:val="000000"/>
                <w:szCs w:val="32"/>
              </w:rPr>
            </w:pPr>
            <w:r>
              <w:rPr>
                <w:rFonts w:hint="eastAsia"/>
                <w:b/>
                <w:bCs/>
                <w:color w:val="000000"/>
                <w:szCs w:val="32"/>
              </w:rPr>
              <w:t>3、</w:t>
            </w:r>
            <w:r>
              <w:rPr>
                <w:b/>
                <w:bCs/>
                <w:color w:val="000000"/>
                <w:szCs w:val="32"/>
              </w:rPr>
              <w:t>声环境质量状况</w:t>
            </w:r>
          </w:p>
          <w:p>
            <w:pPr>
              <w:pStyle w:val="3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auto"/>
              </w:rPr>
            </w:pPr>
            <w:r>
              <w:rPr>
                <w:rFonts w:hint="eastAsia" w:ascii="Times New Roman" w:hAnsi="Times New Roman" w:cs="Times New Roman"/>
                <w:color w:val="auto"/>
              </w:rPr>
              <w:t>本</w:t>
            </w:r>
            <w:r>
              <w:rPr>
                <w:rFonts w:hint="eastAsia" w:cs="Times New Roman"/>
                <w:color w:val="auto"/>
              </w:rPr>
              <w:t>项目厂界外周边50米范围内不存在声环境保护目标，</w:t>
            </w:r>
            <w:r>
              <w:rPr>
                <w:rFonts w:hint="eastAsia" w:ascii="Times New Roman" w:hAnsi="Times New Roman" w:cs="Times New Roman"/>
                <w:color w:val="auto"/>
              </w:rPr>
              <w:t>根据《建设项目环境影响报告表编制技术指南（污染影响类）》（试行），</w:t>
            </w:r>
            <w:r>
              <w:rPr>
                <w:rFonts w:hint="eastAsia" w:cs="Times New Roman"/>
                <w:color w:val="auto"/>
              </w:rPr>
              <w:t>无需开展声环境质量监测。</w:t>
            </w:r>
          </w:p>
          <w:p>
            <w:pPr>
              <w:keepNext w:val="0"/>
              <w:keepLines w:val="0"/>
              <w:pageBreakBefore w:val="0"/>
              <w:widowControl w:val="0"/>
              <w:kinsoku/>
              <w:wordWrap/>
              <w:overflowPunct/>
              <w:topLinePunct w:val="0"/>
              <w:bidi w:val="0"/>
              <w:adjustRightInd w:val="0"/>
              <w:snapToGrid w:val="0"/>
              <w:spacing w:line="360" w:lineRule="auto"/>
              <w:textAlignment w:val="auto"/>
            </w:pPr>
            <w:r>
              <w:rPr>
                <w:b/>
                <w:bCs/>
              </w:rPr>
              <w:t>4</w:t>
            </w:r>
            <w:r>
              <w:rPr>
                <w:rFonts w:hint="eastAsia"/>
                <w:b/>
                <w:bCs/>
              </w:rPr>
              <w:t>、</w:t>
            </w:r>
            <w:r>
              <w:rPr>
                <w:b/>
                <w:bCs/>
              </w:rPr>
              <w:t>生态环境</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pPr>
            <w:r>
              <w:t>本项目为园区内建设项目，</w:t>
            </w:r>
            <w:r>
              <w:rPr>
                <w:rFonts w:hint="eastAsia"/>
              </w:rPr>
              <w:t>且利用已建成的厂房进行生产，</w:t>
            </w:r>
            <w:r>
              <w:t>周边无生态环境保护目标，无需进行生态现状调查。</w:t>
            </w:r>
          </w:p>
          <w:p>
            <w:pPr>
              <w:keepNext w:val="0"/>
              <w:keepLines w:val="0"/>
              <w:pageBreakBefore w:val="0"/>
              <w:widowControl w:val="0"/>
              <w:kinsoku/>
              <w:wordWrap/>
              <w:overflowPunct/>
              <w:topLinePunct w:val="0"/>
              <w:bidi w:val="0"/>
              <w:adjustRightInd w:val="0"/>
              <w:snapToGrid w:val="0"/>
              <w:spacing w:line="360" w:lineRule="auto"/>
              <w:textAlignment w:val="auto"/>
              <w:rPr>
                <w:b/>
                <w:bCs/>
              </w:rPr>
            </w:pPr>
            <w:r>
              <w:rPr>
                <w:b/>
                <w:bCs/>
              </w:rPr>
              <w:t>5、电磁辐射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rPr>
              <w:t>新建或改建、扩建广播电台、差转台、电视塔台、卫星地球上行站、雷达等电磁辐射类项目，应根据相关技术导则对项目电磁辐射现状开展监测与评价。本项目属于食品制造业，不属于上述行业，无需开展电磁辐射现状监测与评价。</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rPr>
            </w:pPr>
            <w:r>
              <w:rPr>
                <w:b/>
                <w:bCs/>
              </w:rPr>
              <w:t>6、地下水、土壤环境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bCs/>
                <w:lang w:val="en-US" w:eastAsia="zh-CN"/>
              </w:rPr>
            </w:pPr>
            <w:r>
              <w:rPr>
                <w:sz w:val="24"/>
              </w:rPr>
              <w:t>根据《建设项目环境影响报告表编制技术指南（污染影响类）》（试行），原则上对地下水和土壤不开展环境质量现状调查，</w:t>
            </w:r>
            <w:r>
              <w:rPr>
                <w:rFonts w:hint="eastAsia"/>
                <w:sz w:val="24"/>
              </w:rPr>
              <w:t>本项目危废暂存间为重点防渗区，一般固废暂存间、厂房地面为一般防渗区，其他区域为简单防渗区，</w:t>
            </w:r>
            <w:r>
              <w:rPr>
                <w:sz w:val="24"/>
              </w:rPr>
              <w:t>基本上不存在地下水和土壤污染途径。因此，本次不开展地下水和土壤环境现状监测。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noWrap w:val="0"/>
            <w:vAlign w:val="center"/>
          </w:tcPr>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环境</w:t>
            </w:r>
          </w:p>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保护</w:t>
            </w:r>
          </w:p>
          <w:p>
            <w:pPr>
              <w:keepNext w:val="0"/>
              <w:keepLines w:val="0"/>
              <w:pageBreakBefore w:val="0"/>
              <w:widowControl w:val="0"/>
              <w:kinsoku/>
              <w:wordWrap/>
              <w:overflowPunct/>
              <w:topLinePunct w:val="0"/>
              <w:bidi w:val="0"/>
              <w:adjustRightInd w:val="0"/>
              <w:snapToGrid w:val="0"/>
              <w:jc w:val="center"/>
              <w:rPr>
                <w:rFonts w:hint="eastAsia" w:ascii="宋体" w:hAnsi="宋体" w:cs="宋体"/>
                <w:kern w:val="0"/>
                <w:szCs w:val="21"/>
              </w:rPr>
            </w:pPr>
            <w:r>
              <w:rPr>
                <w:rFonts w:hint="eastAsia" w:ascii="宋体" w:hAnsi="宋体" w:cs="宋体"/>
                <w:b/>
                <w:kern w:val="0"/>
                <w:szCs w:val="21"/>
              </w:rPr>
              <w:t>目标</w:t>
            </w:r>
          </w:p>
        </w:tc>
        <w:tc>
          <w:tcPr>
            <w:tcW w:w="462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rPr>
                <w:b/>
                <w:bCs/>
                <w:color w:val="000000"/>
              </w:rPr>
            </w:pPr>
            <w:r>
              <w:rPr>
                <w:rFonts w:hint="eastAsia"/>
                <w:b/>
                <w:bCs/>
                <w:color w:val="000000"/>
              </w:rPr>
              <w:t>1、大气环境</w:t>
            </w:r>
          </w:p>
          <w:p>
            <w:pPr>
              <w:keepNext w:val="0"/>
              <w:keepLines w:val="0"/>
              <w:pageBreakBefore w:val="0"/>
              <w:widowControl w:val="0"/>
              <w:kinsoku/>
              <w:wordWrap/>
              <w:overflowPunct/>
              <w:topLinePunct w:val="0"/>
              <w:bidi w:val="0"/>
              <w:adjustRightInd w:val="0"/>
              <w:spacing w:line="360" w:lineRule="auto"/>
              <w:ind w:firstLine="480" w:firstLineChars="200"/>
            </w:pPr>
            <w:r>
              <w:rPr>
                <w:rFonts w:hint="eastAsia"/>
              </w:rPr>
              <w:t>本项目</w:t>
            </w:r>
            <w:r>
              <w:t>厂界外500m范围内无自然保护区、风景名胜区和文物古迹等需要特殊保护的环境敏感对象，厂界外500m范围内大气环境保护目标详见表</w:t>
            </w:r>
            <w:r>
              <w:rPr>
                <w:rFonts w:hint="eastAsia"/>
              </w:rPr>
              <w:t>3-</w:t>
            </w:r>
            <w:r>
              <w:rPr>
                <w:rFonts w:hint="eastAsia"/>
                <w:lang w:val="en-US" w:eastAsia="zh-CN"/>
              </w:rPr>
              <w:t>10</w:t>
            </w:r>
            <w:r>
              <w:rPr>
                <w:rFonts w:hint="eastAsia"/>
              </w:rPr>
              <w:t>和附图4</w:t>
            </w:r>
            <w:r>
              <w:t>。</w:t>
            </w:r>
          </w:p>
          <w:p>
            <w:pPr>
              <w:keepNext w:val="0"/>
              <w:keepLines w:val="0"/>
              <w:pageBreakBefore w:val="0"/>
              <w:widowControl w:val="0"/>
              <w:kinsoku/>
              <w:wordWrap/>
              <w:overflowPunct/>
              <w:topLinePunct w:val="0"/>
              <w:bidi w:val="0"/>
              <w:adjustRightInd w:val="0"/>
              <w:spacing w:line="360" w:lineRule="auto"/>
              <w:rPr>
                <w:b/>
              </w:rPr>
            </w:pPr>
            <w:r>
              <w:rPr>
                <w:b/>
              </w:rPr>
              <w:t>2、声环境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rPr>
                <w:rFonts w:hint="eastAsia"/>
                <w:color w:val="000000"/>
              </w:rPr>
            </w:pPr>
            <w:r>
              <w:rPr>
                <w:rFonts w:hint="eastAsia"/>
                <w:color w:val="000000"/>
              </w:rPr>
              <w:t>根据附图4，本项目厂界外5</w:t>
            </w:r>
            <w:r>
              <w:rPr>
                <w:color w:val="000000"/>
              </w:rPr>
              <w:t>0m范围内无声环境保护目标</w:t>
            </w:r>
            <w:r>
              <w:rPr>
                <w:rFonts w:hint="eastAsia"/>
                <w:color w:val="000000"/>
              </w:rPr>
              <w:t>。</w:t>
            </w:r>
          </w:p>
          <w:p>
            <w:pPr>
              <w:keepNext w:val="0"/>
              <w:keepLines w:val="0"/>
              <w:pageBreakBefore w:val="0"/>
              <w:widowControl w:val="0"/>
              <w:numPr>
                <w:ilvl w:val="0"/>
                <w:numId w:val="5"/>
              </w:numPr>
              <w:kinsoku/>
              <w:wordWrap/>
              <w:overflowPunct/>
              <w:topLinePunct w:val="0"/>
              <w:bidi w:val="0"/>
              <w:adjustRightInd w:val="0"/>
              <w:spacing w:line="360" w:lineRule="auto"/>
              <w:rPr>
                <w:b/>
              </w:rPr>
            </w:pPr>
            <w:r>
              <w:rPr>
                <w:b/>
              </w:rPr>
              <w:t>地下水环境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pPr>
            <w:r>
              <w:rPr>
                <w:color w:val="000000"/>
              </w:rPr>
              <w:t>本项目</w:t>
            </w:r>
            <w:r>
              <w:rPr>
                <w:rFonts w:hint="eastAsia"/>
                <w:color w:val="000000"/>
              </w:rPr>
              <w:t>位于</w:t>
            </w:r>
            <w:r>
              <w:rPr>
                <w:rFonts w:hint="eastAsia"/>
                <w:color w:val="000000"/>
                <w:szCs w:val="32"/>
              </w:rPr>
              <w:t>安徽省淮北市相山经济技术开发区凤</w:t>
            </w:r>
            <w:r>
              <w:rPr>
                <w:rFonts w:hint="eastAsia"/>
                <w:color w:val="000000"/>
                <w:szCs w:val="32"/>
                <w:lang w:val="en-US" w:eastAsia="zh-CN"/>
              </w:rPr>
              <w:t>冠</w:t>
            </w:r>
            <w:r>
              <w:rPr>
                <w:rFonts w:hint="eastAsia"/>
                <w:color w:val="000000"/>
                <w:szCs w:val="32"/>
              </w:rPr>
              <w:t>路2</w:t>
            </w:r>
            <w:r>
              <w:rPr>
                <w:rFonts w:hint="eastAsia"/>
                <w:color w:val="000000"/>
                <w:szCs w:val="32"/>
                <w:lang w:val="en-US" w:eastAsia="zh-CN"/>
              </w:rPr>
              <w:t>0</w:t>
            </w:r>
            <w:r>
              <w:rPr>
                <w:rFonts w:hint="eastAsia"/>
                <w:color w:val="000000"/>
                <w:szCs w:val="32"/>
              </w:rPr>
              <w:t>号</w:t>
            </w:r>
            <w:r>
              <w:rPr>
                <w:rFonts w:hint="eastAsia"/>
                <w:color w:val="000000"/>
              </w:rPr>
              <w:t>。</w:t>
            </w:r>
            <w:r>
              <w:t>项目饮用水来自市政供水管网，项目厂界外500m范围内无地下水集中式饮用水水源和热水、矿泉水、温泉等特殊地下水资源。</w:t>
            </w:r>
          </w:p>
          <w:p>
            <w:pPr>
              <w:keepNext w:val="0"/>
              <w:keepLines w:val="0"/>
              <w:pageBreakBefore w:val="0"/>
              <w:widowControl w:val="0"/>
              <w:kinsoku/>
              <w:wordWrap/>
              <w:overflowPunct/>
              <w:topLinePunct w:val="0"/>
              <w:bidi w:val="0"/>
              <w:adjustRightInd w:val="0"/>
              <w:snapToGrid w:val="0"/>
              <w:spacing w:line="360" w:lineRule="auto"/>
              <w:textAlignment w:val="auto"/>
              <w:rPr>
                <w:b/>
              </w:rPr>
            </w:pPr>
            <w:r>
              <w:rPr>
                <w:b/>
              </w:rPr>
              <w:t>4、生态环境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kern w:val="0"/>
                <w:szCs w:val="21"/>
              </w:rPr>
            </w:pPr>
            <w:r>
              <w:rPr>
                <w:color w:val="000000"/>
              </w:rPr>
              <w:t>本项目</w:t>
            </w:r>
            <w:r>
              <w:rPr>
                <w:rFonts w:hint="eastAsia"/>
                <w:color w:val="000000"/>
              </w:rPr>
              <w:t>位于</w:t>
            </w:r>
            <w:r>
              <w:rPr>
                <w:rFonts w:hint="eastAsia"/>
                <w:color w:val="000000"/>
                <w:szCs w:val="32"/>
              </w:rPr>
              <w:t>安徽省淮北市相山经济技术开发区凤</w:t>
            </w:r>
            <w:r>
              <w:rPr>
                <w:rFonts w:hint="eastAsia"/>
                <w:color w:val="000000"/>
                <w:szCs w:val="32"/>
                <w:lang w:val="en-US" w:eastAsia="zh-CN"/>
              </w:rPr>
              <w:t>冠</w:t>
            </w:r>
            <w:r>
              <w:rPr>
                <w:rFonts w:hint="eastAsia"/>
                <w:color w:val="000000"/>
                <w:szCs w:val="32"/>
              </w:rPr>
              <w:t>路2</w:t>
            </w:r>
            <w:r>
              <w:rPr>
                <w:rFonts w:hint="eastAsia"/>
                <w:color w:val="000000"/>
                <w:szCs w:val="32"/>
                <w:lang w:val="en-US" w:eastAsia="zh-CN"/>
              </w:rPr>
              <w:t>0</w:t>
            </w:r>
            <w:r>
              <w:rPr>
                <w:rFonts w:hint="eastAsia"/>
                <w:color w:val="000000"/>
                <w:szCs w:val="32"/>
              </w:rPr>
              <w:t>号</w:t>
            </w:r>
            <w:r>
              <w:rPr>
                <w:rFonts w:hint="eastAsia"/>
                <w:color w:val="000000"/>
              </w:rPr>
              <w:t>。根据</w:t>
            </w:r>
            <w:r>
              <w:rPr>
                <w:rFonts w:hint="eastAsia"/>
                <w:color w:val="000000"/>
                <w:kern w:val="0"/>
              </w:rPr>
              <w:t>安徽省生态环境厅关于印发</w:t>
            </w:r>
            <w:r>
              <w:rPr>
                <w:rFonts w:hint="eastAsia"/>
                <w:color w:val="000000"/>
              </w:rPr>
              <w:t>《安徽淮北相山经济开发区产业发展规划》（2019-2030年）</w:t>
            </w:r>
            <w:r>
              <w:rPr>
                <w:rFonts w:hint="eastAsia"/>
                <w:color w:val="000000"/>
                <w:kern w:val="0"/>
              </w:rPr>
              <w:t>可知，项目用地为工业用地。对照淮北市生态保护红线图，</w:t>
            </w:r>
            <w:r>
              <w:rPr>
                <w:color w:val="000000"/>
              </w:rPr>
              <w:t>项目区周边无其它自然保护区、风景旅游点和文物古迹等需要特殊保护的环境敏感对象。总体上不因本项目的实施而改变区域环境现有功能</w:t>
            </w:r>
            <w:r>
              <w:rPr>
                <w:rFonts w:hint="eastAsia"/>
                <w:color w:val="000000"/>
              </w:rPr>
              <w:t>。</w:t>
            </w:r>
          </w:p>
          <w:p>
            <w:pPr>
              <w:keepNext w:val="0"/>
              <w:keepLines w:val="0"/>
              <w:pageBreakBefore w:val="0"/>
              <w:widowControl w:val="0"/>
              <w:kinsoku/>
              <w:wordWrap/>
              <w:overflowPunct/>
              <w:topLinePunct w:val="0"/>
              <w:bidi w:val="0"/>
              <w:jc w:val="center"/>
              <w:rPr>
                <w:rFonts w:hAnsi="Times New Roman"/>
                <w:b/>
                <w:bCs/>
              </w:rPr>
            </w:pPr>
            <w:r>
              <w:rPr>
                <w:rFonts w:hint="eastAsia"/>
                <w:b/>
                <w:bCs/>
                <w:lang w:eastAsia="zh-CN"/>
              </w:rPr>
              <w:t>表3-</w:t>
            </w:r>
            <w:r>
              <w:rPr>
                <w:rFonts w:hint="eastAsia"/>
                <w:b/>
                <w:bCs/>
                <w:lang w:val="en-US" w:eastAsia="zh-CN"/>
              </w:rPr>
              <w:t>8</w:t>
            </w:r>
            <w:r>
              <w:rPr>
                <w:rFonts w:hint="eastAsia"/>
                <w:b/>
                <w:bCs/>
                <w:lang w:eastAsia="zh-CN"/>
              </w:rPr>
              <w:t xml:space="preserve"> </w:t>
            </w:r>
            <w:r>
              <w:rPr>
                <w:b/>
                <w:bCs/>
              </w:rPr>
              <w:t>项目周边主要环境保护目标一览表</w:t>
            </w:r>
          </w:p>
          <w:tbl>
            <w:tblPr>
              <w:tblStyle w:val="21"/>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769"/>
              <w:gridCol w:w="774"/>
              <w:gridCol w:w="1352"/>
              <w:gridCol w:w="1207"/>
              <w:gridCol w:w="1865"/>
              <w:gridCol w:w="916"/>
              <w:gridCol w:w="11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28" w:type="pct"/>
                  <w:vMerge w:val="restart"/>
                  <w:tcBorders>
                    <w:tl2br w:val="nil"/>
                    <w:tr2bl w:val="nil"/>
                  </w:tcBorders>
                  <w:noWrap w:val="0"/>
                  <w:vAlign w:val="center"/>
                </w:tcPr>
                <w:p>
                  <w:pPr>
                    <w:keepNext w:val="0"/>
                    <w:keepLines w:val="0"/>
                    <w:pageBreakBefore w:val="0"/>
                    <w:widowControl w:val="0"/>
                    <w:kinsoku/>
                    <w:wordWrap/>
                    <w:overflowPunct/>
                    <w:topLinePunct w:val="0"/>
                    <w:bidi w:val="0"/>
                    <w:jc w:val="center"/>
                    <w:rPr>
                      <w:b/>
                      <w:bCs w:val="0"/>
                      <w:sz w:val="21"/>
                      <w:szCs w:val="21"/>
                    </w:rPr>
                  </w:pPr>
                  <w:r>
                    <w:rPr>
                      <w:b/>
                      <w:bCs w:val="0"/>
                      <w:sz w:val="21"/>
                      <w:szCs w:val="21"/>
                    </w:rPr>
                    <w:t>环境</w:t>
                  </w:r>
                </w:p>
                <w:p>
                  <w:pPr>
                    <w:keepNext w:val="0"/>
                    <w:keepLines w:val="0"/>
                    <w:pageBreakBefore w:val="0"/>
                    <w:widowControl w:val="0"/>
                    <w:kinsoku/>
                    <w:wordWrap/>
                    <w:overflowPunct/>
                    <w:topLinePunct w:val="0"/>
                    <w:bidi w:val="0"/>
                    <w:jc w:val="center"/>
                    <w:rPr>
                      <w:b/>
                      <w:bCs w:val="0"/>
                      <w:sz w:val="21"/>
                      <w:szCs w:val="21"/>
                    </w:rPr>
                  </w:pPr>
                  <w:r>
                    <w:rPr>
                      <w:b/>
                      <w:bCs w:val="0"/>
                      <w:sz w:val="21"/>
                      <w:szCs w:val="21"/>
                    </w:rPr>
                    <w:t>要素</w:t>
                  </w:r>
                </w:p>
              </w:tc>
              <w:tc>
                <w:tcPr>
                  <w:tcW w:w="873" w:type="pct"/>
                  <w:gridSpan w:val="2"/>
                  <w:tcBorders>
                    <w:tl2br w:val="nil"/>
                    <w:tr2bl w:val="nil"/>
                  </w:tcBorders>
                  <w:noWrap w:val="0"/>
                  <w:vAlign w:val="center"/>
                </w:tcPr>
                <w:p>
                  <w:pPr>
                    <w:keepNext w:val="0"/>
                    <w:keepLines w:val="0"/>
                    <w:pageBreakBefore w:val="0"/>
                    <w:widowControl w:val="0"/>
                    <w:kinsoku/>
                    <w:wordWrap/>
                    <w:overflowPunct/>
                    <w:topLinePunct w:val="0"/>
                    <w:bidi w:val="0"/>
                    <w:jc w:val="center"/>
                    <w:rPr>
                      <w:b/>
                      <w:bCs w:val="0"/>
                      <w:sz w:val="21"/>
                      <w:szCs w:val="21"/>
                    </w:rPr>
                  </w:pPr>
                  <w:r>
                    <w:rPr>
                      <w:rFonts w:hint="eastAsia"/>
                      <w:b/>
                      <w:bCs w:val="0"/>
                      <w:sz w:val="21"/>
                      <w:szCs w:val="21"/>
                    </w:rPr>
                    <w:t>坐标</w:t>
                  </w:r>
                </w:p>
              </w:tc>
              <w:tc>
                <w:tcPr>
                  <w:tcW w:w="765" w:type="pct"/>
                  <w:vMerge w:val="restart"/>
                  <w:tcBorders>
                    <w:tl2br w:val="nil"/>
                    <w:tr2bl w:val="nil"/>
                  </w:tcBorders>
                  <w:noWrap w:val="0"/>
                  <w:vAlign w:val="center"/>
                </w:tcPr>
                <w:p>
                  <w:pPr>
                    <w:keepNext w:val="0"/>
                    <w:keepLines w:val="0"/>
                    <w:pageBreakBefore w:val="0"/>
                    <w:widowControl w:val="0"/>
                    <w:kinsoku/>
                    <w:wordWrap/>
                    <w:overflowPunct/>
                    <w:topLinePunct w:val="0"/>
                    <w:bidi w:val="0"/>
                    <w:jc w:val="center"/>
                    <w:rPr>
                      <w:b/>
                      <w:bCs w:val="0"/>
                      <w:sz w:val="21"/>
                      <w:szCs w:val="21"/>
                    </w:rPr>
                  </w:pPr>
                  <w:r>
                    <w:rPr>
                      <w:b/>
                      <w:bCs w:val="0"/>
                      <w:sz w:val="21"/>
                      <w:szCs w:val="21"/>
                    </w:rPr>
                    <w:t>保护</w:t>
                  </w:r>
                  <w:r>
                    <w:rPr>
                      <w:rFonts w:hint="eastAsia"/>
                      <w:b/>
                      <w:bCs w:val="0"/>
                      <w:sz w:val="21"/>
                      <w:szCs w:val="21"/>
                    </w:rPr>
                    <w:t>对象</w:t>
                  </w:r>
                </w:p>
              </w:tc>
              <w:tc>
                <w:tcPr>
                  <w:tcW w:w="683" w:type="pct"/>
                  <w:vMerge w:val="restart"/>
                  <w:tcBorders>
                    <w:tl2br w:val="nil"/>
                    <w:tr2bl w:val="nil"/>
                  </w:tcBorders>
                  <w:noWrap w:val="0"/>
                  <w:vAlign w:val="center"/>
                </w:tcPr>
                <w:p>
                  <w:pPr>
                    <w:keepNext w:val="0"/>
                    <w:keepLines w:val="0"/>
                    <w:pageBreakBefore w:val="0"/>
                    <w:widowControl w:val="0"/>
                    <w:kinsoku/>
                    <w:wordWrap/>
                    <w:overflowPunct/>
                    <w:topLinePunct w:val="0"/>
                    <w:bidi w:val="0"/>
                    <w:jc w:val="center"/>
                    <w:rPr>
                      <w:b/>
                      <w:bCs w:val="0"/>
                      <w:sz w:val="21"/>
                      <w:szCs w:val="21"/>
                    </w:rPr>
                  </w:pPr>
                  <w:r>
                    <w:rPr>
                      <w:rFonts w:hint="eastAsia"/>
                      <w:b/>
                      <w:bCs w:val="0"/>
                      <w:sz w:val="21"/>
                      <w:szCs w:val="21"/>
                    </w:rPr>
                    <w:t>保护内容</w:t>
                  </w:r>
                </w:p>
              </w:tc>
              <w:tc>
                <w:tcPr>
                  <w:tcW w:w="1055" w:type="pct"/>
                  <w:vMerge w:val="restart"/>
                  <w:tcBorders>
                    <w:tl2br w:val="nil"/>
                    <w:tr2bl w:val="nil"/>
                  </w:tcBorders>
                  <w:noWrap w:val="0"/>
                  <w:vAlign w:val="center"/>
                </w:tcPr>
                <w:p>
                  <w:pPr>
                    <w:keepNext w:val="0"/>
                    <w:keepLines w:val="0"/>
                    <w:pageBreakBefore w:val="0"/>
                    <w:widowControl w:val="0"/>
                    <w:kinsoku/>
                    <w:wordWrap/>
                    <w:overflowPunct/>
                    <w:topLinePunct w:val="0"/>
                    <w:bidi w:val="0"/>
                    <w:jc w:val="center"/>
                    <w:rPr>
                      <w:rFonts w:hint="eastAsia"/>
                      <w:b/>
                      <w:bCs w:val="0"/>
                      <w:sz w:val="21"/>
                      <w:szCs w:val="21"/>
                    </w:rPr>
                  </w:pPr>
                  <w:r>
                    <w:rPr>
                      <w:rFonts w:hint="eastAsia"/>
                      <w:b/>
                      <w:bCs w:val="0"/>
                      <w:sz w:val="21"/>
                      <w:szCs w:val="21"/>
                    </w:rPr>
                    <w:t>环境</w:t>
                  </w:r>
                </w:p>
                <w:p>
                  <w:pPr>
                    <w:keepNext w:val="0"/>
                    <w:keepLines w:val="0"/>
                    <w:pageBreakBefore w:val="0"/>
                    <w:widowControl w:val="0"/>
                    <w:kinsoku/>
                    <w:wordWrap/>
                    <w:overflowPunct/>
                    <w:topLinePunct w:val="0"/>
                    <w:bidi w:val="0"/>
                    <w:jc w:val="center"/>
                    <w:rPr>
                      <w:b/>
                      <w:bCs w:val="0"/>
                      <w:sz w:val="21"/>
                      <w:szCs w:val="21"/>
                    </w:rPr>
                  </w:pPr>
                  <w:r>
                    <w:rPr>
                      <w:rFonts w:hint="eastAsia"/>
                      <w:b/>
                      <w:bCs w:val="0"/>
                      <w:sz w:val="21"/>
                      <w:szCs w:val="21"/>
                    </w:rPr>
                    <w:t>功能区</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bidi w:val="0"/>
                    <w:jc w:val="center"/>
                    <w:rPr>
                      <w:b/>
                      <w:bCs w:val="0"/>
                      <w:sz w:val="21"/>
                      <w:szCs w:val="21"/>
                    </w:rPr>
                  </w:pPr>
                  <w:r>
                    <w:rPr>
                      <w:rFonts w:hint="eastAsia"/>
                      <w:b/>
                      <w:bCs w:val="0"/>
                      <w:sz w:val="21"/>
                      <w:szCs w:val="21"/>
                    </w:rPr>
                    <w:t>相对厂址</w:t>
                  </w:r>
                  <w:r>
                    <w:rPr>
                      <w:b/>
                      <w:bCs w:val="0"/>
                      <w:sz w:val="21"/>
                      <w:szCs w:val="21"/>
                    </w:rPr>
                    <w:t>方位</w:t>
                  </w:r>
                </w:p>
              </w:tc>
              <w:tc>
                <w:tcPr>
                  <w:tcW w:w="675" w:type="pct"/>
                  <w:vMerge w:val="restart"/>
                  <w:tcBorders>
                    <w:tl2br w:val="nil"/>
                    <w:tr2bl w:val="nil"/>
                  </w:tcBorders>
                  <w:noWrap w:val="0"/>
                  <w:vAlign w:val="center"/>
                </w:tcPr>
                <w:p>
                  <w:pPr>
                    <w:keepNext w:val="0"/>
                    <w:keepLines w:val="0"/>
                    <w:pageBreakBefore w:val="0"/>
                    <w:widowControl w:val="0"/>
                    <w:kinsoku/>
                    <w:wordWrap/>
                    <w:overflowPunct/>
                    <w:topLinePunct w:val="0"/>
                    <w:bidi w:val="0"/>
                    <w:jc w:val="center"/>
                    <w:rPr>
                      <w:b/>
                      <w:bCs w:val="0"/>
                      <w:sz w:val="21"/>
                      <w:szCs w:val="21"/>
                    </w:rPr>
                  </w:pPr>
                  <w:r>
                    <w:rPr>
                      <w:rFonts w:hint="eastAsia"/>
                      <w:b/>
                      <w:bCs w:val="0"/>
                      <w:sz w:val="21"/>
                      <w:szCs w:val="21"/>
                    </w:rPr>
                    <w:t>相对</w:t>
                  </w:r>
                  <w:r>
                    <w:rPr>
                      <w:b/>
                      <w:bCs w:val="0"/>
                      <w:sz w:val="21"/>
                      <w:szCs w:val="21"/>
                    </w:rPr>
                    <w:t>厂界最近距离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bCs/>
                      <w:sz w:val="21"/>
                      <w:szCs w:val="21"/>
                    </w:rPr>
                  </w:pPr>
                </w:p>
              </w:tc>
              <w:tc>
                <w:tcPr>
                  <w:tcW w:w="435"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hint="eastAsia"/>
                      <w:b/>
                      <w:bCs w:val="0"/>
                      <w:sz w:val="21"/>
                      <w:szCs w:val="21"/>
                    </w:rPr>
                  </w:pPr>
                  <w:r>
                    <w:rPr>
                      <w:rFonts w:hint="eastAsia"/>
                      <w:b/>
                      <w:bCs w:val="0"/>
                      <w:sz w:val="21"/>
                      <w:szCs w:val="21"/>
                    </w:rPr>
                    <w:t>X</w:t>
                  </w:r>
                </w:p>
              </w:tc>
              <w:tc>
                <w:tcPr>
                  <w:tcW w:w="438" w:type="pct"/>
                  <w:tcBorders>
                    <w:tl2br w:val="nil"/>
                    <w:tr2bl w:val="nil"/>
                  </w:tcBorders>
                  <w:noWrap w:val="0"/>
                  <w:vAlign w:val="center"/>
                </w:tcPr>
                <w:p>
                  <w:pPr>
                    <w:keepNext w:val="0"/>
                    <w:keepLines w:val="0"/>
                    <w:pageBreakBefore w:val="0"/>
                    <w:widowControl w:val="0"/>
                    <w:kinsoku/>
                    <w:wordWrap/>
                    <w:overflowPunct/>
                    <w:topLinePunct w:val="0"/>
                    <w:bidi w:val="0"/>
                    <w:jc w:val="center"/>
                    <w:rPr>
                      <w:rFonts w:hint="eastAsia"/>
                      <w:b/>
                      <w:bCs w:val="0"/>
                      <w:sz w:val="21"/>
                      <w:szCs w:val="21"/>
                    </w:rPr>
                  </w:pPr>
                  <w:r>
                    <w:rPr>
                      <w:rFonts w:hint="eastAsia"/>
                      <w:b/>
                      <w:bCs w:val="0"/>
                      <w:sz w:val="21"/>
                      <w:szCs w:val="21"/>
                    </w:rPr>
                    <w:t>Y</w:t>
                  </w:r>
                </w:p>
              </w:tc>
              <w:tc>
                <w:tcPr>
                  <w:tcW w:w="765"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bCs/>
                      <w:sz w:val="21"/>
                      <w:szCs w:val="21"/>
                    </w:rPr>
                  </w:pPr>
                </w:p>
              </w:tc>
              <w:tc>
                <w:tcPr>
                  <w:tcW w:w="683"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hint="eastAsia"/>
                      <w:bCs/>
                      <w:sz w:val="21"/>
                      <w:szCs w:val="21"/>
                    </w:rPr>
                  </w:pPr>
                </w:p>
              </w:tc>
              <w:tc>
                <w:tcPr>
                  <w:tcW w:w="1055"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hint="eastAsia"/>
                      <w:bCs/>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hint="eastAsia"/>
                      <w:bCs/>
                      <w:sz w:val="21"/>
                      <w:szCs w:val="21"/>
                    </w:rPr>
                  </w:pPr>
                </w:p>
              </w:tc>
              <w:tc>
                <w:tcPr>
                  <w:tcW w:w="675"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rFonts w:hint="eastAsia"/>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8" w:type="pct"/>
                  <w:vMerge w:val="restart"/>
                  <w:tcBorders>
                    <w:tl2br w:val="nil"/>
                    <w:tr2bl w:val="nil"/>
                  </w:tcBorders>
                  <w:noWrap w:val="0"/>
                  <w:vAlign w:val="center"/>
                </w:tcPr>
                <w:p>
                  <w:pPr>
                    <w:keepNext w:val="0"/>
                    <w:keepLines w:val="0"/>
                    <w:pageBreakBefore w:val="0"/>
                    <w:widowControl w:val="0"/>
                    <w:kinsoku/>
                    <w:wordWrap/>
                    <w:overflowPunct/>
                    <w:topLinePunct w:val="0"/>
                    <w:bidi w:val="0"/>
                    <w:jc w:val="center"/>
                    <w:rPr>
                      <w:kern w:val="0"/>
                      <w:sz w:val="21"/>
                      <w:szCs w:val="21"/>
                    </w:rPr>
                  </w:pPr>
                  <w:r>
                    <w:rPr>
                      <w:kern w:val="0"/>
                      <w:sz w:val="21"/>
                      <w:szCs w:val="21"/>
                    </w:rPr>
                    <w:t>大气</w:t>
                  </w:r>
                </w:p>
                <w:p>
                  <w:pPr>
                    <w:keepNext w:val="0"/>
                    <w:keepLines w:val="0"/>
                    <w:pageBreakBefore w:val="0"/>
                    <w:widowControl w:val="0"/>
                    <w:kinsoku/>
                    <w:wordWrap/>
                    <w:overflowPunct/>
                    <w:topLinePunct w:val="0"/>
                    <w:bidi w:val="0"/>
                    <w:jc w:val="center"/>
                    <w:rPr>
                      <w:kern w:val="0"/>
                      <w:sz w:val="21"/>
                      <w:szCs w:val="21"/>
                    </w:rPr>
                  </w:pPr>
                  <w:r>
                    <w:rPr>
                      <w:kern w:val="0"/>
                      <w:sz w:val="21"/>
                      <w:szCs w:val="21"/>
                    </w:rPr>
                    <w:t>环境</w:t>
                  </w:r>
                </w:p>
              </w:tc>
              <w:tc>
                <w:tcPr>
                  <w:tcW w:w="435" w:type="pct"/>
                  <w:tcBorders>
                    <w:tl2br w:val="nil"/>
                    <w:tr2bl w:val="nil"/>
                  </w:tcBorders>
                  <w:noWrap w:val="0"/>
                  <w:vAlign w:val="center"/>
                </w:tcPr>
                <w:p>
                  <w:pPr>
                    <w:keepNext w:val="0"/>
                    <w:keepLines w:val="0"/>
                    <w:pageBreakBefore w:val="0"/>
                    <w:widowControl w:val="0"/>
                    <w:kinsoku/>
                    <w:wordWrap/>
                    <w:overflowPunct/>
                    <w:topLinePunct w:val="0"/>
                    <w:bidi w:val="0"/>
                    <w:jc w:val="center"/>
                    <w:rPr>
                      <w:bCs/>
                      <w:sz w:val="21"/>
                      <w:szCs w:val="21"/>
                    </w:rPr>
                  </w:pPr>
                  <w:r>
                    <w:rPr>
                      <w:rFonts w:hint="eastAsia"/>
                      <w:bCs/>
                      <w:sz w:val="21"/>
                      <w:szCs w:val="21"/>
                    </w:rPr>
                    <w:t>-</w:t>
                  </w:r>
                  <w:r>
                    <w:rPr>
                      <w:bCs/>
                      <w:sz w:val="21"/>
                      <w:szCs w:val="21"/>
                    </w:rPr>
                    <w:t>305</w:t>
                  </w:r>
                </w:p>
              </w:tc>
              <w:tc>
                <w:tcPr>
                  <w:tcW w:w="438" w:type="pct"/>
                  <w:tcBorders>
                    <w:tl2br w:val="nil"/>
                    <w:tr2bl w:val="nil"/>
                  </w:tcBorders>
                  <w:noWrap w:val="0"/>
                  <w:vAlign w:val="center"/>
                </w:tcPr>
                <w:p>
                  <w:pPr>
                    <w:keepNext w:val="0"/>
                    <w:keepLines w:val="0"/>
                    <w:pageBreakBefore w:val="0"/>
                    <w:widowControl w:val="0"/>
                    <w:kinsoku/>
                    <w:wordWrap/>
                    <w:overflowPunct/>
                    <w:topLinePunct w:val="0"/>
                    <w:bidi w:val="0"/>
                    <w:jc w:val="center"/>
                    <w:rPr>
                      <w:bCs/>
                      <w:sz w:val="21"/>
                      <w:szCs w:val="21"/>
                    </w:rPr>
                  </w:pPr>
                  <w:r>
                    <w:rPr>
                      <w:rFonts w:hint="eastAsia"/>
                      <w:bCs/>
                      <w:sz w:val="21"/>
                      <w:szCs w:val="21"/>
                    </w:rPr>
                    <w:t>-</w:t>
                  </w:r>
                  <w:r>
                    <w:rPr>
                      <w:bCs/>
                      <w:sz w:val="21"/>
                      <w:szCs w:val="21"/>
                    </w:rPr>
                    <w:t>492</w:t>
                  </w:r>
                </w:p>
              </w:tc>
              <w:tc>
                <w:tcPr>
                  <w:tcW w:w="765" w:type="pct"/>
                  <w:tcBorders>
                    <w:tl2br w:val="nil"/>
                    <w:tr2bl w:val="nil"/>
                  </w:tcBorders>
                  <w:noWrap w:val="0"/>
                  <w:vAlign w:val="center"/>
                </w:tcPr>
                <w:p>
                  <w:pPr>
                    <w:keepNext w:val="0"/>
                    <w:keepLines w:val="0"/>
                    <w:pageBreakBefore w:val="0"/>
                    <w:widowControl w:val="0"/>
                    <w:kinsoku/>
                    <w:wordWrap/>
                    <w:overflowPunct/>
                    <w:topLinePunct w:val="0"/>
                    <w:bidi w:val="0"/>
                    <w:spacing w:line="300" w:lineRule="exact"/>
                    <w:jc w:val="center"/>
                    <w:rPr>
                      <w:sz w:val="21"/>
                      <w:szCs w:val="21"/>
                    </w:rPr>
                  </w:pPr>
                  <w:r>
                    <w:rPr>
                      <w:rFonts w:hint="eastAsia"/>
                      <w:sz w:val="21"/>
                      <w:szCs w:val="21"/>
                    </w:rPr>
                    <w:t>河北村</w:t>
                  </w:r>
                </w:p>
              </w:tc>
              <w:tc>
                <w:tcPr>
                  <w:tcW w:w="683" w:type="pct"/>
                  <w:tcBorders>
                    <w:tl2br w:val="nil"/>
                    <w:tr2bl w:val="nil"/>
                  </w:tcBorders>
                  <w:noWrap w:val="0"/>
                  <w:vAlign w:val="center"/>
                </w:tcPr>
                <w:p>
                  <w:pPr>
                    <w:keepNext w:val="0"/>
                    <w:keepLines w:val="0"/>
                    <w:pageBreakBefore w:val="0"/>
                    <w:widowControl w:val="0"/>
                    <w:kinsoku/>
                    <w:wordWrap/>
                    <w:overflowPunct/>
                    <w:topLinePunct w:val="0"/>
                    <w:bidi w:val="0"/>
                    <w:spacing w:line="300" w:lineRule="exact"/>
                    <w:jc w:val="center"/>
                    <w:rPr>
                      <w:sz w:val="21"/>
                      <w:szCs w:val="21"/>
                    </w:rPr>
                  </w:pPr>
                  <w:r>
                    <w:rPr>
                      <w:rFonts w:hint="eastAsia"/>
                      <w:sz w:val="21"/>
                      <w:szCs w:val="21"/>
                    </w:rPr>
                    <w:t>约</w:t>
                  </w:r>
                  <w:r>
                    <w:rPr>
                      <w:sz w:val="21"/>
                      <w:szCs w:val="21"/>
                    </w:rPr>
                    <w:t>2000</w:t>
                  </w:r>
                  <w:r>
                    <w:rPr>
                      <w:rFonts w:hint="eastAsia"/>
                      <w:sz w:val="21"/>
                      <w:szCs w:val="21"/>
                    </w:rPr>
                    <w:t>人</w:t>
                  </w:r>
                </w:p>
              </w:tc>
              <w:tc>
                <w:tcPr>
                  <w:tcW w:w="1055" w:type="pct"/>
                  <w:vMerge w:val="restart"/>
                  <w:tcBorders>
                    <w:tl2br w:val="nil"/>
                    <w:tr2bl w:val="nil"/>
                  </w:tcBorders>
                  <w:noWrap w:val="0"/>
                  <w:vAlign w:val="center"/>
                </w:tcPr>
                <w:p>
                  <w:pPr>
                    <w:keepNext w:val="0"/>
                    <w:keepLines w:val="0"/>
                    <w:pageBreakBefore w:val="0"/>
                    <w:widowControl w:val="0"/>
                    <w:kinsoku/>
                    <w:wordWrap/>
                    <w:overflowPunct/>
                    <w:topLinePunct w:val="0"/>
                    <w:bidi w:val="0"/>
                    <w:jc w:val="center"/>
                    <w:rPr>
                      <w:bCs/>
                      <w:sz w:val="21"/>
                      <w:szCs w:val="21"/>
                    </w:rPr>
                  </w:pPr>
                  <w:r>
                    <w:rPr>
                      <w:sz w:val="21"/>
                      <w:szCs w:val="21"/>
                    </w:rPr>
                    <w:t>GB3095-2012二级标准</w:t>
                  </w:r>
                </w:p>
              </w:tc>
              <w:tc>
                <w:tcPr>
                  <w:tcW w:w="518" w:type="pct"/>
                  <w:tcBorders>
                    <w:tl2br w:val="nil"/>
                    <w:tr2bl w:val="nil"/>
                  </w:tcBorders>
                  <w:noWrap w:val="0"/>
                  <w:vAlign w:val="center"/>
                </w:tcPr>
                <w:p>
                  <w:pPr>
                    <w:keepNext w:val="0"/>
                    <w:keepLines w:val="0"/>
                    <w:pageBreakBefore w:val="0"/>
                    <w:widowControl w:val="0"/>
                    <w:kinsoku/>
                    <w:wordWrap/>
                    <w:overflowPunct/>
                    <w:topLinePunct w:val="0"/>
                    <w:bidi w:val="0"/>
                    <w:spacing w:line="300" w:lineRule="exact"/>
                    <w:jc w:val="center"/>
                    <w:rPr>
                      <w:sz w:val="21"/>
                      <w:szCs w:val="21"/>
                    </w:rPr>
                  </w:pPr>
                  <w:r>
                    <w:rPr>
                      <w:rFonts w:hint="eastAsia"/>
                      <w:sz w:val="21"/>
                      <w:szCs w:val="21"/>
                    </w:rPr>
                    <w:t>SW</w:t>
                  </w:r>
                </w:p>
              </w:tc>
              <w:tc>
                <w:tcPr>
                  <w:tcW w:w="675" w:type="pct"/>
                  <w:tcBorders>
                    <w:tl2br w:val="nil"/>
                    <w:tr2bl w:val="nil"/>
                  </w:tcBorders>
                  <w:noWrap w:val="0"/>
                  <w:vAlign w:val="center"/>
                </w:tcPr>
                <w:p>
                  <w:pPr>
                    <w:keepNext w:val="0"/>
                    <w:keepLines w:val="0"/>
                    <w:pageBreakBefore w:val="0"/>
                    <w:widowControl w:val="0"/>
                    <w:kinsoku/>
                    <w:wordWrap/>
                    <w:overflowPunct/>
                    <w:topLinePunct w:val="0"/>
                    <w:bidi w:val="0"/>
                    <w:spacing w:line="300" w:lineRule="exact"/>
                    <w:jc w:val="center"/>
                    <w:rPr>
                      <w:sz w:val="21"/>
                      <w:szCs w:val="21"/>
                    </w:rPr>
                  </w:pPr>
                  <w:r>
                    <w:rPr>
                      <w:rFonts w:hint="eastAsia"/>
                      <w:sz w:val="21"/>
                      <w:szCs w:val="21"/>
                    </w:rPr>
                    <w:t>约</w:t>
                  </w:r>
                  <w:r>
                    <w:rPr>
                      <w:rFonts w:hint="eastAsia"/>
                      <w:sz w:val="21"/>
                      <w:szCs w:val="21"/>
                      <w:lang w:val="en-US" w:eastAsia="zh-CN"/>
                    </w:rPr>
                    <w:t>1</w:t>
                  </w:r>
                  <w:r>
                    <w:rPr>
                      <w:sz w:val="21"/>
                      <w:szCs w:val="21"/>
                    </w:rPr>
                    <w:t>8</w:t>
                  </w:r>
                  <w:r>
                    <w:rPr>
                      <w:rFonts w:hint="eastAsia"/>
                      <w:sz w:val="21"/>
                      <w:szCs w:val="21"/>
                    </w:rPr>
                    <w:t>0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8"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kern w:val="0"/>
                      <w:sz w:val="21"/>
                      <w:szCs w:val="21"/>
                    </w:rPr>
                  </w:pPr>
                </w:p>
              </w:tc>
              <w:tc>
                <w:tcPr>
                  <w:tcW w:w="435" w:type="pct"/>
                  <w:tcBorders>
                    <w:tl2br w:val="nil"/>
                    <w:tr2bl w:val="nil"/>
                  </w:tcBorders>
                  <w:noWrap w:val="0"/>
                  <w:vAlign w:val="center"/>
                </w:tcPr>
                <w:p>
                  <w:pPr>
                    <w:keepNext w:val="0"/>
                    <w:keepLines w:val="0"/>
                    <w:pageBreakBefore w:val="0"/>
                    <w:widowControl w:val="0"/>
                    <w:kinsoku/>
                    <w:wordWrap/>
                    <w:overflowPunct/>
                    <w:topLinePunct w:val="0"/>
                    <w:bidi w:val="0"/>
                    <w:jc w:val="center"/>
                    <w:rPr>
                      <w:bCs/>
                      <w:sz w:val="21"/>
                      <w:szCs w:val="21"/>
                    </w:rPr>
                  </w:pPr>
                  <w:r>
                    <w:rPr>
                      <w:bCs/>
                      <w:sz w:val="21"/>
                      <w:szCs w:val="21"/>
                    </w:rPr>
                    <w:t>5</w:t>
                  </w:r>
                </w:p>
              </w:tc>
              <w:tc>
                <w:tcPr>
                  <w:tcW w:w="438" w:type="pct"/>
                  <w:tcBorders>
                    <w:tl2br w:val="nil"/>
                    <w:tr2bl w:val="nil"/>
                  </w:tcBorders>
                  <w:noWrap w:val="0"/>
                  <w:vAlign w:val="center"/>
                </w:tcPr>
                <w:p>
                  <w:pPr>
                    <w:keepNext w:val="0"/>
                    <w:keepLines w:val="0"/>
                    <w:pageBreakBefore w:val="0"/>
                    <w:widowControl w:val="0"/>
                    <w:kinsoku/>
                    <w:wordWrap/>
                    <w:overflowPunct/>
                    <w:topLinePunct w:val="0"/>
                    <w:bidi w:val="0"/>
                    <w:jc w:val="center"/>
                    <w:rPr>
                      <w:bCs/>
                      <w:sz w:val="21"/>
                      <w:szCs w:val="21"/>
                    </w:rPr>
                  </w:pPr>
                  <w:r>
                    <w:rPr>
                      <w:rFonts w:hint="eastAsia"/>
                      <w:bCs/>
                      <w:sz w:val="21"/>
                      <w:szCs w:val="21"/>
                    </w:rPr>
                    <w:t>-</w:t>
                  </w:r>
                  <w:r>
                    <w:rPr>
                      <w:bCs/>
                      <w:sz w:val="21"/>
                      <w:szCs w:val="21"/>
                    </w:rPr>
                    <w:t>637</w:t>
                  </w:r>
                </w:p>
              </w:tc>
              <w:tc>
                <w:tcPr>
                  <w:tcW w:w="765" w:type="pct"/>
                  <w:tcBorders>
                    <w:tl2br w:val="nil"/>
                    <w:tr2bl w:val="nil"/>
                  </w:tcBorders>
                  <w:noWrap w:val="0"/>
                  <w:vAlign w:val="center"/>
                </w:tcPr>
                <w:p>
                  <w:pPr>
                    <w:keepNext w:val="0"/>
                    <w:keepLines w:val="0"/>
                    <w:pageBreakBefore w:val="0"/>
                    <w:widowControl w:val="0"/>
                    <w:kinsoku/>
                    <w:wordWrap/>
                    <w:overflowPunct/>
                    <w:topLinePunct w:val="0"/>
                    <w:bidi w:val="0"/>
                    <w:spacing w:line="300" w:lineRule="exact"/>
                    <w:jc w:val="center"/>
                    <w:rPr>
                      <w:rFonts w:hint="eastAsia"/>
                      <w:sz w:val="21"/>
                      <w:szCs w:val="21"/>
                    </w:rPr>
                  </w:pPr>
                  <w:r>
                    <w:rPr>
                      <w:rFonts w:hint="eastAsia"/>
                      <w:sz w:val="21"/>
                      <w:szCs w:val="21"/>
                    </w:rPr>
                    <w:t>高庄</w:t>
                  </w:r>
                </w:p>
              </w:tc>
              <w:tc>
                <w:tcPr>
                  <w:tcW w:w="683" w:type="pct"/>
                  <w:tcBorders>
                    <w:tl2br w:val="nil"/>
                    <w:tr2bl w:val="nil"/>
                  </w:tcBorders>
                  <w:noWrap w:val="0"/>
                  <w:vAlign w:val="center"/>
                </w:tcPr>
                <w:p>
                  <w:pPr>
                    <w:keepNext w:val="0"/>
                    <w:keepLines w:val="0"/>
                    <w:pageBreakBefore w:val="0"/>
                    <w:widowControl w:val="0"/>
                    <w:kinsoku/>
                    <w:wordWrap/>
                    <w:overflowPunct/>
                    <w:topLinePunct w:val="0"/>
                    <w:bidi w:val="0"/>
                    <w:spacing w:line="300" w:lineRule="exact"/>
                    <w:jc w:val="center"/>
                    <w:rPr>
                      <w:sz w:val="21"/>
                      <w:szCs w:val="21"/>
                    </w:rPr>
                  </w:pPr>
                  <w:r>
                    <w:rPr>
                      <w:rFonts w:hint="eastAsia"/>
                      <w:sz w:val="21"/>
                      <w:szCs w:val="21"/>
                    </w:rPr>
                    <w:t>约100人</w:t>
                  </w:r>
                </w:p>
              </w:tc>
              <w:tc>
                <w:tcPr>
                  <w:tcW w:w="1055" w:type="pct"/>
                  <w:vMerge w:val="continue"/>
                  <w:tcBorders>
                    <w:tl2br w:val="nil"/>
                    <w:tr2bl w:val="nil"/>
                  </w:tcBorders>
                  <w:noWrap w:val="0"/>
                  <w:vAlign w:val="center"/>
                </w:tcPr>
                <w:p>
                  <w:pPr>
                    <w:keepNext w:val="0"/>
                    <w:keepLines w:val="0"/>
                    <w:pageBreakBefore w:val="0"/>
                    <w:widowControl w:val="0"/>
                    <w:kinsoku/>
                    <w:wordWrap/>
                    <w:overflowPunct/>
                    <w:topLinePunct w:val="0"/>
                    <w:bidi w:val="0"/>
                    <w:jc w:val="center"/>
                    <w:rPr>
                      <w:bCs/>
                      <w:sz w:val="21"/>
                      <w:szCs w:val="21"/>
                    </w:rPr>
                  </w:pPr>
                </w:p>
              </w:tc>
              <w:tc>
                <w:tcPr>
                  <w:tcW w:w="518" w:type="pct"/>
                  <w:tcBorders>
                    <w:tl2br w:val="nil"/>
                    <w:tr2bl w:val="nil"/>
                  </w:tcBorders>
                  <w:noWrap w:val="0"/>
                  <w:vAlign w:val="center"/>
                </w:tcPr>
                <w:p>
                  <w:pPr>
                    <w:keepNext w:val="0"/>
                    <w:keepLines w:val="0"/>
                    <w:pageBreakBefore w:val="0"/>
                    <w:widowControl w:val="0"/>
                    <w:kinsoku/>
                    <w:wordWrap/>
                    <w:overflowPunct/>
                    <w:topLinePunct w:val="0"/>
                    <w:bidi w:val="0"/>
                    <w:spacing w:line="300" w:lineRule="exact"/>
                    <w:jc w:val="center"/>
                    <w:rPr>
                      <w:rFonts w:hint="eastAsia"/>
                      <w:sz w:val="21"/>
                      <w:szCs w:val="21"/>
                    </w:rPr>
                  </w:pPr>
                  <w:r>
                    <w:rPr>
                      <w:rFonts w:hint="eastAsia"/>
                      <w:sz w:val="21"/>
                      <w:szCs w:val="21"/>
                    </w:rPr>
                    <w:t>S</w:t>
                  </w:r>
                </w:p>
              </w:tc>
              <w:tc>
                <w:tcPr>
                  <w:tcW w:w="675" w:type="pct"/>
                  <w:tcBorders>
                    <w:tl2br w:val="nil"/>
                    <w:tr2bl w:val="nil"/>
                  </w:tcBorders>
                  <w:noWrap w:val="0"/>
                  <w:vAlign w:val="center"/>
                </w:tcPr>
                <w:p>
                  <w:pPr>
                    <w:keepNext w:val="0"/>
                    <w:keepLines w:val="0"/>
                    <w:pageBreakBefore w:val="0"/>
                    <w:widowControl w:val="0"/>
                    <w:kinsoku/>
                    <w:wordWrap/>
                    <w:overflowPunct/>
                    <w:topLinePunct w:val="0"/>
                    <w:bidi w:val="0"/>
                    <w:spacing w:line="300" w:lineRule="exact"/>
                    <w:jc w:val="center"/>
                    <w:rPr>
                      <w:sz w:val="21"/>
                      <w:szCs w:val="21"/>
                    </w:rPr>
                  </w:pPr>
                  <w:r>
                    <w:rPr>
                      <w:rFonts w:hint="eastAsia"/>
                      <w:sz w:val="21"/>
                      <w:szCs w:val="21"/>
                    </w:rPr>
                    <w:t>约</w:t>
                  </w:r>
                  <w:r>
                    <w:rPr>
                      <w:sz w:val="21"/>
                      <w:szCs w:val="21"/>
                    </w:rPr>
                    <w:t>40</w:t>
                  </w:r>
                  <w:r>
                    <w:rPr>
                      <w:rFonts w:hint="eastAsia"/>
                      <w:sz w:val="21"/>
                      <w:szCs w:val="21"/>
                    </w:rPr>
                    <w:t>0 m</w:t>
                  </w:r>
                </w:p>
              </w:tc>
            </w:tr>
          </w:tbl>
          <w:p>
            <w:pPr>
              <w:keepNext w:val="0"/>
              <w:keepLines w:val="0"/>
              <w:pageBreakBefore w:val="0"/>
              <w:widowControl w:val="0"/>
              <w:kinsoku/>
              <w:wordWrap/>
              <w:overflowPunct/>
              <w:topLinePunct w:val="0"/>
              <w:bidi w:val="0"/>
              <w:adjustRightInd w:val="0"/>
              <w:snapToGrid w:val="0"/>
              <w:jc w:val="center"/>
              <w:rPr>
                <w:rFonts w:ascii="宋体" w:hAnsi="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376" w:type="pct"/>
            <w:noWrap w:val="0"/>
            <w:tcMar>
              <w:left w:w="28" w:type="dxa"/>
              <w:right w:w="28" w:type="dxa"/>
            </w:tcMar>
            <w:vAlign w:val="center"/>
          </w:tcPr>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污染</w:t>
            </w:r>
          </w:p>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物排</w:t>
            </w:r>
          </w:p>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放控</w:t>
            </w:r>
          </w:p>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制标</w:t>
            </w:r>
          </w:p>
          <w:p>
            <w:pPr>
              <w:keepNext w:val="0"/>
              <w:keepLines w:val="0"/>
              <w:pageBreakBefore w:val="0"/>
              <w:widowControl w:val="0"/>
              <w:kinsoku/>
              <w:wordWrap/>
              <w:overflowPunct/>
              <w:topLinePunct w:val="0"/>
              <w:bidi w:val="0"/>
              <w:adjustRightInd w:val="0"/>
              <w:snapToGrid w:val="0"/>
              <w:jc w:val="center"/>
              <w:rPr>
                <w:rFonts w:ascii="宋体" w:hAnsi="宋体" w:cs="宋体"/>
                <w:kern w:val="0"/>
                <w:szCs w:val="21"/>
              </w:rPr>
            </w:pPr>
            <w:r>
              <w:rPr>
                <w:rFonts w:hint="eastAsia" w:ascii="宋体" w:hAnsi="宋体" w:cs="宋体"/>
                <w:b/>
                <w:kern w:val="0"/>
                <w:szCs w:val="21"/>
              </w:rPr>
              <w:t>准</w:t>
            </w:r>
          </w:p>
        </w:tc>
        <w:tc>
          <w:tcPr>
            <w:tcW w:w="4623"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bCs/>
              </w:rPr>
            </w:pPr>
            <w:r>
              <w:rPr>
                <w:b/>
                <w:bCs/>
              </w:rPr>
              <w:t>1、废气排放标准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sz w:val="24"/>
                <w:lang w:eastAsia="zh-CN"/>
              </w:rPr>
            </w:pPr>
            <w:r>
              <w:rPr>
                <w:rFonts w:hint="eastAsia"/>
                <w:color w:val="000000"/>
              </w:rPr>
              <w:t>本</w:t>
            </w:r>
            <w:r>
              <w:rPr>
                <w:color w:val="000000"/>
              </w:rPr>
              <w:t>项目</w:t>
            </w:r>
            <w:r>
              <w:rPr>
                <w:rFonts w:hint="eastAsia"/>
                <w:color w:val="000000"/>
              </w:rPr>
              <w:t>生产废气主要为</w:t>
            </w:r>
            <w:r>
              <w:rPr>
                <w:rFonts w:ascii="Times New Roman" w:eastAsia="Times New Roman"/>
                <w:b w:val="0"/>
                <w:bCs/>
                <w:sz w:val="24"/>
              </w:rPr>
              <w:t>PET</w:t>
            </w:r>
            <w:r>
              <w:rPr>
                <w:spacing w:val="-2"/>
                <w:sz w:val="24"/>
              </w:rPr>
              <w:t>塑料瓶</w:t>
            </w:r>
            <w:r>
              <w:rPr>
                <w:rFonts w:hint="eastAsia"/>
                <w:spacing w:val="-2"/>
                <w:sz w:val="24"/>
                <w:lang w:eastAsia="zh-CN"/>
              </w:rPr>
              <w:t>坯</w:t>
            </w:r>
            <w:r>
              <w:rPr>
                <w:rFonts w:hint="eastAsia"/>
                <w:spacing w:val="-2"/>
                <w:sz w:val="24"/>
                <w:lang w:val="en-US" w:eastAsia="zh-CN"/>
              </w:rPr>
              <w:t>加工工艺产生的非甲烷总烃，食堂烧菜产生的</w:t>
            </w:r>
            <w:r>
              <w:rPr>
                <w:bCs/>
              </w:rPr>
              <w:t>油烟废气</w:t>
            </w:r>
            <w:r>
              <w:rPr>
                <w:rFonts w:hint="eastAsia"/>
                <w:bCs/>
                <w:lang w:eastAsia="zh-CN"/>
              </w:rPr>
              <w:t>。</w:t>
            </w:r>
            <w:r>
              <w:rPr>
                <w:rFonts w:hint="eastAsia"/>
                <w:bCs/>
                <w:color w:val="000000"/>
                <w:sz w:val="24"/>
              </w:rPr>
              <w:t>项目废气非甲烷总烃执行《合成树脂工业污染物排放标准》（GB31572-2015）中表5中特别排放限值和表9中相关排放限值要求。挥发性有机物无组织排放的控制和管理执行《挥发性有机物无组织排放控制标准》（GB 37822-2019）中的相关要求。</w:t>
            </w:r>
            <w:r>
              <w:rPr>
                <w:bCs/>
              </w:rPr>
              <w:t>油烟废气执行《饮食业油烟排放标准（试行）》（GB18483-2001）</w:t>
            </w:r>
            <w:r>
              <w:rPr>
                <w:rFonts w:hint="eastAsia"/>
                <w:bCs/>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lang w:val="en-US" w:eastAsia="zh-CN"/>
              </w:rPr>
            </w:pPr>
            <w:r>
              <w:rPr>
                <w:rFonts w:hint="eastAsia"/>
                <w:sz w:val="24"/>
                <w:lang w:val="en-US" w:eastAsia="zh-CN"/>
              </w:rPr>
              <w:t>具体标准值见下表。</w:t>
            </w:r>
          </w:p>
          <w:p>
            <w:pPr>
              <w:keepNext w:val="0"/>
              <w:keepLines w:val="0"/>
              <w:pageBreakBefore w:val="0"/>
              <w:widowControl w:val="0"/>
              <w:numPr>
                <w:ilvl w:val="0"/>
                <w:numId w:val="0"/>
              </w:numPr>
              <w:tabs>
                <w:tab w:val="left" w:pos="420"/>
              </w:tabs>
              <w:kinsoku/>
              <w:wordWrap/>
              <w:overflowPunct/>
              <w:topLinePunct w:val="0"/>
              <w:bidi w:val="0"/>
              <w:spacing w:line="276" w:lineRule="auto"/>
              <w:ind w:leftChars="0"/>
              <w:jc w:val="center"/>
              <w:rPr>
                <w:b/>
                <w:color w:val="000000"/>
                <w:sz w:val="24"/>
              </w:rPr>
            </w:pPr>
            <w:r>
              <w:rPr>
                <w:rFonts w:hint="eastAsia"/>
                <w:b/>
                <w:color w:val="000000"/>
                <w:sz w:val="24"/>
                <w:lang w:val="en-US" w:eastAsia="zh-CN"/>
              </w:rPr>
              <w:t>表3-9 合成树脂工业污染物</w:t>
            </w:r>
            <w:r>
              <w:rPr>
                <w:b/>
                <w:bCs/>
                <w:color w:val="000000"/>
                <w:sz w:val="24"/>
              </w:rPr>
              <w:t>排放标准</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428"/>
              <w:gridCol w:w="1816"/>
              <w:gridCol w:w="1779"/>
              <w:gridCol w:w="22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912"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ascii="Times New Roman" w:hAnsi="Times New Roman"/>
                      <w:b/>
                      <w:bCs w:val="0"/>
                      <w:color w:val="000000"/>
                      <w:szCs w:val="21"/>
                    </w:rPr>
                  </w:pPr>
                  <w:r>
                    <w:rPr>
                      <w:rFonts w:ascii="Times New Roman" w:hAnsi="Times New Roman"/>
                      <w:b/>
                      <w:bCs w:val="0"/>
                      <w:color w:val="000000"/>
                      <w:szCs w:val="21"/>
                    </w:rPr>
                    <w:t>污染物项目</w:t>
                  </w:r>
                </w:p>
              </w:tc>
              <w:tc>
                <w:tcPr>
                  <w:tcW w:w="80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ascii="Times New Roman" w:hAnsi="Times New Roman"/>
                      <w:b/>
                      <w:bCs w:val="0"/>
                      <w:color w:val="000000"/>
                      <w:szCs w:val="21"/>
                    </w:rPr>
                  </w:pPr>
                  <w:r>
                    <w:rPr>
                      <w:rFonts w:ascii="Times New Roman" w:hAnsi="Times New Roman"/>
                      <w:b/>
                      <w:bCs w:val="0"/>
                      <w:color w:val="000000"/>
                      <w:szCs w:val="21"/>
                    </w:rPr>
                    <w:t>排放限值</w:t>
                  </w:r>
                  <w:r>
                    <w:rPr>
                      <w:rFonts w:hint="eastAsia" w:ascii="Times New Roman" w:hAnsi="Times New Roman"/>
                      <w:b/>
                      <w:bCs w:val="0"/>
                      <w:color w:val="000000"/>
                      <w:szCs w:val="21"/>
                      <w:lang w:eastAsia="zh-CN"/>
                    </w:rPr>
                    <w:t>（</w:t>
                  </w:r>
                  <w:r>
                    <w:rPr>
                      <w:rFonts w:hint="eastAsia" w:ascii="Times New Roman" w:hAnsi="Times New Roman"/>
                      <w:b/>
                      <w:bCs w:val="0"/>
                      <w:color w:val="000000"/>
                      <w:szCs w:val="21"/>
                      <w:lang w:val="en-US" w:eastAsia="zh-CN"/>
                    </w:rPr>
                    <w:t>mg/m</w:t>
                  </w:r>
                  <w:r>
                    <w:rPr>
                      <w:rFonts w:hint="eastAsia" w:ascii="Times New Roman" w:hAnsi="Times New Roman"/>
                      <w:b/>
                      <w:bCs w:val="0"/>
                      <w:color w:val="000000"/>
                      <w:szCs w:val="21"/>
                      <w:vertAlign w:val="superscript"/>
                      <w:lang w:val="en-US" w:eastAsia="zh-CN"/>
                    </w:rPr>
                    <w:t>3</w:t>
                  </w:r>
                  <w:r>
                    <w:rPr>
                      <w:rFonts w:hint="eastAsia" w:ascii="Times New Roman" w:hAnsi="Times New Roman"/>
                      <w:b/>
                      <w:bCs w:val="0"/>
                      <w:color w:val="000000"/>
                      <w:szCs w:val="21"/>
                      <w:lang w:eastAsia="zh-CN"/>
                    </w:rPr>
                    <w:t>）</w:t>
                  </w:r>
                </w:p>
              </w:tc>
              <w:tc>
                <w:tcPr>
                  <w:tcW w:w="10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ascii="Times New Roman" w:hAnsi="Times New Roman"/>
                      <w:b/>
                      <w:bCs w:val="0"/>
                      <w:color w:val="000000"/>
                      <w:szCs w:val="21"/>
                    </w:rPr>
                  </w:pPr>
                  <w:r>
                    <w:rPr>
                      <w:rFonts w:ascii="Times New Roman" w:hAnsi="Times New Roman"/>
                      <w:b/>
                      <w:bCs w:val="0"/>
                      <w:color w:val="000000"/>
                      <w:szCs w:val="21"/>
                    </w:rPr>
                    <w:t>适用的合成树脂类型</w:t>
                  </w:r>
                </w:p>
              </w:tc>
              <w:tc>
                <w:tcPr>
                  <w:tcW w:w="100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ascii="Times New Roman" w:hAnsi="Times New Roman"/>
                      <w:b/>
                      <w:bCs w:val="0"/>
                      <w:color w:val="000000"/>
                      <w:szCs w:val="21"/>
                    </w:rPr>
                  </w:pPr>
                  <w:r>
                    <w:rPr>
                      <w:rFonts w:ascii="Times New Roman" w:hAnsi="Times New Roman"/>
                      <w:b/>
                      <w:bCs w:val="0"/>
                      <w:color w:val="000000"/>
                      <w:szCs w:val="21"/>
                    </w:rPr>
                    <w:t>污染物排放监控位置</w:t>
                  </w:r>
                </w:p>
              </w:tc>
              <w:tc>
                <w:tcPr>
                  <w:tcW w:w="125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eastAsia" w:ascii="Times New Roman" w:hAnsi="Times New Roman" w:eastAsia="宋体"/>
                      <w:b/>
                      <w:bCs w:val="0"/>
                      <w:color w:val="000000"/>
                      <w:szCs w:val="21"/>
                      <w:lang w:eastAsia="zh-CN"/>
                    </w:rPr>
                  </w:pPr>
                  <w:r>
                    <w:rPr>
                      <w:rFonts w:ascii="Times New Roman" w:hAnsi="Times New Roman"/>
                      <w:b/>
                      <w:bCs w:val="0"/>
                      <w:color w:val="000000"/>
                      <w:szCs w:val="21"/>
                    </w:rPr>
                    <w:t>企业边界大气污染物浓度限值</w:t>
                  </w:r>
                  <w:r>
                    <w:rPr>
                      <w:rFonts w:hint="eastAsia" w:ascii="Times New Roman" w:hAnsi="Times New Roman"/>
                      <w:b/>
                      <w:bCs w:val="0"/>
                      <w:color w:val="000000"/>
                      <w:szCs w:val="21"/>
                      <w:lang w:eastAsia="zh-CN"/>
                    </w:rPr>
                    <w:t>（</w:t>
                  </w:r>
                  <w:r>
                    <w:rPr>
                      <w:rFonts w:hint="eastAsia" w:ascii="Times New Roman" w:hAnsi="Times New Roman"/>
                      <w:b/>
                      <w:bCs w:val="0"/>
                      <w:color w:val="000000"/>
                      <w:szCs w:val="21"/>
                      <w:lang w:val="en-US" w:eastAsia="zh-CN"/>
                    </w:rPr>
                    <w:t>mg/m</w:t>
                  </w:r>
                  <w:r>
                    <w:rPr>
                      <w:rFonts w:hint="eastAsia" w:ascii="Times New Roman" w:hAnsi="Times New Roman"/>
                      <w:b/>
                      <w:bCs w:val="0"/>
                      <w:color w:val="000000"/>
                      <w:szCs w:val="21"/>
                      <w:vertAlign w:val="superscript"/>
                      <w:lang w:val="en-US" w:eastAsia="zh-CN"/>
                    </w:rPr>
                    <w:t>3</w:t>
                  </w:r>
                  <w:r>
                    <w:rPr>
                      <w:rFonts w:hint="eastAsia" w:ascii="Times New Roman" w:hAnsi="Times New Roman"/>
                      <w:b/>
                      <w:bCs w:val="0"/>
                      <w:color w:val="000000"/>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ascii="Times New Roman" w:hAnsi="Times New Roman"/>
                      <w:bCs/>
                      <w:color w:val="000000"/>
                      <w:szCs w:val="21"/>
                    </w:rPr>
                  </w:pPr>
                  <w:r>
                    <w:rPr>
                      <w:rFonts w:ascii="Times New Roman" w:hAnsi="Times New Roman"/>
                      <w:bCs/>
                      <w:color w:val="000000"/>
                      <w:szCs w:val="21"/>
                    </w:rPr>
                    <w:t>非甲烷总烃</w:t>
                  </w:r>
                </w:p>
              </w:tc>
              <w:tc>
                <w:tcPr>
                  <w:tcW w:w="80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ascii="Times New Roman" w:hAnsi="Times New Roman"/>
                      <w:bCs/>
                      <w:color w:val="000000"/>
                      <w:szCs w:val="21"/>
                    </w:rPr>
                  </w:pPr>
                  <w:r>
                    <w:rPr>
                      <w:rFonts w:ascii="Times New Roman" w:hAnsi="Times New Roman"/>
                      <w:bCs/>
                      <w:color w:val="000000"/>
                      <w:szCs w:val="21"/>
                    </w:rPr>
                    <w:t>60</w:t>
                  </w:r>
                </w:p>
              </w:tc>
              <w:tc>
                <w:tcPr>
                  <w:tcW w:w="10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ascii="Times New Roman" w:hAnsi="Times New Roman"/>
                      <w:bCs/>
                      <w:color w:val="000000"/>
                      <w:szCs w:val="21"/>
                    </w:rPr>
                  </w:pPr>
                  <w:r>
                    <w:rPr>
                      <w:rFonts w:ascii="Times New Roman" w:hAnsi="Times New Roman"/>
                      <w:bCs/>
                      <w:color w:val="000000"/>
                      <w:szCs w:val="21"/>
                    </w:rPr>
                    <w:t>所有合成树脂</w:t>
                  </w:r>
                </w:p>
              </w:tc>
              <w:tc>
                <w:tcPr>
                  <w:tcW w:w="1003" w:type="pct"/>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ascii="Times New Roman" w:hAnsi="Times New Roman"/>
                      <w:bCs/>
                      <w:color w:val="000000"/>
                      <w:szCs w:val="21"/>
                    </w:rPr>
                  </w:pPr>
                  <w:r>
                    <w:rPr>
                      <w:rFonts w:ascii="Times New Roman" w:hAnsi="Times New Roman"/>
                      <w:bCs/>
                      <w:color w:val="000000"/>
                      <w:szCs w:val="21"/>
                    </w:rPr>
                    <w:t>车间或生产设施排气筒</w:t>
                  </w:r>
                </w:p>
              </w:tc>
              <w:tc>
                <w:tcPr>
                  <w:tcW w:w="125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ascii="Times New Roman" w:hAnsi="Times New Roman"/>
                      <w:bCs/>
                      <w:color w:val="000000"/>
                      <w:szCs w:val="21"/>
                    </w:rPr>
                  </w:pPr>
                  <w:r>
                    <w:rPr>
                      <w:rFonts w:ascii="Times New Roman" w:hAnsi="Times New Roman"/>
                      <w:bCs/>
                      <w:color w:val="000000"/>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bCs/>
                      <w:color w:val="000000"/>
                      <w:kern w:val="2"/>
                      <w:sz w:val="21"/>
                      <w:szCs w:val="21"/>
                      <w:lang w:val="en-US" w:eastAsia="zh-CN" w:bidi="ar-SA"/>
                    </w:rPr>
                  </w:pPr>
                  <w:r>
                    <w:rPr>
                      <w:rFonts w:hint="eastAsia" w:ascii="Times New Roman" w:hAnsi="Times New Roman"/>
                      <w:bCs/>
                      <w:color w:val="000000"/>
                      <w:szCs w:val="21"/>
                      <w:lang w:val="en-US" w:eastAsia="zh-CN"/>
                    </w:rPr>
                    <w:t>单位产品非甲烷总烃排放量（kg/t产品）</w:t>
                  </w:r>
                </w:p>
              </w:tc>
              <w:tc>
                <w:tcPr>
                  <w:tcW w:w="805"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bCs/>
                      <w:color w:val="000000"/>
                      <w:kern w:val="2"/>
                      <w:sz w:val="21"/>
                      <w:szCs w:val="21"/>
                      <w:lang w:val="en-US" w:eastAsia="zh-CN" w:bidi="ar-SA"/>
                    </w:rPr>
                  </w:pPr>
                  <w:r>
                    <w:rPr>
                      <w:rFonts w:hint="eastAsia" w:ascii="Times New Roman" w:hAnsi="Times New Roman"/>
                      <w:bCs/>
                      <w:color w:val="000000"/>
                      <w:szCs w:val="21"/>
                      <w:lang w:val="en-US" w:eastAsia="zh-CN"/>
                    </w:rPr>
                    <w:t>0.3</w:t>
                  </w:r>
                </w:p>
              </w:tc>
              <w:tc>
                <w:tcPr>
                  <w:tcW w:w="1024"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bCs/>
                      <w:color w:val="000000"/>
                      <w:kern w:val="2"/>
                      <w:sz w:val="21"/>
                      <w:szCs w:val="21"/>
                      <w:highlight w:val="yellow"/>
                      <w:lang w:val="en-US" w:eastAsia="zh-CN" w:bidi="ar-SA"/>
                    </w:rPr>
                  </w:pPr>
                  <w:r>
                    <w:rPr>
                      <w:rFonts w:hint="eastAsia" w:ascii="Times New Roman" w:hAnsi="Times New Roman"/>
                      <w:bCs/>
                      <w:color w:val="000000"/>
                      <w:szCs w:val="21"/>
                      <w:highlight w:val="none"/>
                      <w:lang w:val="en-US" w:eastAsia="zh-CN"/>
                    </w:rPr>
                    <w:t>所有合成树脂（有机硅树脂除外）</w:t>
                  </w:r>
                </w:p>
              </w:tc>
              <w:tc>
                <w:tcPr>
                  <w:tcW w:w="1003" w:type="pct"/>
                  <w:vMerge w:val="continue"/>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ascii="Times New Roman" w:hAnsi="Times New Roman"/>
                      <w:bCs/>
                      <w:color w:val="000000"/>
                      <w:szCs w:val="21"/>
                    </w:rPr>
                  </w:pPr>
                </w:p>
              </w:tc>
              <w:tc>
                <w:tcPr>
                  <w:tcW w:w="1253" w:type="pc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eastAsia"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w:t>
                  </w:r>
                </w:p>
              </w:tc>
            </w:tr>
          </w:tbl>
          <w:p>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before="157" w:beforeLines="50" w:line="240" w:lineRule="auto"/>
              <w:ind w:leftChars="0"/>
              <w:jc w:val="center"/>
              <w:textAlignment w:val="auto"/>
              <w:rPr>
                <w:b/>
                <w:color w:val="000000"/>
                <w:sz w:val="24"/>
              </w:rPr>
            </w:pPr>
            <w:r>
              <w:rPr>
                <w:rFonts w:hint="eastAsia"/>
                <w:b/>
                <w:color w:val="000000"/>
                <w:sz w:val="24"/>
                <w:lang w:val="en-US" w:eastAsia="zh-CN"/>
              </w:rPr>
              <w:t xml:space="preserve">表3-10 </w:t>
            </w:r>
            <w:r>
              <w:rPr>
                <w:b/>
                <w:color w:val="000000"/>
                <w:sz w:val="24"/>
              </w:rPr>
              <w:t>厂区内</w:t>
            </w:r>
            <w:r>
              <w:rPr>
                <w:rFonts w:ascii="Times New Roman" w:hAnsi="Times New Roman" w:eastAsia="宋体" w:cs="Times New Roman"/>
                <w:b/>
                <w:color w:val="000000"/>
                <w:sz w:val="24"/>
              </w:rPr>
              <w:t>挥发性有机物无组织排放控制标准</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493"/>
              <w:gridCol w:w="2553"/>
              <w:gridCol w:w="1427"/>
              <w:gridCol w:w="2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b/>
                      <w:bCs w:val="0"/>
                      <w:color w:val="000000"/>
                      <w:sz w:val="21"/>
                    </w:rPr>
                  </w:pPr>
                  <w:r>
                    <w:rPr>
                      <w:rFonts w:ascii="Times New Roman" w:hAnsi="Times New Roman" w:cs="Times New Roman"/>
                      <w:b/>
                      <w:bCs w:val="0"/>
                      <w:color w:val="000000"/>
                      <w:sz w:val="21"/>
                    </w:rPr>
                    <w:t>污染物项目</w:t>
                  </w:r>
                </w:p>
              </w:tc>
              <w:tc>
                <w:tcPr>
                  <w:tcW w:w="842"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b/>
                      <w:bCs w:val="0"/>
                      <w:color w:val="000000"/>
                      <w:sz w:val="21"/>
                    </w:rPr>
                  </w:pPr>
                  <w:r>
                    <w:rPr>
                      <w:rFonts w:ascii="Times New Roman" w:hAnsi="Times New Roman" w:cs="Times New Roman"/>
                      <w:b/>
                      <w:bCs w:val="0"/>
                      <w:color w:val="000000"/>
                      <w:sz w:val="21"/>
                    </w:rPr>
                    <w:t>特别排放限值</w:t>
                  </w:r>
                  <w:r>
                    <w:rPr>
                      <w:rFonts w:hint="eastAsia" w:ascii="Times New Roman" w:hAnsi="Times New Roman"/>
                      <w:b/>
                      <w:bCs w:val="0"/>
                      <w:color w:val="000000"/>
                      <w:sz w:val="21"/>
                      <w:szCs w:val="24"/>
                      <w:lang w:eastAsia="zh-CN"/>
                    </w:rPr>
                    <w:t>（</w:t>
                  </w:r>
                  <w:r>
                    <w:rPr>
                      <w:rFonts w:hint="eastAsia" w:ascii="Times New Roman" w:hAnsi="Times New Roman"/>
                      <w:b/>
                      <w:bCs w:val="0"/>
                      <w:color w:val="000000"/>
                      <w:sz w:val="21"/>
                      <w:szCs w:val="24"/>
                      <w:lang w:val="en-US" w:eastAsia="zh-CN"/>
                    </w:rPr>
                    <w:t>mg/m</w:t>
                  </w:r>
                  <w:r>
                    <w:rPr>
                      <w:rFonts w:hint="eastAsia" w:ascii="Times New Roman" w:hAnsi="Times New Roman"/>
                      <w:b/>
                      <w:bCs w:val="0"/>
                      <w:color w:val="000000"/>
                      <w:sz w:val="21"/>
                      <w:szCs w:val="24"/>
                      <w:vertAlign w:val="superscript"/>
                      <w:lang w:val="en-US" w:eastAsia="zh-CN"/>
                    </w:rPr>
                    <w:t>3</w:t>
                  </w:r>
                  <w:r>
                    <w:rPr>
                      <w:rFonts w:hint="eastAsia" w:ascii="Times New Roman" w:hAnsi="Times New Roman"/>
                      <w:b/>
                      <w:bCs w:val="0"/>
                      <w:color w:val="000000"/>
                      <w:sz w:val="21"/>
                      <w:szCs w:val="24"/>
                      <w:lang w:eastAsia="zh-CN"/>
                    </w:rPr>
                    <w:t>）</w:t>
                  </w:r>
                </w:p>
              </w:tc>
              <w:tc>
                <w:tcPr>
                  <w:tcW w:w="1440"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b/>
                      <w:bCs w:val="0"/>
                      <w:color w:val="000000"/>
                      <w:sz w:val="21"/>
                    </w:rPr>
                  </w:pPr>
                  <w:r>
                    <w:rPr>
                      <w:rFonts w:ascii="Times New Roman" w:hAnsi="Times New Roman" w:cs="Times New Roman"/>
                      <w:b/>
                      <w:bCs w:val="0"/>
                      <w:color w:val="000000"/>
                      <w:sz w:val="21"/>
                    </w:rPr>
                    <w:t>限值含义</w:t>
                  </w:r>
                </w:p>
              </w:tc>
              <w:tc>
                <w:tcPr>
                  <w:tcW w:w="80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b/>
                      <w:bCs w:val="0"/>
                      <w:color w:val="000000"/>
                      <w:sz w:val="21"/>
                    </w:rPr>
                  </w:pPr>
                  <w:r>
                    <w:rPr>
                      <w:rFonts w:ascii="Times New Roman" w:hAnsi="Times New Roman" w:cs="Times New Roman"/>
                      <w:b/>
                      <w:bCs w:val="0"/>
                      <w:color w:val="000000"/>
                      <w:sz w:val="21"/>
                    </w:rPr>
                    <w:t>无组织排放监控位置</w:t>
                  </w:r>
                </w:p>
              </w:tc>
              <w:tc>
                <w:tcPr>
                  <w:tcW w:w="1191"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b/>
                      <w:bCs w:val="0"/>
                      <w:color w:val="000000"/>
                      <w:sz w:val="21"/>
                    </w:rPr>
                  </w:pPr>
                  <w:r>
                    <w:rPr>
                      <w:rFonts w:ascii="Times New Roman" w:hAnsi="Times New Roman" w:cs="Times New Roman"/>
                      <w:b/>
                      <w:bCs w:val="0"/>
                      <w:color w:val="000000"/>
                      <w:sz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pct"/>
                  <w:vMerge w:val="restar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sz w:val="21"/>
                    </w:rPr>
                  </w:pPr>
                  <w:r>
                    <w:rPr>
                      <w:rFonts w:ascii="Times New Roman" w:hAnsi="Times New Roman" w:cs="Times New Roman"/>
                      <w:color w:val="000000"/>
                      <w:sz w:val="21"/>
                    </w:rPr>
                    <w:t>NMHC</w:t>
                  </w:r>
                </w:p>
              </w:tc>
              <w:tc>
                <w:tcPr>
                  <w:tcW w:w="842"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sz w:val="21"/>
                    </w:rPr>
                  </w:pPr>
                  <w:r>
                    <w:rPr>
                      <w:rFonts w:ascii="Times New Roman" w:hAnsi="Times New Roman" w:cs="Times New Roman"/>
                      <w:color w:val="000000"/>
                      <w:sz w:val="21"/>
                    </w:rPr>
                    <w:t>6</w:t>
                  </w:r>
                </w:p>
              </w:tc>
              <w:tc>
                <w:tcPr>
                  <w:tcW w:w="1440"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sz w:val="21"/>
                    </w:rPr>
                  </w:pPr>
                  <w:r>
                    <w:rPr>
                      <w:rFonts w:ascii="Times New Roman" w:hAnsi="Times New Roman" w:cs="Times New Roman"/>
                      <w:color w:val="000000"/>
                      <w:sz w:val="21"/>
                    </w:rPr>
                    <w:t>监控点处1h平均浓度值</w:t>
                  </w:r>
                </w:p>
              </w:tc>
              <w:tc>
                <w:tcPr>
                  <w:tcW w:w="805" w:type="pct"/>
                  <w:vMerge w:val="restar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sz w:val="21"/>
                    </w:rPr>
                  </w:pPr>
                  <w:r>
                    <w:rPr>
                      <w:rFonts w:ascii="Times New Roman" w:hAnsi="Times New Roman" w:cs="Times New Roman"/>
                      <w:color w:val="000000"/>
                      <w:sz w:val="21"/>
                    </w:rPr>
                    <w:t>在厂房外设置监控点</w:t>
                  </w:r>
                </w:p>
              </w:tc>
              <w:tc>
                <w:tcPr>
                  <w:tcW w:w="1191" w:type="pct"/>
                  <w:vMerge w:val="restar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sz w:val="21"/>
                    </w:rPr>
                  </w:pPr>
                  <w:r>
                    <w:rPr>
                      <w:rFonts w:ascii="Times New Roman" w:hAnsi="Times New Roman" w:cs="Times New Roman"/>
                      <w:color w:val="000000"/>
                      <w:sz w:val="21"/>
                    </w:rPr>
                    <w:t>《挥发性有机物无组织排放控制标准》（GB37822-2019）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719" w:type="pct"/>
                  <w:vMerge w:val="continue"/>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FF"/>
                      <w:sz w:val="21"/>
                    </w:rPr>
                  </w:pPr>
                </w:p>
              </w:tc>
              <w:tc>
                <w:tcPr>
                  <w:tcW w:w="842"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sz w:val="21"/>
                    </w:rPr>
                  </w:pPr>
                  <w:r>
                    <w:rPr>
                      <w:rFonts w:ascii="Times New Roman" w:hAnsi="Times New Roman" w:cs="Times New Roman"/>
                      <w:color w:val="000000"/>
                      <w:sz w:val="21"/>
                    </w:rPr>
                    <w:t>20</w:t>
                  </w:r>
                </w:p>
              </w:tc>
              <w:tc>
                <w:tcPr>
                  <w:tcW w:w="1440"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sz w:val="21"/>
                    </w:rPr>
                  </w:pPr>
                  <w:r>
                    <w:rPr>
                      <w:rFonts w:ascii="Times New Roman" w:hAnsi="Times New Roman" w:cs="Times New Roman"/>
                      <w:color w:val="000000"/>
                      <w:sz w:val="21"/>
                    </w:rPr>
                    <w:t>监控点处任意一次浓度值</w:t>
                  </w:r>
                </w:p>
              </w:tc>
              <w:tc>
                <w:tcPr>
                  <w:tcW w:w="805" w:type="pct"/>
                  <w:vMerge w:val="continue"/>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sz w:val="21"/>
                    </w:rPr>
                  </w:pPr>
                </w:p>
              </w:tc>
              <w:tc>
                <w:tcPr>
                  <w:tcW w:w="1191" w:type="pct"/>
                  <w:vMerge w:val="continue"/>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sz w:val="21"/>
                    </w:rPr>
                  </w:pPr>
                </w:p>
              </w:tc>
            </w:tr>
          </w:tbl>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b/>
                <w:bCs/>
              </w:rPr>
            </w:pPr>
            <w:r>
              <w:rPr>
                <w:rFonts w:hint="eastAsia"/>
                <w:b/>
                <w:bCs/>
              </w:rPr>
              <w:t>表3-</w:t>
            </w:r>
            <w:r>
              <w:rPr>
                <w:rFonts w:hint="eastAsia"/>
                <w:b/>
                <w:bCs/>
                <w:lang w:val="en-US" w:eastAsia="zh-CN"/>
              </w:rPr>
              <w:t>11</w:t>
            </w:r>
            <w:r>
              <w:rPr>
                <w:rFonts w:hint="eastAsia"/>
                <w:b/>
                <w:bCs/>
              </w:rPr>
              <w:t xml:space="preserve"> 油烟</w:t>
            </w:r>
            <w:r>
              <w:rPr>
                <w:b/>
                <w:bCs/>
              </w:rPr>
              <w:t>废气排放标准 单位：mg/m</w:t>
            </w:r>
            <w:r>
              <w:rPr>
                <w:b/>
                <w:bCs/>
                <w:vertAlign w:val="superscript"/>
              </w:rPr>
              <w:t>3</w:t>
            </w:r>
          </w:p>
          <w:tbl>
            <w:tblPr>
              <w:tblStyle w:val="21"/>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37"/>
              <w:gridCol w:w="1850"/>
              <w:gridCol w:w="1817"/>
              <w:gridCol w:w="1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b/>
                      <w:bCs/>
                      <w:sz w:val="21"/>
                      <w:szCs w:val="21"/>
                    </w:rPr>
                  </w:pPr>
                  <w:r>
                    <w:rPr>
                      <w:rFonts w:hint="eastAsia"/>
                      <w:b/>
                      <w:bCs/>
                      <w:sz w:val="21"/>
                      <w:szCs w:val="21"/>
                    </w:rPr>
                    <w:t>规模</w:t>
                  </w:r>
                </w:p>
              </w:tc>
              <w:tc>
                <w:tcPr>
                  <w:tcW w:w="104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b/>
                      <w:bCs/>
                      <w:sz w:val="21"/>
                      <w:szCs w:val="21"/>
                    </w:rPr>
                  </w:pPr>
                  <w:r>
                    <w:rPr>
                      <w:rFonts w:hint="eastAsia"/>
                      <w:b/>
                      <w:bCs/>
                      <w:sz w:val="21"/>
                      <w:szCs w:val="21"/>
                    </w:rPr>
                    <w:t>小型</w:t>
                  </w:r>
                </w:p>
              </w:tc>
              <w:tc>
                <w:tcPr>
                  <w:tcW w:w="102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b/>
                      <w:bCs/>
                      <w:sz w:val="21"/>
                      <w:szCs w:val="21"/>
                    </w:rPr>
                  </w:pPr>
                  <w:r>
                    <w:rPr>
                      <w:rFonts w:hint="eastAsia"/>
                      <w:b/>
                      <w:bCs/>
                      <w:sz w:val="21"/>
                      <w:szCs w:val="21"/>
                    </w:rPr>
                    <w:t>中型</w:t>
                  </w:r>
                </w:p>
              </w:tc>
              <w:tc>
                <w:tcPr>
                  <w:tcW w:w="99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rFonts w:hint="eastAsia"/>
                      <w:b/>
                      <w:bCs/>
                      <w:sz w:val="21"/>
                      <w:szCs w:val="21"/>
                    </w:rPr>
                  </w:pPr>
                  <w:r>
                    <w:rPr>
                      <w:rFonts w:hint="eastAsia"/>
                      <w:b/>
                      <w:bCs/>
                      <w:sz w:val="21"/>
                      <w:szCs w:val="21"/>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基准灶头数</w:t>
                  </w:r>
                </w:p>
              </w:tc>
              <w:tc>
                <w:tcPr>
                  <w:tcW w:w="104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≥1，＜3</w:t>
                  </w:r>
                </w:p>
              </w:tc>
              <w:tc>
                <w:tcPr>
                  <w:tcW w:w="102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≥3，＜6</w:t>
                  </w:r>
                </w:p>
              </w:tc>
              <w:tc>
                <w:tcPr>
                  <w:tcW w:w="99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最高允许排放浓度（mg/m</w:t>
                  </w:r>
                  <w:r>
                    <w:rPr>
                      <w:sz w:val="21"/>
                      <w:szCs w:val="21"/>
                      <w:vertAlign w:val="superscript"/>
                    </w:rPr>
                    <w:t>3</w:t>
                  </w:r>
                  <w:r>
                    <w:rPr>
                      <w:sz w:val="21"/>
                      <w:szCs w:val="21"/>
                    </w:rPr>
                    <w:t>）</w:t>
                  </w:r>
                </w:p>
              </w:tc>
              <w:tc>
                <w:tcPr>
                  <w:tcW w:w="3060" w:type="pct"/>
                  <w:gridSpan w:val="3"/>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净化设施最低去除率（%）</w:t>
                  </w:r>
                </w:p>
              </w:tc>
              <w:tc>
                <w:tcPr>
                  <w:tcW w:w="1044"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60</w:t>
                  </w:r>
                </w:p>
              </w:tc>
              <w:tc>
                <w:tcPr>
                  <w:tcW w:w="102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75</w:t>
                  </w:r>
                </w:p>
              </w:tc>
              <w:tc>
                <w:tcPr>
                  <w:tcW w:w="99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jc w:val="center"/>
                    <w:rPr>
                      <w:sz w:val="21"/>
                      <w:szCs w:val="21"/>
                    </w:rPr>
                  </w:pPr>
                  <w:r>
                    <w:rPr>
                      <w:sz w:val="21"/>
                      <w:szCs w:val="21"/>
                    </w:rPr>
                    <w:t>85</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sz w:val="21"/>
                <w:szCs w:val="21"/>
              </w:rPr>
            </w:pPr>
            <w:r>
              <w:rPr>
                <w:sz w:val="21"/>
                <w:szCs w:val="21"/>
              </w:rPr>
              <w:t>注：本项目</w:t>
            </w:r>
            <w:r>
              <w:rPr>
                <w:rFonts w:hint="eastAsia"/>
                <w:sz w:val="21"/>
                <w:szCs w:val="21"/>
                <w:lang w:val="en-US" w:eastAsia="zh-CN"/>
              </w:rPr>
              <w:t>食堂</w:t>
            </w:r>
            <w:r>
              <w:rPr>
                <w:sz w:val="21"/>
                <w:szCs w:val="21"/>
              </w:rPr>
              <w:t>灶头</w:t>
            </w:r>
            <w:r>
              <w:rPr>
                <w:rFonts w:hint="eastAsia"/>
                <w:sz w:val="21"/>
                <w:szCs w:val="21"/>
              </w:rPr>
              <w:t>数</w:t>
            </w:r>
            <w:r>
              <w:rPr>
                <w:rFonts w:hint="eastAsia"/>
                <w:sz w:val="21"/>
                <w:szCs w:val="21"/>
                <w:lang w:val="en-US" w:eastAsia="zh-CN"/>
              </w:rPr>
              <w:t>为2个</w:t>
            </w:r>
            <w:r>
              <w:rPr>
                <w:color w:val="auto"/>
                <w:sz w:val="21"/>
                <w:szCs w:val="21"/>
              </w:rPr>
              <w:t>，执行</w:t>
            </w:r>
            <w:r>
              <w:rPr>
                <w:rFonts w:hint="eastAsia"/>
                <w:color w:val="auto"/>
                <w:sz w:val="21"/>
                <w:szCs w:val="21"/>
                <w:lang w:val="en-US" w:eastAsia="zh-CN"/>
              </w:rPr>
              <w:t>小</w:t>
            </w:r>
            <w:r>
              <w:rPr>
                <w:color w:val="auto"/>
                <w:sz w:val="21"/>
                <w:szCs w:val="21"/>
              </w:rPr>
              <w:t>型</w:t>
            </w:r>
            <w:r>
              <w:rPr>
                <w:sz w:val="21"/>
                <w:szCs w:val="21"/>
              </w:rPr>
              <w:t>标准；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rPr>
            </w:pPr>
            <w:r>
              <w:rPr>
                <w:b/>
                <w:bCs/>
              </w:rPr>
              <w:t>2、废水排放标准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t>本项目</w:t>
            </w:r>
            <w:r>
              <w:rPr>
                <w:rFonts w:hint="eastAsia"/>
              </w:rPr>
              <w:t>生活污水</w:t>
            </w:r>
            <w:r>
              <w:rPr>
                <w:rFonts w:hint="eastAsia"/>
                <w:lang w:eastAsia="zh-CN"/>
              </w:rPr>
              <w:t>、</w:t>
            </w:r>
            <w:r>
              <w:rPr>
                <w:rFonts w:hint="eastAsia"/>
                <w:lang w:val="en-US" w:eastAsia="zh-CN"/>
              </w:rPr>
              <w:t>经隔油池预处理的食堂废水、</w:t>
            </w:r>
            <w:r>
              <w:t>生产废水</w:t>
            </w:r>
            <w:r>
              <w:rPr>
                <w:rFonts w:hint="eastAsia"/>
                <w:lang w:eastAsia="zh-CN"/>
              </w:rPr>
              <w:t>、</w:t>
            </w:r>
            <w:r>
              <w:rPr>
                <w:rFonts w:hint="eastAsia"/>
                <w:lang w:val="en-US" w:eastAsia="zh-CN"/>
              </w:rPr>
              <w:t>由厂区总排口排入</w:t>
            </w:r>
            <w:r>
              <w:rPr>
                <w:spacing w:val="-2"/>
              </w:rPr>
              <w:t>园区污水管网</w:t>
            </w:r>
            <w:r>
              <w:rPr>
                <w:rFonts w:hint="eastAsia"/>
                <w:spacing w:val="-2"/>
                <w:lang w:eastAsia="zh-CN"/>
              </w:rPr>
              <w:t>，</w:t>
            </w:r>
            <w:r>
              <w:rPr>
                <w:spacing w:val="-2"/>
              </w:rPr>
              <w:t>经园区污水管网进入</w:t>
            </w:r>
            <w:r>
              <w:rPr>
                <w:rFonts w:hint="eastAsia"/>
              </w:rPr>
              <w:t>信息产业园</w:t>
            </w:r>
            <w:r>
              <w:t>污水处理</w:t>
            </w:r>
            <w:r>
              <w:rPr>
                <w:rFonts w:hint="eastAsia"/>
              </w:rPr>
              <w:t>厂</w:t>
            </w:r>
            <w:r>
              <w:t>处理。项目废水接管标准执行《污水综合排放标准》（GB8978-1996）三级标准及</w:t>
            </w:r>
            <w:r>
              <w:rPr>
                <w:rFonts w:hint="eastAsia"/>
              </w:rPr>
              <w:t>信息产业园</w:t>
            </w:r>
            <w:r>
              <w:t>污水处理</w:t>
            </w:r>
            <w:r>
              <w:rPr>
                <w:rFonts w:hint="eastAsia"/>
              </w:rPr>
              <w:t>厂</w:t>
            </w:r>
            <w:r>
              <w:t>接管标准，其中总磷、总氮指标参照执行GB/T31962-2015《污水排入城镇下水道水质标准》表1中B等级标准</w:t>
            </w:r>
            <w:r>
              <w:rPr>
                <w:rFonts w:hint="eastAsia"/>
              </w:rPr>
              <w:t>；信息产业园</w:t>
            </w:r>
            <w:r>
              <w:t>污水处理</w:t>
            </w:r>
            <w:r>
              <w:rPr>
                <w:rFonts w:hint="eastAsia"/>
              </w:rPr>
              <w:t>厂</w:t>
            </w:r>
            <w:r>
              <w:t>尾水排放执行《城镇污水处理厂污染物排放标准》</w:t>
            </w:r>
            <w:r>
              <w:rPr>
                <w:rFonts w:hint="eastAsia"/>
                <w:lang w:eastAsia="zh-CN"/>
              </w:rPr>
              <w:t>（</w:t>
            </w:r>
            <w:r>
              <w:t>GB18918-2002</w:t>
            </w:r>
            <w:r>
              <w:rPr>
                <w:rFonts w:hint="eastAsia"/>
                <w:lang w:eastAsia="zh-CN"/>
              </w:rPr>
              <w:t>）</w:t>
            </w:r>
            <w:r>
              <w:t>中表1一级A标准。</w:t>
            </w:r>
          </w:p>
          <w:p>
            <w:pPr>
              <w:pStyle w:val="38"/>
              <w:keepNext w:val="0"/>
              <w:keepLines w:val="0"/>
              <w:pageBreakBefore w:val="0"/>
              <w:widowControl w:val="0"/>
              <w:kinsoku/>
              <w:wordWrap/>
              <w:overflowPunct/>
              <w:topLinePunct w:val="0"/>
              <w:bidi w:val="0"/>
              <w:spacing w:line="360" w:lineRule="auto"/>
              <w:ind w:firstLine="480"/>
              <w:rPr>
                <w:color w:val="000000"/>
              </w:rPr>
            </w:pPr>
            <w:r>
              <w:rPr>
                <w:color w:val="000000"/>
              </w:rPr>
              <w:t>具体标准值见下表。</w:t>
            </w:r>
          </w:p>
          <w:p>
            <w:pPr>
              <w:keepNext w:val="0"/>
              <w:keepLines w:val="0"/>
              <w:pageBreakBefore w:val="0"/>
              <w:widowControl w:val="0"/>
              <w:tabs>
                <w:tab w:val="left" w:pos="420"/>
              </w:tabs>
              <w:kinsoku/>
              <w:wordWrap/>
              <w:overflowPunct/>
              <w:topLinePunct w:val="0"/>
              <w:autoSpaceDE/>
              <w:autoSpaceDN/>
              <w:bidi w:val="0"/>
              <w:adjustRightInd/>
              <w:snapToGrid/>
              <w:spacing w:line="240" w:lineRule="auto"/>
              <w:jc w:val="center"/>
              <w:textAlignment w:val="auto"/>
              <w:rPr>
                <w:b/>
                <w:color w:val="000000"/>
              </w:rPr>
            </w:pPr>
            <w:r>
              <w:rPr>
                <w:rFonts w:hint="eastAsia"/>
                <w:b/>
                <w:color w:val="000000"/>
              </w:rPr>
              <w:t>表3-</w:t>
            </w:r>
            <w:r>
              <w:rPr>
                <w:rFonts w:hint="eastAsia"/>
                <w:b/>
                <w:color w:val="000000"/>
                <w:lang w:val="en-US" w:eastAsia="zh-CN"/>
              </w:rPr>
              <w:t xml:space="preserve">12 </w:t>
            </w:r>
            <w:r>
              <w:rPr>
                <w:b/>
                <w:color w:val="000000"/>
              </w:rPr>
              <w:t xml:space="preserve">废水排放标准 </w:t>
            </w:r>
            <w:r>
              <w:rPr>
                <w:rFonts w:hint="eastAsia"/>
                <w:b/>
                <w:color w:val="000000"/>
              </w:rPr>
              <w:t xml:space="preserve"> </w:t>
            </w:r>
            <w:r>
              <w:rPr>
                <w:b/>
                <w:color w:val="000000"/>
              </w:rPr>
              <w:t>单位</w:t>
            </w:r>
            <w:r>
              <w:rPr>
                <w:rFonts w:hint="eastAsia"/>
                <w:b/>
                <w:color w:val="000000"/>
              </w:rPr>
              <w:t>：</w:t>
            </w:r>
            <w:r>
              <w:rPr>
                <w:b/>
                <w:color w:val="000000"/>
              </w:rPr>
              <w:t>mg/L（pH</w:t>
            </w:r>
            <w:r>
              <w:rPr>
                <w:rFonts w:hint="eastAsia"/>
                <w:b/>
                <w:color w:val="000000"/>
              </w:rPr>
              <w:t>无量纲</w:t>
            </w:r>
            <w:r>
              <w:rPr>
                <w:b/>
                <w:color w:val="000000"/>
              </w:rPr>
              <w:t>）</w:t>
            </w:r>
          </w:p>
          <w:tbl>
            <w:tblPr>
              <w:tblStyle w:val="2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2303"/>
              <w:gridCol w:w="770"/>
              <w:gridCol w:w="812"/>
              <w:gridCol w:w="871"/>
              <w:gridCol w:w="862"/>
              <w:gridCol w:w="950"/>
              <w:gridCol w:w="819"/>
              <w:gridCol w:w="732"/>
              <w:gridCol w:w="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299"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b/>
                      <w:bCs/>
                      <w:sz w:val="21"/>
                      <w:szCs w:val="21"/>
                    </w:rPr>
                  </w:pPr>
                  <w:r>
                    <w:rPr>
                      <w:rFonts w:hAnsi="宋体"/>
                      <w:b/>
                      <w:bCs/>
                      <w:sz w:val="21"/>
                      <w:szCs w:val="21"/>
                    </w:rPr>
                    <w:t>标准类别</w:t>
                  </w:r>
                </w:p>
              </w:tc>
              <w:tc>
                <w:tcPr>
                  <w:tcW w:w="434"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pH</w:t>
                  </w:r>
                </w:p>
              </w:tc>
              <w:tc>
                <w:tcPr>
                  <w:tcW w:w="458"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COD</w:t>
                  </w:r>
                </w:p>
              </w:tc>
              <w:tc>
                <w:tcPr>
                  <w:tcW w:w="491"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BOD</w:t>
                  </w:r>
                  <w:r>
                    <w:rPr>
                      <w:b/>
                      <w:bCs/>
                      <w:sz w:val="21"/>
                      <w:szCs w:val="21"/>
                      <w:vertAlign w:val="subscript"/>
                    </w:rPr>
                    <w:t>5</w:t>
                  </w:r>
                </w:p>
              </w:tc>
              <w:tc>
                <w:tcPr>
                  <w:tcW w:w="486"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b/>
                      <w:bCs/>
                      <w:sz w:val="21"/>
                      <w:szCs w:val="21"/>
                    </w:rPr>
                  </w:pPr>
                  <w:r>
                    <w:rPr>
                      <w:b/>
                      <w:bCs/>
                      <w:sz w:val="21"/>
                      <w:szCs w:val="21"/>
                    </w:rPr>
                    <w:t>SS</w:t>
                  </w:r>
                </w:p>
              </w:tc>
              <w:tc>
                <w:tcPr>
                  <w:tcW w:w="536"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b/>
                      <w:bCs/>
                      <w:sz w:val="21"/>
                      <w:szCs w:val="21"/>
                    </w:rPr>
                  </w:pPr>
                  <w:r>
                    <w:rPr>
                      <w:rFonts w:hAnsi="宋体"/>
                      <w:b/>
                      <w:bCs/>
                      <w:sz w:val="21"/>
                      <w:szCs w:val="21"/>
                    </w:rPr>
                    <w:t>氨氮</w:t>
                  </w:r>
                </w:p>
              </w:tc>
              <w:tc>
                <w:tcPr>
                  <w:tcW w:w="462"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b/>
                      <w:bCs/>
                      <w:sz w:val="21"/>
                      <w:szCs w:val="21"/>
                    </w:rPr>
                  </w:pPr>
                  <w:r>
                    <w:rPr>
                      <w:rFonts w:hAnsi="宋体"/>
                      <w:b/>
                      <w:bCs/>
                      <w:sz w:val="21"/>
                      <w:szCs w:val="21"/>
                    </w:rPr>
                    <w:t>总磷</w:t>
                  </w:r>
                </w:p>
              </w:tc>
              <w:tc>
                <w:tcPr>
                  <w:tcW w:w="413"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eastAsia" w:eastAsia="宋体"/>
                      <w:b/>
                      <w:bCs/>
                      <w:sz w:val="21"/>
                      <w:szCs w:val="21"/>
                      <w:lang w:val="en-US" w:eastAsia="zh-CN"/>
                    </w:rPr>
                  </w:pPr>
                  <w:r>
                    <w:rPr>
                      <w:rFonts w:hint="eastAsia"/>
                      <w:b/>
                      <w:bCs/>
                      <w:sz w:val="21"/>
                      <w:szCs w:val="21"/>
                      <w:lang w:val="en-US" w:eastAsia="zh-CN"/>
                    </w:rPr>
                    <w:t>总氮</w:t>
                  </w:r>
                </w:p>
              </w:tc>
              <w:tc>
                <w:tcPr>
                  <w:tcW w:w="417"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Ansi="宋体"/>
                      <w:b/>
                      <w:bCs/>
                      <w:sz w:val="21"/>
                      <w:szCs w:val="21"/>
                    </w:rPr>
                  </w:pPr>
                  <w:r>
                    <w:rPr>
                      <w:rFonts w:hAnsi="宋体"/>
                      <w:b/>
                      <w:bCs/>
                      <w:sz w:val="21"/>
                      <w:szCs w:val="21"/>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299"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Ansi="宋体"/>
                      <w:sz w:val="21"/>
                      <w:szCs w:val="21"/>
                    </w:rPr>
                  </w:pPr>
                  <w:r>
                    <w:rPr>
                      <w:rFonts w:hint="eastAsia" w:hAnsi="宋体"/>
                      <w:sz w:val="21"/>
                      <w:szCs w:val="21"/>
                      <w:lang w:val="en-US" w:eastAsia="zh-CN"/>
                    </w:rPr>
                    <w:t>园区</w:t>
                  </w:r>
                  <w:r>
                    <w:rPr>
                      <w:rFonts w:hAnsi="宋体"/>
                      <w:sz w:val="21"/>
                      <w:szCs w:val="21"/>
                    </w:rPr>
                    <w:t>污水处理厂</w:t>
                  </w:r>
                </w:p>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rFonts w:hAnsi="宋体"/>
                      <w:sz w:val="21"/>
                      <w:szCs w:val="21"/>
                    </w:rPr>
                    <w:t>接管限值</w:t>
                  </w:r>
                </w:p>
              </w:tc>
              <w:tc>
                <w:tcPr>
                  <w:tcW w:w="434"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6~9</w:t>
                  </w:r>
                </w:p>
              </w:tc>
              <w:tc>
                <w:tcPr>
                  <w:tcW w:w="458"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25</w:t>
                  </w:r>
                  <w:r>
                    <w:rPr>
                      <w:sz w:val="21"/>
                      <w:szCs w:val="21"/>
                    </w:rPr>
                    <w:t>0</w:t>
                  </w:r>
                </w:p>
              </w:tc>
              <w:tc>
                <w:tcPr>
                  <w:tcW w:w="491"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1</w:t>
                  </w:r>
                  <w:r>
                    <w:rPr>
                      <w:rFonts w:hint="eastAsia"/>
                      <w:sz w:val="21"/>
                      <w:szCs w:val="21"/>
                      <w:lang w:val="en-US" w:eastAsia="zh-CN"/>
                    </w:rPr>
                    <w:t>5</w:t>
                  </w:r>
                  <w:r>
                    <w:rPr>
                      <w:sz w:val="21"/>
                      <w:szCs w:val="21"/>
                    </w:rPr>
                    <w:t>0</w:t>
                  </w:r>
                </w:p>
              </w:tc>
              <w:tc>
                <w:tcPr>
                  <w:tcW w:w="486"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20</w:t>
                  </w:r>
                  <w:r>
                    <w:rPr>
                      <w:sz w:val="21"/>
                      <w:szCs w:val="21"/>
                    </w:rPr>
                    <w:t>0</w:t>
                  </w:r>
                </w:p>
              </w:tc>
              <w:tc>
                <w:tcPr>
                  <w:tcW w:w="536"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sz w:val="21"/>
                      <w:szCs w:val="21"/>
                    </w:rPr>
                    <w:t>3</w:t>
                  </w:r>
                  <w:r>
                    <w:rPr>
                      <w:rFonts w:hint="eastAsia"/>
                      <w:sz w:val="21"/>
                      <w:szCs w:val="21"/>
                      <w:lang w:val="en-US" w:eastAsia="zh-CN"/>
                    </w:rPr>
                    <w:t>5</w:t>
                  </w:r>
                </w:p>
              </w:tc>
              <w:tc>
                <w:tcPr>
                  <w:tcW w:w="462"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w:t>
                  </w:r>
                </w:p>
              </w:tc>
              <w:tc>
                <w:tcPr>
                  <w:tcW w:w="413"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417"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299"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rFonts w:hAnsi="宋体"/>
                      <w:sz w:val="21"/>
                      <w:szCs w:val="21"/>
                    </w:rPr>
                    <w:t>《污水综合排放标准》（</w:t>
                  </w:r>
                  <w:r>
                    <w:rPr>
                      <w:sz w:val="21"/>
                      <w:szCs w:val="21"/>
                    </w:rPr>
                    <w:t>GB8978-1996</w:t>
                  </w:r>
                  <w:r>
                    <w:rPr>
                      <w:rFonts w:hAnsi="宋体"/>
                      <w:sz w:val="21"/>
                      <w:szCs w:val="21"/>
                    </w:rPr>
                    <w:t>）中的三级标准</w:t>
                  </w:r>
                </w:p>
              </w:tc>
              <w:tc>
                <w:tcPr>
                  <w:tcW w:w="434"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458"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491"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486"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536"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462"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413"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100</w:t>
                  </w:r>
                </w:p>
              </w:tc>
              <w:tc>
                <w:tcPr>
                  <w:tcW w:w="417"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2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sz w:val="21"/>
                      <w:szCs w:val="21"/>
                    </w:rPr>
                    <w:t>《污水排入城镇下水道水质标准》（GB/T31962-2015）表1中B级标准</w:t>
                  </w:r>
                </w:p>
              </w:tc>
              <w:tc>
                <w:tcPr>
                  <w:tcW w:w="434"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458"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491"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486"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536"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p>
              </w:tc>
              <w:tc>
                <w:tcPr>
                  <w:tcW w:w="462"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8</w:t>
                  </w:r>
                </w:p>
              </w:tc>
              <w:tc>
                <w:tcPr>
                  <w:tcW w:w="413"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70</w:t>
                  </w:r>
                </w:p>
              </w:tc>
              <w:tc>
                <w:tcPr>
                  <w:tcW w:w="417"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667" w:hRule="atLeast"/>
              </w:trPr>
              <w:tc>
                <w:tcPr>
                  <w:tcW w:w="1299" w:type="pct"/>
                  <w:tcBorders>
                    <w:tl2br w:val="nil"/>
                    <w:tr2bl w:val="nil"/>
                  </w:tcBorders>
                  <w:shd w:val="clear" w:color="auto" w:fill="D8D8D8"/>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rFonts w:hAnsi="宋体"/>
                      <w:sz w:val="21"/>
                      <w:szCs w:val="21"/>
                    </w:rPr>
                    <w:t>本项目执行标准</w:t>
                  </w:r>
                </w:p>
              </w:tc>
              <w:tc>
                <w:tcPr>
                  <w:tcW w:w="434" w:type="pct"/>
                  <w:tcBorders>
                    <w:tl2br w:val="nil"/>
                    <w:tr2bl w:val="nil"/>
                  </w:tcBorders>
                  <w:shd w:val="clear" w:color="auto" w:fill="D8D8D8"/>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6~9</w:t>
                  </w:r>
                </w:p>
              </w:tc>
              <w:tc>
                <w:tcPr>
                  <w:tcW w:w="458" w:type="pct"/>
                  <w:tcBorders>
                    <w:tl2br w:val="nil"/>
                    <w:tr2bl w:val="nil"/>
                  </w:tcBorders>
                  <w:shd w:val="clear" w:color="auto" w:fill="D8D8D8"/>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25</w:t>
                  </w:r>
                  <w:r>
                    <w:rPr>
                      <w:sz w:val="21"/>
                      <w:szCs w:val="21"/>
                    </w:rPr>
                    <w:t>0</w:t>
                  </w:r>
                </w:p>
              </w:tc>
              <w:tc>
                <w:tcPr>
                  <w:tcW w:w="491" w:type="pct"/>
                  <w:tcBorders>
                    <w:tl2br w:val="nil"/>
                    <w:tr2bl w:val="nil"/>
                  </w:tcBorders>
                  <w:shd w:val="clear" w:color="auto" w:fill="D8D8D8"/>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1</w:t>
                  </w:r>
                  <w:r>
                    <w:rPr>
                      <w:rFonts w:hint="eastAsia"/>
                      <w:sz w:val="21"/>
                      <w:szCs w:val="21"/>
                      <w:lang w:val="en-US" w:eastAsia="zh-CN"/>
                    </w:rPr>
                    <w:t>5</w:t>
                  </w:r>
                  <w:r>
                    <w:rPr>
                      <w:sz w:val="21"/>
                      <w:szCs w:val="21"/>
                    </w:rPr>
                    <w:t>0</w:t>
                  </w:r>
                </w:p>
              </w:tc>
              <w:tc>
                <w:tcPr>
                  <w:tcW w:w="486" w:type="pct"/>
                  <w:tcBorders>
                    <w:tl2br w:val="nil"/>
                    <w:tr2bl w:val="nil"/>
                  </w:tcBorders>
                  <w:shd w:val="clear" w:color="auto" w:fill="D8D8D8"/>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20</w:t>
                  </w:r>
                  <w:r>
                    <w:rPr>
                      <w:sz w:val="21"/>
                      <w:szCs w:val="21"/>
                    </w:rPr>
                    <w:t>0</w:t>
                  </w:r>
                </w:p>
              </w:tc>
              <w:tc>
                <w:tcPr>
                  <w:tcW w:w="536" w:type="pct"/>
                  <w:tcBorders>
                    <w:tl2br w:val="nil"/>
                    <w:tr2bl w:val="nil"/>
                  </w:tcBorders>
                  <w:shd w:val="clear" w:color="auto" w:fill="D8D8D8"/>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sz w:val="21"/>
                      <w:szCs w:val="21"/>
                    </w:rPr>
                    <w:t>3</w:t>
                  </w:r>
                  <w:r>
                    <w:rPr>
                      <w:rFonts w:hint="eastAsia"/>
                      <w:sz w:val="21"/>
                      <w:szCs w:val="21"/>
                      <w:lang w:val="en-US" w:eastAsia="zh-CN"/>
                    </w:rPr>
                    <w:t>5</w:t>
                  </w:r>
                </w:p>
              </w:tc>
              <w:tc>
                <w:tcPr>
                  <w:tcW w:w="462" w:type="pct"/>
                  <w:tcBorders>
                    <w:tl2br w:val="nil"/>
                    <w:tr2bl w:val="nil"/>
                  </w:tcBorders>
                  <w:shd w:val="clear" w:color="auto" w:fill="D8D8D8"/>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8</w:t>
                  </w:r>
                </w:p>
              </w:tc>
              <w:tc>
                <w:tcPr>
                  <w:tcW w:w="413" w:type="pct"/>
                  <w:tcBorders>
                    <w:tl2br w:val="nil"/>
                    <w:tr2bl w:val="nil"/>
                  </w:tcBorders>
                  <w:shd w:val="clear" w:color="auto" w:fill="D8D8D8"/>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70</w:t>
                  </w:r>
                </w:p>
              </w:tc>
              <w:tc>
                <w:tcPr>
                  <w:tcW w:w="417" w:type="pct"/>
                  <w:tcBorders>
                    <w:tl2br w:val="nil"/>
                    <w:tr2bl w:val="nil"/>
                  </w:tcBorders>
                  <w:shd w:val="clear" w:color="auto" w:fill="D8D8D8"/>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1299"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rFonts w:hAnsi="宋体"/>
                      <w:bCs/>
                      <w:sz w:val="21"/>
                      <w:szCs w:val="21"/>
                    </w:rPr>
                    <w:t>《城镇污水处理厂污染物排放标准》（</w:t>
                  </w:r>
                  <w:r>
                    <w:rPr>
                      <w:bCs/>
                      <w:sz w:val="21"/>
                      <w:szCs w:val="21"/>
                    </w:rPr>
                    <w:t>GB18918-2002</w:t>
                  </w:r>
                  <w:r>
                    <w:rPr>
                      <w:rFonts w:hAnsi="宋体"/>
                      <w:bCs/>
                      <w:sz w:val="21"/>
                      <w:szCs w:val="21"/>
                    </w:rPr>
                    <w:t>）一级</w:t>
                  </w:r>
                  <w:r>
                    <w:rPr>
                      <w:bCs/>
                      <w:sz w:val="21"/>
                      <w:szCs w:val="21"/>
                    </w:rPr>
                    <w:t>A</w:t>
                  </w:r>
                  <w:r>
                    <w:rPr>
                      <w:rFonts w:hAnsi="宋体"/>
                      <w:bCs/>
                      <w:sz w:val="21"/>
                      <w:szCs w:val="21"/>
                    </w:rPr>
                    <w:t>标准</w:t>
                  </w:r>
                </w:p>
              </w:tc>
              <w:tc>
                <w:tcPr>
                  <w:tcW w:w="434"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6~9</w:t>
                  </w:r>
                </w:p>
              </w:tc>
              <w:tc>
                <w:tcPr>
                  <w:tcW w:w="458"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50</w:t>
                  </w:r>
                </w:p>
              </w:tc>
              <w:tc>
                <w:tcPr>
                  <w:tcW w:w="491"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10</w:t>
                  </w:r>
                </w:p>
              </w:tc>
              <w:tc>
                <w:tcPr>
                  <w:tcW w:w="486"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10</w:t>
                  </w:r>
                </w:p>
              </w:tc>
              <w:tc>
                <w:tcPr>
                  <w:tcW w:w="536"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5</w:t>
                  </w:r>
                  <w:r>
                    <w:rPr>
                      <w:rFonts w:hAnsi="宋体"/>
                      <w:sz w:val="21"/>
                      <w:szCs w:val="21"/>
                    </w:rPr>
                    <w:t>（</w:t>
                  </w:r>
                  <w:r>
                    <w:rPr>
                      <w:sz w:val="21"/>
                      <w:szCs w:val="21"/>
                    </w:rPr>
                    <w:t>8</w:t>
                  </w:r>
                  <w:r>
                    <w:rPr>
                      <w:rFonts w:hAnsi="宋体"/>
                      <w:sz w:val="21"/>
                      <w:szCs w:val="21"/>
                    </w:rPr>
                    <w:t>）</w:t>
                  </w:r>
                </w:p>
              </w:tc>
              <w:tc>
                <w:tcPr>
                  <w:tcW w:w="462"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0.5</w:t>
                  </w:r>
                </w:p>
              </w:tc>
              <w:tc>
                <w:tcPr>
                  <w:tcW w:w="413"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sz w:val="21"/>
                      <w:szCs w:val="21"/>
                    </w:rPr>
                    <w:t>1</w:t>
                  </w:r>
                  <w:r>
                    <w:rPr>
                      <w:rFonts w:hint="eastAsia"/>
                      <w:sz w:val="21"/>
                      <w:szCs w:val="21"/>
                      <w:lang w:val="en-US" w:eastAsia="zh-CN"/>
                    </w:rPr>
                    <w:t>5</w:t>
                  </w:r>
                </w:p>
              </w:tc>
              <w:tc>
                <w:tcPr>
                  <w:tcW w:w="417" w:type="pct"/>
                  <w:tcBorders>
                    <w:tl2br w:val="nil"/>
                    <w:tr2bl w:val="nil"/>
                  </w:tcBorders>
                  <w:noWrap w:val="0"/>
                  <w:vAlign w:val="center"/>
                </w:tcPr>
                <w:p>
                  <w:pPr>
                    <w:keepNext w:val="0"/>
                    <w:keepLines w:val="0"/>
                    <w:pageBreakBefore w:val="0"/>
                    <w:widowControl w:val="0"/>
                    <w:tabs>
                      <w:tab w:val="left" w:pos="324"/>
                    </w:tabs>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1</w:t>
                  </w:r>
                </w:p>
              </w:tc>
            </w:tr>
          </w:tbl>
          <w:p>
            <w:pPr>
              <w:pStyle w:val="10"/>
              <w:keepNext w:val="0"/>
              <w:keepLines w:val="0"/>
              <w:pageBreakBefore w:val="0"/>
              <w:kinsoku/>
              <w:wordWrap/>
              <w:overflowPunct/>
              <w:topLinePunct w:val="0"/>
              <w:autoSpaceDE/>
              <w:autoSpaceDN/>
              <w:bidi w:val="0"/>
              <w:adjustRightInd w:val="0"/>
              <w:snapToGrid w:val="0"/>
              <w:spacing w:line="480" w:lineRule="exact"/>
              <w:jc w:val="left"/>
              <w:textAlignment w:val="auto"/>
              <w:rPr>
                <w:b/>
                <w:bCs/>
                <w:color w:val="000000"/>
                <w:sz w:val="24"/>
                <w:szCs w:val="24"/>
              </w:rPr>
            </w:pPr>
            <w:r>
              <w:rPr>
                <w:b/>
                <w:bCs/>
                <w:color w:val="000000"/>
                <w:sz w:val="24"/>
                <w:szCs w:val="24"/>
              </w:rPr>
              <w:t>3、噪声排放标准</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pPr>
            <w:r>
              <w:t>项目运营期厂界噪声排放执行《工业企业厂界环境噪声排放标准》（GB12348-2008）中</w:t>
            </w:r>
            <w:r>
              <w:rPr>
                <w:rFonts w:hint="eastAsia"/>
              </w:rPr>
              <w:t>3</w:t>
            </w:r>
            <w:r>
              <w:t>类标准。具体标准值见</w:t>
            </w:r>
            <w:r>
              <w:rPr>
                <w:rFonts w:hint="eastAsia"/>
              </w:rPr>
              <w:t>下表</w:t>
            </w:r>
            <w:r>
              <w:t>。</w:t>
            </w:r>
          </w:p>
          <w:p>
            <w:pPr>
              <w:tabs>
                <w:tab w:val="left" w:pos="420"/>
              </w:tabs>
              <w:spacing w:line="276" w:lineRule="auto"/>
              <w:jc w:val="center"/>
              <w:rPr>
                <w:b/>
                <w:color w:val="000000"/>
              </w:rPr>
            </w:pPr>
            <w:r>
              <w:rPr>
                <w:rFonts w:hint="eastAsia"/>
                <w:b/>
                <w:color w:val="000000"/>
              </w:rPr>
              <w:t>表3-</w:t>
            </w:r>
            <w:r>
              <w:rPr>
                <w:rFonts w:hint="eastAsia"/>
                <w:b/>
                <w:color w:val="000000"/>
                <w:lang w:val="en-US" w:eastAsia="zh-CN"/>
              </w:rPr>
              <w:t>13</w:t>
            </w:r>
            <w:r>
              <w:rPr>
                <w:rFonts w:hint="eastAsia"/>
                <w:b/>
                <w:color w:val="000000"/>
              </w:rPr>
              <w:t xml:space="preserve"> 工业企业</w:t>
            </w:r>
            <w:r>
              <w:rPr>
                <w:b/>
                <w:color w:val="000000"/>
              </w:rPr>
              <w:t>厂界噪声排放标准  单位：dB(A)</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27"/>
              <w:gridCol w:w="2298"/>
              <w:gridCol w:w="20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2553" w:type="pct"/>
                  <w:tcBorders>
                    <w:tl2br w:val="nil"/>
                    <w:tr2bl w:val="nil"/>
                  </w:tcBorders>
                  <w:noWrap w:val="0"/>
                  <w:vAlign w:val="center"/>
                </w:tcPr>
                <w:p>
                  <w:pPr>
                    <w:jc w:val="center"/>
                    <w:rPr>
                      <w:b/>
                      <w:bCs/>
                      <w:sz w:val="21"/>
                      <w:szCs w:val="21"/>
                    </w:rPr>
                  </w:pPr>
                  <w:r>
                    <w:rPr>
                      <w:b/>
                      <w:bCs/>
                      <w:sz w:val="21"/>
                      <w:szCs w:val="21"/>
                    </w:rPr>
                    <w:t>类别</w:t>
                  </w:r>
                </w:p>
              </w:tc>
              <w:tc>
                <w:tcPr>
                  <w:tcW w:w="1296" w:type="pct"/>
                  <w:tcBorders>
                    <w:tl2br w:val="nil"/>
                    <w:tr2bl w:val="nil"/>
                  </w:tcBorders>
                  <w:noWrap w:val="0"/>
                  <w:vAlign w:val="center"/>
                </w:tcPr>
                <w:p>
                  <w:pPr>
                    <w:jc w:val="center"/>
                    <w:rPr>
                      <w:b/>
                      <w:bCs/>
                      <w:sz w:val="21"/>
                      <w:szCs w:val="21"/>
                    </w:rPr>
                  </w:pPr>
                  <w:r>
                    <w:rPr>
                      <w:b/>
                      <w:bCs/>
                      <w:sz w:val="21"/>
                      <w:szCs w:val="21"/>
                    </w:rPr>
                    <w:t>昼  间</w:t>
                  </w:r>
                </w:p>
              </w:tc>
              <w:tc>
                <w:tcPr>
                  <w:tcW w:w="1150" w:type="pct"/>
                  <w:tcBorders>
                    <w:tl2br w:val="nil"/>
                    <w:tr2bl w:val="nil"/>
                  </w:tcBorders>
                  <w:noWrap w:val="0"/>
                  <w:vAlign w:val="center"/>
                </w:tcPr>
                <w:p>
                  <w:pPr>
                    <w:jc w:val="center"/>
                    <w:rPr>
                      <w:b/>
                      <w:bCs/>
                      <w:sz w:val="21"/>
                      <w:szCs w:val="21"/>
                    </w:rPr>
                  </w:pPr>
                  <w:r>
                    <w:rPr>
                      <w:b/>
                      <w:bCs/>
                      <w:sz w:val="21"/>
                      <w:szCs w:val="21"/>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2553" w:type="pct"/>
                  <w:tcBorders>
                    <w:tl2br w:val="nil"/>
                    <w:tr2bl w:val="nil"/>
                  </w:tcBorders>
                  <w:noWrap w:val="0"/>
                  <w:vAlign w:val="center"/>
                </w:tcPr>
                <w:p>
                  <w:pPr>
                    <w:jc w:val="center"/>
                    <w:rPr>
                      <w:sz w:val="21"/>
                      <w:szCs w:val="21"/>
                    </w:rPr>
                  </w:pPr>
                  <w:r>
                    <w:rPr>
                      <w:sz w:val="21"/>
                      <w:szCs w:val="21"/>
                    </w:rPr>
                    <w:t>《工业企业厂界环境噪声排放标准》（GB12348-2008）3类</w:t>
                  </w:r>
                </w:p>
              </w:tc>
              <w:tc>
                <w:tcPr>
                  <w:tcW w:w="1296" w:type="pct"/>
                  <w:tcBorders>
                    <w:tl2br w:val="nil"/>
                    <w:tr2bl w:val="nil"/>
                  </w:tcBorders>
                  <w:noWrap w:val="0"/>
                  <w:vAlign w:val="center"/>
                </w:tcPr>
                <w:p>
                  <w:pPr>
                    <w:jc w:val="center"/>
                    <w:rPr>
                      <w:sz w:val="21"/>
                      <w:szCs w:val="21"/>
                    </w:rPr>
                  </w:pPr>
                  <w:r>
                    <w:rPr>
                      <w:sz w:val="21"/>
                      <w:szCs w:val="21"/>
                    </w:rPr>
                    <w:t>65</w:t>
                  </w:r>
                </w:p>
              </w:tc>
              <w:tc>
                <w:tcPr>
                  <w:tcW w:w="1150" w:type="pct"/>
                  <w:tcBorders>
                    <w:tl2br w:val="nil"/>
                    <w:tr2bl w:val="nil"/>
                  </w:tcBorders>
                  <w:noWrap w:val="0"/>
                  <w:vAlign w:val="center"/>
                </w:tcPr>
                <w:p>
                  <w:pPr>
                    <w:jc w:val="center"/>
                    <w:rPr>
                      <w:sz w:val="21"/>
                      <w:szCs w:val="21"/>
                    </w:rPr>
                  </w:pPr>
                  <w:r>
                    <w:rPr>
                      <w:sz w:val="21"/>
                      <w:szCs w:val="21"/>
                    </w:rPr>
                    <w:t>55</w:t>
                  </w:r>
                </w:p>
              </w:tc>
            </w:tr>
          </w:tbl>
          <w:p>
            <w:pPr>
              <w:spacing w:before="120" w:beforeLines="50" w:line="360" w:lineRule="auto"/>
              <w:rPr>
                <w:b/>
                <w:bCs/>
              </w:rPr>
            </w:pPr>
            <w:r>
              <w:rPr>
                <w:b/>
                <w:bCs/>
              </w:rPr>
              <w:t>4、固废处理处置标准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sz w:val="24"/>
                <w:lang w:val="en-US" w:eastAsia="zh-CN"/>
              </w:rPr>
            </w:pPr>
            <w:r>
              <w:rPr>
                <w:color w:val="auto"/>
                <w:sz w:val="24"/>
              </w:rPr>
              <w:t>按照《中华人民共和国固体废物污染环境防治法》的要求，固体废物要妥善处置，不得形成二次污染。</w:t>
            </w:r>
            <w:r>
              <w:rPr>
                <w:snapToGrid w:val="0"/>
                <w:color w:val="auto"/>
                <w:sz w:val="24"/>
              </w:rPr>
              <w:t>一般工业固体废物的贮存、处置参照执行《一般工业固体废物贮存和填埋污染控制标准》（GB18599-2020）；</w:t>
            </w:r>
            <w:r>
              <w:rPr>
                <w:color w:val="auto"/>
              </w:rPr>
              <w:t>生活垃圾的储存与处置参照执行《城市生活垃圾管理办法》（建设部令第157号）</w:t>
            </w:r>
            <w:r>
              <w:rPr>
                <w:rFonts w:hint="eastAsia"/>
                <w:color w:val="auto"/>
                <w:lang w:eastAsia="zh-CN"/>
              </w:rPr>
              <w:t>；</w:t>
            </w:r>
            <w:r>
              <w:rPr>
                <w:color w:val="auto"/>
                <w:sz w:val="24"/>
              </w:rPr>
              <w:t>危险废物的贮存、污染控制及监督管理执行《危险废物贮存污染控制标准》（GB18597-2023）中的相关规范及标准要求。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376" w:type="pct"/>
            <w:noWrap w:val="0"/>
            <w:vAlign w:val="center"/>
          </w:tcPr>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总量</w:t>
            </w:r>
          </w:p>
          <w:p>
            <w:pPr>
              <w:keepNext w:val="0"/>
              <w:keepLines w:val="0"/>
              <w:pageBreakBefore w:val="0"/>
              <w:widowControl w:val="0"/>
              <w:kinsoku/>
              <w:wordWrap/>
              <w:overflowPunct/>
              <w:topLinePunct w:val="0"/>
              <w:bidi w:val="0"/>
              <w:adjustRightInd w:val="0"/>
              <w:snapToGrid w:val="0"/>
              <w:jc w:val="center"/>
              <w:rPr>
                <w:rFonts w:hint="eastAsia" w:ascii="宋体" w:hAnsi="宋体" w:cs="宋体"/>
                <w:b/>
                <w:kern w:val="0"/>
                <w:szCs w:val="21"/>
              </w:rPr>
            </w:pPr>
            <w:r>
              <w:rPr>
                <w:rFonts w:hint="eastAsia" w:ascii="宋体" w:hAnsi="宋体" w:cs="宋体"/>
                <w:b/>
                <w:kern w:val="0"/>
                <w:szCs w:val="21"/>
              </w:rPr>
              <w:t>控制</w:t>
            </w:r>
          </w:p>
          <w:p>
            <w:pPr>
              <w:keepNext w:val="0"/>
              <w:keepLines w:val="0"/>
              <w:pageBreakBefore w:val="0"/>
              <w:widowControl w:val="0"/>
              <w:kinsoku/>
              <w:wordWrap/>
              <w:overflowPunct/>
              <w:topLinePunct w:val="0"/>
              <w:bidi w:val="0"/>
              <w:adjustRightInd w:val="0"/>
              <w:snapToGrid w:val="0"/>
              <w:jc w:val="center"/>
              <w:rPr>
                <w:rFonts w:ascii="宋体" w:hAnsi="宋体" w:cs="宋体"/>
                <w:kern w:val="0"/>
                <w:szCs w:val="21"/>
              </w:rPr>
            </w:pPr>
            <w:r>
              <w:rPr>
                <w:rFonts w:hint="eastAsia" w:ascii="宋体" w:hAnsi="宋体" w:cs="宋体"/>
                <w:b/>
                <w:kern w:val="0"/>
                <w:szCs w:val="21"/>
              </w:rPr>
              <w:t>指标</w:t>
            </w:r>
          </w:p>
        </w:tc>
        <w:tc>
          <w:tcPr>
            <w:tcW w:w="4623" w:type="pct"/>
            <w:noWrap w:val="0"/>
            <w:vAlign w:val="center"/>
          </w:tcPr>
          <w:p>
            <w:pPr>
              <w:spacing w:line="360" w:lineRule="auto"/>
              <w:ind w:firstLine="480" w:firstLineChars="200"/>
              <w:jc w:val="left"/>
              <w:rPr>
                <w:rFonts w:hAnsi="宋体"/>
                <w:sz w:val="24"/>
              </w:rPr>
            </w:pPr>
            <w:r>
              <w:rPr>
                <w:rFonts w:hAnsi="宋体"/>
                <w:sz w:val="24"/>
              </w:rPr>
              <w:t>根据</w:t>
            </w:r>
            <w:r>
              <w:rPr>
                <w:rFonts w:hint="eastAsia"/>
                <w:sz w:val="24"/>
              </w:rPr>
              <w:t>“</w:t>
            </w:r>
            <w:r>
              <w:rPr>
                <w:rFonts w:hAnsi="宋体"/>
                <w:sz w:val="24"/>
              </w:rPr>
              <w:t>安徽省环保厅关于进一步加强建设项目新增大气主要污染物总量指标管理工作的通知</w:t>
            </w:r>
            <w:r>
              <w:rPr>
                <w:rFonts w:hint="eastAsia"/>
                <w:sz w:val="24"/>
              </w:rPr>
              <w:t>”</w:t>
            </w:r>
            <w:r>
              <w:rPr>
                <w:rFonts w:hAnsi="宋体"/>
                <w:sz w:val="24"/>
              </w:rPr>
              <w:t>中有关规定，大气主要污染物总量指标从两项增加为四项，在</w:t>
            </w:r>
            <w:r>
              <w:rPr>
                <w:sz w:val="24"/>
              </w:rPr>
              <w:t>SO</w:t>
            </w:r>
            <w:r>
              <w:rPr>
                <w:sz w:val="24"/>
                <w:vertAlign w:val="subscript"/>
              </w:rPr>
              <w:t>2</w:t>
            </w:r>
            <w:r>
              <w:rPr>
                <w:rFonts w:hAnsi="宋体"/>
                <w:sz w:val="24"/>
              </w:rPr>
              <w:t>、</w:t>
            </w:r>
            <w:r>
              <w:rPr>
                <w:sz w:val="24"/>
              </w:rPr>
              <w:t>NO</w:t>
            </w:r>
            <w:r>
              <w:rPr>
                <w:rFonts w:hint="eastAsia"/>
                <w:sz w:val="24"/>
                <w:vertAlign w:val="subscript"/>
              </w:rPr>
              <w:t>x</w:t>
            </w:r>
            <w:r>
              <w:rPr>
                <w:rFonts w:hAnsi="宋体"/>
                <w:sz w:val="24"/>
              </w:rPr>
              <w:t>的基础上增加烟（粉）尘、挥发性有机物两项指标。</w:t>
            </w:r>
          </w:p>
          <w:p>
            <w:pPr>
              <w:spacing w:line="360" w:lineRule="auto"/>
              <w:ind w:firstLine="480" w:firstLineChars="200"/>
              <w:rPr>
                <w:rFonts w:hint="eastAsia" w:eastAsia="宋体"/>
                <w:color w:val="auto"/>
                <w:sz w:val="24"/>
                <w:lang w:eastAsia="zh-CN"/>
              </w:rPr>
            </w:pPr>
            <w:r>
              <w:rPr>
                <w:color w:val="auto"/>
                <w:sz w:val="24"/>
              </w:rPr>
              <w:t>本项目大气污染物主要为</w:t>
            </w:r>
            <w:r>
              <w:rPr>
                <w:rFonts w:hint="eastAsia"/>
                <w:color w:val="auto"/>
                <w:sz w:val="24"/>
                <w:lang w:val="en-US" w:eastAsia="zh-CN"/>
              </w:rPr>
              <w:t>非甲烷总烃</w:t>
            </w:r>
            <w:r>
              <w:rPr>
                <w:rFonts w:hint="eastAsia"/>
                <w:color w:val="auto"/>
                <w:sz w:val="24"/>
              </w:rPr>
              <w:t>，</w:t>
            </w:r>
            <w:r>
              <w:rPr>
                <w:rFonts w:hint="eastAsia"/>
                <w:color w:val="auto"/>
                <w:sz w:val="24"/>
                <w:lang w:val="en-US" w:eastAsia="zh-CN"/>
              </w:rPr>
              <w:t>非甲烷总烃</w:t>
            </w:r>
            <w:r>
              <w:rPr>
                <w:rFonts w:hint="eastAsia"/>
                <w:color w:val="auto"/>
                <w:sz w:val="24"/>
              </w:rPr>
              <w:t>排放量为：0.</w:t>
            </w:r>
            <w:r>
              <w:rPr>
                <w:rFonts w:hint="eastAsia"/>
                <w:color w:val="auto"/>
                <w:sz w:val="24"/>
                <w:lang w:val="en-US" w:eastAsia="zh-CN"/>
              </w:rPr>
              <w:t>44</w:t>
            </w:r>
            <w:r>
              <w:rPr>
                <w:rFonts w:hint="eastAsia"/>
                <w:color w:val="auto"/>
                <w:sz w:val="24"/>
              </w:rPr>
              <w:t>t/a</w:t>
            </w:r>
            <w:r>
              <w:rPr>
                <w:rFonts w:hint="eastAsia"/>
                <w:color w:val="auto"/>
                <w:sz w:val="24"/>
                <w:lang w:eastAsia="zh-CN"/>
              </w:rPr>
              <w:t>。</w:t>
            </w:r>
          </w:p>
          <w:p>
            <w:pPr>
              <w:pStyle w:val="32"/>
              <w:adjustRightInd/>
              <w:spacing w:line="360" w:lineRule="auto"/>
              <w:ind w:firstLine="480" w:firstLineChars="200"/>
              <w:rPr>
                <w:color w:val="auto"/>
                <w:sz w:val="24"/>
              </w:rPr>
            </w:pPr>
            <w:r>
              <w:rPr>
                <w:color w:val="auto"/>
                <w:sz w:val="24"/>
              </w:rPr>
              <w:t>废水：本项目产生</w:t>
            </w:r>
            <w:r>
              <w:rPr>
                <w:rFonts w:hint="eastAsia"/>
                <w:color w:val="auto"/>
                <w:sz w:val="24"/>
              </w:rPr>
              <w:t>生产</w:t>
            </w:r>
            <w:r>
              <w:rPr>
                <w:color w:val="auto"/>
                <w:sz w:val="24"/>
              </w:rPr>
              <w:t>废水、生活污水经厂区总排口进入</w:t>
            </w:r>
            <w:r>
              <w:rPr>
                <w:rFonts w:hint="eastAsia"/>
                <w:color w:val="auto"/>
                <w:sz w:val="24"/>
                <w:lang w:val="en-US" w:eastAsia="zh-CN"/>
              </w:rPr>
              <w:t>园区</w:t>
            </w:r>
            <w:r>
              <w:rPr>
                <w:color w:val="auto"/>
                <w:sz w:val="24"/>
              </w:rPr>
              <w:t>污水处理厂集中处理，总量纳入</w:t>
            </w:r>
            <w:r>
              <w:rPr>
                <w:rFonts w:hint="eastAsia"/>
                <w:color w:val="auto"/>
                <w:sz w:val="24"/>
                <w:lang w:val="en-US" w:eastAsia="zh-CN"/>
              </w:rPr>
              <w:t>园区</w:t>
            </w:r>
            <w:r>
              <w:rPr>
                <w:color w:val="auto"/>
                <w:sz w:val="24"/>
              </w:rPr>
              <w:t>污水处理厂总量管理，</w:t>
            </w:r>
            <w:r>
              <w:rPr>
                <w:rFonts w:hint="eastAsia" w:hAnsi="宋体"/>
                <w:color w:val="auto"/>
                <w:sz w:val="24"/>
              </w:rPr>
              <w:t>本项目不需要单独申请总量。</w:t>
            </w:r>
          </w:p>
          <w:p>
            <w:pPr>
              <w:keepNext w:val="0"/>
              <w:keepLines w:val="0"/>
              <w:pageBreakBefore w:val="0"/>
              <w:widowControl w:val="0"/>
              <w:kinsoku/>
              <w:wordWrap/>
              <w:overflowPunct/>
              <w:topLinePunct w:val="0"/>
              <w:bidi w:val="0"/>
              <w:adjustRightInd w:val="0"/>
              <w:snapToGrid w:val="0"/>
              <w:jc w:val="center"/>
              <w:rPr>
                <w:rFonts w:ascii="宋体" w:hAnsi="宋体" w:cs="宋体"/>
                <w:kern w:val="0"/>
                <w:szCs w:val="21"/>
              </w:rPr>
            </w:pPr>
          </w:p>
        </w:tc>
      </w:tr>
    </w:tbl>
    <w:p>
      <w:pPr>
        <w:sectPr>
          <w:pgSz w:w="11906" w:h="16838"/>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jc w:val="center"/>
        <w:textAlignment w:val="auto"/>
        <w:rPr>
          <w:b/>
          <w:bCs/>
          <w:sz w:val="32"/>
          <w:szCs w:val="32"/>
        </w:rPr>
      </w:pPr>
      <w:r>
        <w:rPr>
          <w:rFonts w:hint="eastAsia"/>
          <w:b/>
          <w:bCs/>
          <w:sz w:val="32"/>
          <w:szCs w:val="32"/>
        </w:rPr>
        <w:t>四、主要环境影响和保护措施</w:t>
      </w:r>
    </w:p>
    <w:tbl>
      <w:tblPr>
        <w:tblStyle w:val="2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9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18" w:type="pct"/>
            <w:noWrap w:val="0"/>
            <w:tcMar>
              <w:left w:w="28" w:type="dxa"/>
              <w:right w:w="28" w:type="dxa"/>
            </w:tcMar>
            <w:vAlign w:val="center"/>
          </w:tcPr>
          <w:p>
            <w:pPr>
              <w:bidi w:val="0"/>
              <w:jc w:val="center"/>
              <w:rPr>
                <w:rFonts w:hint="eastAsia"/>
                <w:b/>
                <w:bCs/>
              </w:rPr>
            </w:pPr>
            <w:r>
              <w:rPr>
                <w:rFonts w:hint="eastAsia"/>
                <w:b/>
                <w:bCs/>
              </w:rPr>
              <w:t>施工</w:t>
            </w:r>
          </w:p>
          <w:p>
            <w:pPr>
              <w:bidi w:val="0"/>
              <w:jc w:val="center"/>
              <w:rPr>
                <w:rFonts w:hint="eastAsia"/>
                <w:b/>
                <w:bCs/>
              </w:rPr>
            </w:pPr>
            <w:r>
              <w:rPr>
                <w:rFonts w:hint="eastAsia"/>
                <w:b/>
                <w:bCs/>
              </w:rPr>
              <w:t>期环</w:t>
            </w:r>
          </w:p>
          <w:p>
            <w:pPr>
              <w:bidi w:val="0"/>
              <w:jc w:val="center"/>
              <w:rPr>
                <w:rFonts w:hint="eastAsia"/>
                <w:b/>
                <w:bCs/>
              </w:rPr>
            </w:pPr>
            <w:r>
              <w:rPr>
                <w:rFonts w:hint="eastAsia"/>
                <w:b/>
                <w:bCs/>
              </w:rPr>
              <w:t>境保</w:t>
            </w:r>
          </w:p>
          <w:p>
            <w:pPr>
              <w:bidi w:val="0"/>
              <w:jc w:val="center"/>
              <w:rPr>
                <w:rFonts w:hint="eastAsia"/>
                <w:b/>
                <w:bCs/>
              </w:rPr>
            </w:pPr>
            <w:r>
              <w:rPr>
                <w:rFonts w:hint="eastAsia"/>
                <w:b/>
                <w:bCs/>
              </w:rPr>
              <w:t>护措</w:t>
            </w:r>
          </w:p>
          <w:p>
            <w:pPr>
              <w:bidi w:val="0"/>
              <w:jc w:val="center"/>
              <w:rPr>
                <w:rFonts w:hint="eastAsia"/>
                <w:b/>
                <w:bCs/>
              </w:rPr>
            </w:pPr>
            <w:r>
              <w:rPr>
                <w:rFonts w:hint="eastAsia"/>
                <w:b/>
                <w:bCs/>
              </w:rPr>
              <w:t>施</w:t>
            </w:r>
          </w:p>
        </w:tc>
        <w:tc>
          <w:tcPr>
            <w:tcW w:w="45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eastAsia"/>
                <w:bCs/>
                <w:spacing w:val="-10"/>
                <w:szCs w:val="21"/>
              </w:rPr>
            </w:pPr>
            <w:r>
              <w:rPr>
                <w:rFonts w:hint="eastAsia"/>
                <w:bCs/>
                <w:spacing w:val="-10"/>
                <w:szCs w:val="21"/>
              </w:rPr>
              <w:t>本项目为技改项目，厂房依托现有已建生产车间，仅涉及设备安装及配套废气治理设施建设，其建设过程基本不涉及土建施工，施工期污染不大,不产生土建施工的相关环境影响，如机械噪声和扬尘等污染问题。但在设备安装以及装修过程会产生一些机械噪声，源强峰值可达85~100分贝，因此，为控制设备安装以及装修期间的噪声污染，施工单位应尽量采用低噪声的器械，避免夜间进行高噪振动操作，从而减轻对项目周界声环境的影响。另外设备安装以及装修期间产生生活污水应排入污水管网，生活垃圾应及时收集处理，设备安装以及装修期产生的固废应妥善处理，能回用的应回用，不能回用的应根据固废的性质不同交由不同的处理部门处理。设备安装以及装修期的影响较短暂，随着安装调试的结束，环境影响随即停止。施工期应做到如下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eastAsia"/>
                <w:bCs/>
                <w:spacing w:val="-10"/>
                <w:szCs w:val="21"/>
              </w:rPr>
            </w:pPr>
            <w:r>
              <w:rPr>
                <w:rFonts w:hint="eastAsia"/>
                <w:bCs/>
                <w:spacing w:val="-10"/>
                <w:szCs w:val="21"/>
                <w:lang w:val="en-US" w:eastAsia="zh-CN"/>
              </w:rPr>
              <w:t>A.</w:t>
            </w:r>
            <w:r>
              <w:rPr>
                <w:rFonts w:hint="eastAsia"/>
                <w:bCs/>
                <w:spacing w:val="-10"/>
                <w:szCs w:val="21"/>
              </w:rPr>
              <w:t>加强施工管理，合理安排施工机械设备组装和施工时间，避免在居民休息时 （晚10:00-早6:00）施工。除特殊需要作业外 （经生态环境局批准并公布），禁止夜间以后进行产生环境噪声污染的施工。</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ascii="宋体" w:hAnsi="宋体" w:cs="宋体"/>
                <w:bCs/>
                <w:spacing w:val="-10"/>
                <w:szCs w:val="21"/>
              </w:rPr>
            </w:pPr>
            <w:r>
              <w:rPr>
                <w:rFonts w:hint="eastAsia"/>
                <w:bCs/>
                <w:spacing w:val="-10"/>
                <w:szCs w:val="21"/>
              </w:rPr>
              <w:t>B</w:t>
            </w:r>
            <w:r>
              <w:rPr>
                <w:rFonts w:hint="eastAsia"/>
                <w:bCs/>
                <w:spacing w:val="-10"/>
                <w:szCs w:val="21"/>
                <w:lang w:val="en-US" w:eastAsia="zh-CN"/>
              </w:rPr>
              <w:t>.</w:t>
            </w:r>
            <w:r>
              <w:rPr>
                <w:rFonts w:hint="eastAsia"/>
                <w:bCs/>
                <w:spacing w:val="-10"/>
                <w:szCs w:val="21"/>
              </w:rPr>
              <w:t>尽量采用低噪音施工设备和噪声低的施工方法，作业时在高噪声设备周围设置屏蔽:对施工设备进行合理布局，选择低噪声的机械设备。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0" w:hRule="atLeast"/>
          <w:jc w:val="center"/>
        </w:trPr>
        <w:tc>
          <w:tcPr>
            <w:tcW w:w="418" w:type="pct"/>
            <w:noWrap w:val="0"/>
            <w:tcMar>
              <w:left w:w="28" w:type="dxa"/>
              <w:right w:w="28" w:type="dxa"/>
            </w:tcMar>
            <w:vAlign w:val="center"/>
          </w:tcPr>
          <w:p>
            <w:pPr>
              <w:bidi w:val="0"/>
              <w:jc w:val="center"/>
              <w:rPr>
                <w:rFonts w:hint="eastAsia"/>
                <w:b/>
                <w:bCs/>
              </w:rPr>
            </w:pPr>
            <w:r>
              <w:rPr>
                <w:rFonts w:hint="eastAsia"/>
                <w:b/>
                <w:bCs/>
              </w:rPr>
              <w:t>运营</w:t>
            </w:r>
          </w:p>
          <w:p>
            <w:pPr>
              <w:bidi w:val="0"/>
              <w:jc w:val="center"/>
              <w:rPr>
                <w:rFonts w:hint="eastAsia"/>
                <w:b/>
                <w:bCs/>
              </w:rPr>
            </w:pPr>
            <w:r>
              <w:rPr>
                <w:rFonts w:hint="eastAsia"/>
                <w:b/>
                <w:bCs/>
              </w:rPr>
              <w:t>期环</w:t>
            </w:r>
          </w:p>
          <w:p>
            <w:pPr>
              <w:bidi w:val="0"/>
              <w:jc w:val="center"/>
              <w:rPr>
                <w:rFonts w:hint="eastAsia"/>
                <w:b/>
                <w:bCs/>
              </w:rPr>
            </w:pPr>
            <w:r>
              <w:rPr>
                <w:rFonts w:hint="eastAsia"/>
                <w:b/>
                <w:bCs/>
              </w:rPr>
              <w:t>境影</w:t>
            </w:r>
          </w:p>
          <w:p>
            <w:pPr>
              <w:bidi w:val="0"/>
              <w:jc w:val="center"/>
              <w:rPr>
                <w:rFonts w:hint="eastAsia"/>
                <w:b/>
                <w:bCs/>
              </w:rPr>
            </w:pPr>
            <w:r>
              <w:rPr>
                <w:rFonts w:hint="eastAsia"/>
                <w:b/>
                <w:bCs/>
              </w:rPr>
              <w:t>响和</w:t>
            </w:r>
          </w:p>
          <w:p>
            <w:pPr>
              <w:bidi w:val="0"/>
              <w:jc w:val="center"/>
              <w:rPr>
                <w:rFonts w:hint="eastAsia"/>
                <w:b/>
                <w:bCs/>
              </w:rPr>
            </w:pPr>
            <w:r>
              <w:rPr>
                <w:rFonts w:hint="eastAsia"/>
                <w:b/>
                <w:bCs/>
              </w:rPr>
              <w:t>保护</w:t>
            </w:r>
          </w:p>
          <w:p>
            <w:pPr>
              <w:bidi w:val="0"/>
              <w:jc w:val="center"/>
              <w:rPr>
                <w:b/>
                <w:bCs/>
              </w:rPr>
            </w:pPr>
            <w:r>
              <w:rPr>
                <w:rFonts w:hint="eastAsia"/>
                <w:b/>
                <w:bCs/>
              </w:rPr>
              <w:t>措施</w:t>
            </w:r>
          </w:p>
        </w:tc>
        <w:tc>
          <w:tcPr>
            <w:tcW w:w="4581"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b/>
                <w:bCs/>
              </w:rPr>
            </w:pPr>
            <w:r>
              <w:rPr>
                <w:rFonts w:hint="eastAsia"/>
                <w:b/>
                <w:bCs/>
              </w:rPr>
              <w:t>1、大气污染物影响及防治措施分析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lang w:val="en-US" w:eastAsia="zh-CN"/>
              </w:rPr>
            </w:pPr>
            <w:r>
              <w:rPr>
                <w:rFonts w:hint="eastAsia"/>
              </w:rPr>
              <w:t>本项目运营期产生的大气污染物主要有</w:t>
            </w:r>
            <w:r>
              <w:rPr>
                <w:rFonts w:hint="eastAsia"/>
                <w:lang w:val="en-US" w:eastAsia="zh-CN"/>
              </w:rPr>
              <w:t>3#PET瓶坯生产工艺中熔塑、注塑、吹塑工序产生的非甲烷总烃，食堂烧菜产生的油烟。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1.1废气源强核算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lang w:val="en-US" w:eastAsia="zh-CN"/>
              </w:rPr>
            </w:pPr>
            <w:r>
              <w:rPr>
                <w:rFonts w:hint="eastAsia" w:ascii="Times New Roman" w:hAnsi="Times New Roman" w:eastAsia="宋体" w:cs="Times New Roman"/>
                <w:kern w:val="2"/>
                <w:sz w:val="24"/>
                <w:szCs w:val="24"/>
                <w:lang w:val="en-US" w:eastAsia="zh-CN" w:bidi="ar-SA"/>
              </w:rPr>
              <w:t>（1）</w:t>
            </w:r>
            <w:r>
              <w:rPr>
                <w:rFonts w:hint="eastAsia"/>
                <w:lang w:val="en-US" w:eastAsia="zh-CN"/>
              </w:rPr>
              <w:t>熔塑、注塑、吹塑废气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000000"/>
                <w:sz w:val="24"/>
                <w:highlight w:val="none"/>
              </w:rPr>
            </w:pPr>
            <w:r>
              <w:rPr>
                <w:rFonts w:hint="eastAsia"/>
                <w:lang w:val="en-US" w:eastAsia="zh-CN"/>
              </w:rPr>
              <w:t>根据前文PET瓶坯生产工艺流程介绍，熔塑、注塑、吹塑</w:t>
            </w:r>
            <w:r>
              <w:rPr>
                <w:rFonts w:hint="eastAsia" w:ascii="Times New Roman" w:hAnsi="Times New Roman" w:eastAsia="宋体" w:cs="Times New Roman"/>
                <w:color w:val="000000"/>
                <w:kern w:val="2"/>
                <w:sz w:val="24"/>
                <w:szCs w:val="24"/>
                <w:lang w:val="en-US" w:eastAsia="zh-CN" w:bidi="ar-SA"/>
              </w:rPr>
              <w:t>工序温度均控制在</w:t>
            </w:r>
            <w:r>
              <w:rPr>
                <w:rFonts w:hint="eastAsia"/>
                <w:lang w:val="en-US" w:eastAsia="zh-CN"/>
              </w:rPr>
              <w:t>PET</w:t>
            </w:r>
            <w:r>
              <w:rPr>
                <w:rFonts w:hint="eastAsia" w:ascii="Times New Roman" w:hAnsi="Times New Roman" w:eastAsia="宋体" w:cs="Times New Roman"/>
                <w:color w:val="000000"/>
                <w:kern w:val="2"/>
                <w:sz w:val="24"/>
                <w:szCs w:val="24"/>
                <w:lang w:val="en-US" w:eastAsia="zh-CN" w:bidi="ar-SA"/>
              </w:rPr>
              <w:t>塑料粒子分解温度以下，因此本项目注塑过程中一般不会有塑料粒子的热解气产生，废气主要是在加热融化等过程中产生的少量塑料熔融废气。塑料粒子在使用中由于温度的升高，分子间发生少量断链、分解、降解过程中产生的游离单体废气，熔融废气成分主要为各种烃类物质及一些其它物质。以非甲烷总烃表征。</w:t>
            </w:r>
            <w:r>
              <w:rPr>
                <w:rFonts w:hint="eastAsia"/>
                <w:color w:val="000000"/>
                <w:sz w:val="24"/>
                <w:highlight w:val="none"/>
              </w:rPr>
              <w:t>根据《排放源统计调查产排污核算方法和系数手册》(环境部公告2021年第24号) 中塑料制品行业系数手册，选用数据如下表所示。</w:t>
            </w:r>
          </w:p>
          <w:p>
            <w:pPr>
              <w:pStyle w:val="5"/>
              <w:keepNext/>
              <w:keepLines/>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b/>
                <w:bCs/>
                <w:sz w:val="24"/>
                <w:szCs w:val="32"/>
                <w:highlight w:val="none"/>
              </w:rPr>
            </w:pPr>
            <w:r>
              <w:rPr>
                <w:rFonts w:hint="eastAsia"/>
                <w:b/>
                <w:bCs/>
                <w:sz w:val="24"/>
                <w:szCs w:val="32"/>
                <w:highlight w:val="none"/>
              </w:rPr>
              <w:t>表</w:t>
            </w:r>
            <w:r>
              <w:rPr>
                <w:rFonts w:hint="eastAsia"/>
                <w:b/>
                <w:bCs/>
                <w:sz w:val="24"/>
                <w:szCs w:val="32"/>
                <w:highlight w:val="none"/>
                <w:lang w:val="en-US" w:eastAsia="zh-CN"/>
              </w:rPr>
              <w:t xml:space="preserve">4-1 </w:t>
            </w:r>
            <w:r>
              <w:rPr>
                <w:rFonts w:hint="eastAsia"/>
                <w:b/>
                <w:bCs/>
                <w:sz w:val="24"/>
                <w:szCs w:val="32"/>
                <w:highlight w:val="none"/>
              </w:rPr>
              <w:t>塑料零件制造行业系数表（节选）</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703"/>
              <w:gridCol w:w="841"/>
              <w:gridCol w:w="1395"/>
              <w:gridCol w:w="841"/>
              <w:gridCol w:w="565"/>
              <w:gridCol w:w="979"/>
              <w:gridCol w:w="1811"/>
              <w:gridCol w:w="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color w:val="000000"/>
                      <w:sz w:val="21"/>
                      <w:szCs w:val="21"/>
                      <w:highlight w:val="none"/>
                    </w:rPr>
                  </w:pPr>
                  <w:r>
                    <w:rPr>
                      <w:rFonts w:hint="eastAsia"/>
                      <w:b/>
                      <w:bCs/>
                      <w:color w:val="000000"/>
                      <w:sz w:val="21"/>
                      <w:szCs w:val="21"/>
                      <w:highlight w:val="none"/>
                    </w:rPr>
                    <w:t>工段名称</w:t>
                  </w:r>
                </w:p>
              </w:tc>
              <w:tc>
                <w:tcPr>
                  <w:tcW w:w="4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color w:val="000000"/>
                      <w:sz w:val="21"/>
                      <w:szCs w:val="21"/>
                      <w:highlight w:val="none"/>
                    </w:rPr>
                  </w:pPr>
                  <w:r>
                    <w:rPr>
                      <w:rFonts w:hint="eastAsia"/>
                      <w:b/>
                      <w:bCs/>
                      <w:color w:val="000000"/>
                      <w:sz w:val="21"/>
                      <w:szCs w:val="21"/>
                      <w:highlight w:val="none"/>
                    </w:rPr>
                    <w:t>产品名称</w:t>
                  </w:r>
                </w:p>
              </w:tc>
              <w:tc>
                <w:tcPr>
                  <w:tcW w:w="4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bCs/>
                      <w:color w:val="000000"/>
                      <w:sz w:val="21"/>
                      <w:szCs w:val="21"/>
                      <w:highlight w:val="none"/>
                    </w:rPr>
                  </w:pPr>
                  <w:r>
                    <w:rPr>
                      <w:rFonts w:hint="eastAsia"/>
                      <w:b/>
                      <w:bCs/>
                      <w:color w:val="000000"/>
                      <w:sz w:val="21"/>
                      <w:szCs w:val="21"/>
                      <w:highlight w:val="none"/>
                    </w:rPr>
                    <w:t>原料</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color w:val="000000"/>
                      <w:sz w:val="21"/>
                      <w:szCs w:val="21"/>
                      <w:highlight w:val="none"/>
                    </w:rPr>
                  </w:pPr>
                  <w:r>
                    <w:rPr>
                      <w:rFonts w:hint="eastAsia"/>
                      <w:b/>
                      <w:bCs/>
                      <w:color w:val="000000"/>
                      <w:sz w:val="21"/>
                      <w:szCs w:val="21"/>
                      <w:highlight w:val="none"/>
                    </w:rPr>
                    <w:t>名称</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color w:val="000000"/>
                      <w:sz w:val="21"/>
                      <w:szCs w:val="21"/>
                      <w:highlight w:val="none"/>
                    </w:rPr>
                  </w:pPr>
                  <w:r>
                    <w:rPr>
                      <w:rFonts w:hint="eastAsia"/>
                      <w:b/>
                      <w:bCs/>
                      <w:color w:val="000000"/>
                      <w:sz w:val="21"/>
                      <w:szCs w:val="21"/>
                      <w:highlight w:val="none"/>
                    </w:rPr>
                    <w:t>工艺名称</w:t>
                  </w:r>
                </w:p>
              </w:tc>
              <w:tc>
                <w:tcPr>
                  <w:tcW w:w="4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bCs/>
                      <w:color w:val="000000"/>
                      <w:sz w:val="21"/>
                      <w:szCs w:val="21"/>
                      <w:highlight w:val="none"/>
                    </w:rPr>
                  </w:pPr>
                  <w:r>
                    <w:rPr>
                      <w:rFonts w:hint="eastAsia"/>
                      <w:b/>
                      <w:bCs/>
                      <w:color w:val="000000"/>
                      <w:sz w:val="21"/>
                      <w:szCs w:val="21"/>
                      <w:highlight w:val="none"/>
                    </w:rPr>
                    <w:t>规模</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color w:val="000000"/>
                      <w:sz w:val="21"/>
                      <w:szCs w:val="21"/>
                      <w:highlight w:val="none"/>
                    </w:rPr>
                  </w:pPr>
                  <w:r>
                    <w:rPr>
                      <w:rFonts w:hint="eastAsia"/>
                      <w:b/>
                      <w:bCs/>
                      <w:color w:val="000000"/>
                      <w:sz w:val="21"/>
                      <w:szCs w:val="21"/>
                      <w:highlight w:val="none"/>
                    </w:rPr>
                    <w:t>等级</w:t>
                  </w:r>
                </w:p>
              </w:tc>
              <w:tc>
                <w:tcPr>
                  <w:tcW w:w="88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bCs/>
                      <w:color w:val="000000"/>
                      <w:sz w:val="21"/>
                      <w:szCs w:val="21"/>
                      <w:highlight w:val="none"/>
                    </w:rPr>
                  </w:pPr>
                  <w:r>
                    <w:rPr>
                      <w:rFonts w:hint="eastAsia"/>
                      <w:b/>
                      <w:bCs/>
                      <w:color w:val="000000"/>
                      <w:sz w:val="21"/>
                      <w:szCs w:val="21"/>
                      <w:highlight w:val="none"/>
                    </w:rPr>
                    <w:t>污染物指标</w:t>
                  </w:r>
                </w:p>
              </w:tc>
              <w:tc>
                <w:tcPr>
                  <w:tcW w:w="10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color w:val="000000"/>
                      <w:sz w:val="21"/>
                      <w:szCs w:val="21"/>
                      <w:highlight w:val="none"/>
                    </w:rPr>
                  </w:pPr>
                  <w:r>
                    <w:rPr>
                      <w:rFonts w:hint="eastAsia"/>
                      <w:b/>
                      <w:bCs/>
                      <w:color w:val="000000"/>
                      <w:sz w:val="21"/>
                      <w:szCs w:val="21"/>
                      <w:highlight w:val="none"/>
                    </w:rPr>
                    <w:t>单位</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color w:val="000000"/>
                      <w:sz w:val="21"/>
                      <w:szCs w:val="21"/>
                      <w:highlight w:val="none"/>
                    </w:rPr>
                  </w:pPr>
                  <w:r>
                    <w:rPr>
                      <w:rFonts w:hint="eastAsia"/>
                      <w:b/>
                      <w:bCs/>
                      <w:color w:val="000000"/>
                      <w:sz w:val="21"/>
                      <w:szCs w:val="21"/>
                      <w:highlight w:val="none"/>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sz w:val="21"/>
                      <w:szCs w:val="21"/>
                      <w:highlight w:val="none"/>
                    </w:rPr>
                  </w:pPr>
                  <w:r>
                    <w:rPr>
                      <w:rFonts w:hint="eastAsia"/>
                      <w:color w:val="000000"/>
                      <w:sz w:val="21"/>
                      <w:szCs w:val="21"/>
                      <w:highlight w:val="none"/>
                    </w:rPr>
                    <w:t>/</w:t>
                  </w:r>
                </w:p>
              </w:tc>
              <w:tc>
                <w:tcPr>
                  <w:tcW w:w="4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sz w:val="21"/>
                      <w:szCs w:val="21"/>
                      <w:highlight w:val="none"/>
                    </w:rPr>
                  </w:pPr>
                  <w:r>
                    <w:rPr>
                      <w:rFonts w:hint="eastAsia"/>
                      <w:color w:val="000000"/>
                      <w:sz w:val="21"/>
                      <w:szCs w:val="21"/>
                      <w:highlight w:val="none"/>
                    </w:rPr>
                    <w:t>塑料零件</w:t>
                  </w:r>
                </w:p>
              </w:tc>
              <w:tc>
                <w:tcPr>
                  <w:tcW w:w="4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olor w:val="000000"/>
                      <w:sz w:val="21"/>
                      <w:szCs w:val="21"/>
                      <w:highlight w:val="none"/>
                    </w:rPr>
                  </w:pPr>
                  <w:r>
                    <w:rPr>
                      <w:rFonts w:hint="eastAsia"/>
                      <w:color w:val="000000"/>
                      <w:sz w:val="21"/>
                      <w:szCs w:val="21"/>
                      <w:highlight w:val="none"/>
                    </w:rPr>
                    <w:t>树脂</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olor w:val="000000"/>
                      <w:sz w:val="21"/>
                      <w:szCs w:val="21"/>
                      <w:highlight w:val="none"/>
                    </w:rPr>
                  </w:pPr>
                  <w:r>
                    <w:rPr>
                      <w:rFonts w:hint="eastAsia"/>
                      <w:color w:val="000000"/>
                      <w:sz w:val="21"/>
                      <w:szCs w:val="21"/>
                      <w:highlight w:val="none"/>
                    </w:rPr>
                    <w:t>助剂</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color w:val="000000"/>
                      <w:sz w:val="21"/>
                      <w:szCs w:val="21"/>
                      <w:highlight w:val="none"/>
                      <w:lang w:eastAsia="zh-CN"/>
                    </w:rPr>
                  </w:pPr>
                  <w:r>
                    <w:rPr>
                      <w:rFonts w:hint="eastAsia"/>
                      <w:color w:val="000000"/>
                      <w:sz w:val="21"/>
                      <w:szCs w:val="21"/>
                      <w:highlight w:val="none"/>
                    </w:rPr>
                    <w:t>配料-混合-挤出/注塑</w:t>
                  </w:r>
                  <w:r>
                    <w:rPr>
                      <w:rFonts w:hint="eastAsia"/>
                      <w:color w:val="000000"/>
                      <w:sz w:val="21"/>
                      <w:szCs w:val="21"/>
                      <w:highlight w:val="none"/>
                      <w:lang w:eastAsia="zh-CN"/>
                    </w:rPr>
                    <w:t>（</w:t>
                  </w:r>
                  <w:r>
                    <w:rPr>
                      <w:rFonts w:hint="eastAsia"/>
                      <w:color w:val="000000"/>
                      <w:sz w:val="21"/>
                      <w:szCs w:val="21"/>
                      <w:highlight w:val="none"/>
                      <w:lang w:val="en-US" w:eastAsia="zh-CN"/>
                    </w:rPr>
                    <w:t>吹塑</w:t>
                  </w:r>
                  <w:r>
                    <w:rPr>
                      <w:rFonts w:hint="eastAsia"/>
                      <w:color w:val="000000"/>
                      <w:sz w:val="21"/>
                      <w:szCs w:val="21"/>
                      <w:highlight w:val="none"/>
                      <w:lang w:eastAsia="zh-CN"/>
                    </w:rPr>
                    <w:t>）</w:t>
                  </w:r>
                </w:p>
              </w:tc>
              <w:tc>
                <w:tcPr>
                  <w:tcW w:w="4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olor w:val="000000"/>
                      <w:sz w:val="21"/>
                      <w:szCs w:val="21"/>
                      <w:highlight w:val="none"/>
                    </w:rPr>
                  </w:pPr>
                  <w:r>
                    <w:rPr>
                      <w:rFonts w:hint="eastAsia"/>
                      <w:color w:val="000000"/>
                      <w:sz w:val="21"/>
                      <w:szCs w:val="21"/>
                      <w:highlight w:val="none"/>
                    </w:rPr>
                    <w:t>所有</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sz w:val="21"/>
                      <w:szCs w:val="21"/>
                      <w:highlight w:val="none"/>
                    </w:rPr>
                  </w:pPr>
                  <w:r>
                    <w:rPr>
                      <w:rFonts w:hint="eastAsia"/>
                      <w:color w:val="000000"/>
                      <w:sz w:val="21"/>
                      <w:szCs w:val="21"/>
                      <w:highlight w:val="none"/>
                    </w:rPr>
                    <w:t>规模</w:t>
                  </w:r>
                </w:p>
              </w:tc>
              <w:tc>
                <w:tcPr>
                  <w:tcW w:w="3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sz w:val="21"/>
                      <w:szCs w:val="21"/>
                      <w:highlight w:val="none"/>
                    </w:rPr>
                  </w:pPr>
                  <w:r>
                    <w:rPr>
                      <w:rFonts w:hint="eastAsia"/>
                      <w:color w:val="000000"/>
                      <w:sz w:val="21"/>
                      <w:szCs w:val="21"/>
                      <w:highlight w:val="none"/>
                    </w:rPr>
                    <w:t>废气</w:t>
                  </w:r>
                </w:p>
              </w:tc>
              <w:tc>
                <w:tcPr>
                  <w:tcW w:w="5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sz w:val="21"/>
                      <w:szCs w:val="21"/>
                      <w:highlight w:val="none"/>
                    </w:rPr>
                  </w:pPr>
                  <w:r>
                    <w:rPr>
                      <w:rFonts w:hint="eastAsia"/>
                      <w:color w:val="000000"/>
                      <w:sz w:val="21"/>
                      <w:szCs w:val="21"/>
                      <w:highlight w:val="none"/>
                    </w:rPr>
                    <w:t>挥发性有机物</w:t>
                  </w:r>
                </w:p>
              </w:tc>
              <w:tc>
                <w:tcPr>
                  <w:tcW w:w="103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olor w:val="000000"/>
                      <w:sz w:val="21"/>
                      <w:szCs w:val="21"/>
                      <w:highlight w:val="none"/>
                    </w:rPr>
                  </w:pPr>
                  <w:r>
                    <w:rPr>
                      <w:rFonts w:hint="eastAsia"/>
                      <w:color w:val="000000"/>
                      <w:sz w:val="21"/>
                      <w:szCs w:val="21"/>
                      <w:highlight w:val="none"/>
                    </w:rPr>
                    <w:t>千克/吨-产品</w:t>
                  </w:r>
                </w:p>
              </w:tc>
              <w:tc>
                <w:tcPr>
                  <w:tcW w:w="4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sz w:val="21"/>
                      <w:szCs w:val="21"/>
                      <w:highlight w:val="none"/>
                    </w:rPr>
                  </w:pPr>
                  <w:r>
                    <w:rPr>
                      <w:rFonts w:hint="eastAsia"/>
                      <w:color w:val="000000"/>
                      <w:sz w:val="21"/>
                      <w:szCs w:val="21"/>
                      <w:highlight w:val="none"/>
                    </w:rPr>
                    <w:t>2</w:t>
                  </w:r>
                  <w:r>
                    <w:rPr>
                      <w:color w:val="000000"/>
                      <w:sz w:val="21"/>
                      <w:szCs w:val="21"/>
                      <w:highlight w:val="none"/>
                    </w:rPr>
                    <w:t>.70</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color w:val="000000"/>
                <w:sz w:val="24"/>
                <w:highlight w:val="none"/>
              </w:rPr>
              <w:t>本次评价参照塑料制品行业塑料</w:t>
            </w:r>
            <w:r>
              <w:rPr>
                <w:rFonts w:hint="eastAsia"/>
                <w:color w:val="000000"/>
                <w:sz w:val="24"/>
                <w:highlight w:val="none"/>
                <w:lang w:val="en-US" w:eastAsia="zh-CN"/>
              </w:rPr>
              <w:t>零件</w:t>
            </w:r>
            <w:r>
              <w:rPr>
                <w:rFonts w:hint="eastAsia"/>
                <w:color w:val="000000"/>
                <w:sz w:val="24"/>
                <w:highlight w:val="none"/>
              </w:rPr>
              <w:t>生产的产污系数，产污系数为</w:t>
            </w:r>
            <w:r>
              <w:rPr>
                <w:color w:val="000000"/>
                <w:sz w:val="24"/>
                <w:highlight w:val="none"/>
              </w:rPr>
              <w:t>2.7</w:t>
            </w:r>
            <w:r>
              <w:rPr>
                <w:rFonts w:hint="eastAsia"/>
                <w:color w:val="000000"/>
                <w:sz w:val="24"/>
                <w:highlight w:val="none"/>
              </w:rPr>
              <w:t>千克/吨-产品，</w:t>
            </w:r>
            <w:r>
              <w:rPr>
                <w:rFonts w:hint="eastAsia"/>
                <w:color w:val="000000"/>
                <w:sz w:val="24"/>
                <w:highlight w:val="none"/>
                <w:lang w:val="en-US" w:eastAsia="zh-CN"/>
              </w:rPr>
              <w:t>本项目生产所需PET空瓶质量6</w:t>
            </w:r>
            <w:r>
              <w:rPr>
                <w:rFonts w:hint="eastAsia"/>
                <w:color w:val="auto"/>
                <w:sz w:val="24"/>
                <w:highlight w:val="none"/>
                <w:lang w:val="en-US" w:eastAsia="zh-CN"/>
              </w:rPr>
              <w:t>000</w:t>
            </w:r>
            <w:r>
              <w:rPr>
                <w:rFonts w:hint="eastAsia"/>
                <w:color w:val="auto"/>
                <w:sz w:val="24"/>
                <w:highlight w:val="none"/>
              </w:rPr>
              <w:t>t/a</w:t>
            </w:r>
            <w:r>
              <w:rPr>
                <w:rFonts w:hint="eastAsia"/>
                <w:color w:val="auto"/>
                <w:sz w:val="24"/>
                <w:highlight w:val="none"/>
                <w:lang w:eastAsia="zh-CN"/>
              </w:rPr>
              <w:t>，</w:t>
            </w:r>
            <w:r>
              <w:rPr>
                <w:rFonts w:hint="eastAsia"/>
                <w:color w:val="000000"/>
                <w:sz w:val="24"/>
                <w:highlight w:val="none"/>
              </w:rPr>
              <w:t>则项目</w:t>
            </w:r>
            <w:r>
              <w:rPr>
                <w:rFonts w:hint="eastAsia"/>
                <w:color w:val="000000"/>
                <w:sz w:val="24"/>
                <w:highlight w:val="none"/>
                <w:lang w:val="en-US" w:eastAsia="zh-CN"/>
              </w:rPr>
              <w:t>熔塑、</w:t>
            </w:r>
            <w:r>
              <w:rPr>
                <w:rFonts w:hint="eastAsia"/>
                <w:color w:val="000000"/>
                <w:sz w:val="24"/>
                <w:highlight w:val="none"/>
              </w:rPr>
              <w:t>注塑</w:t>
            </w:r>
            <w:r>
              <w:rPr>
                <w:rFonts w:hint="eastAsia"/>
                <w:color w:val="000000"/>
                <w:sz w:val="24"/>
                <w:highlight w:val="none"/>
                <w:lang w:eastAsia="zh-CN"/>
              </w:rPr>
              <w:t>、</w:t>
            </w:r>
            <w:r>
              <w:rPr>
                <w:rFonts w:hint="eastAsia"/>
                <w:color w:val="000000"/>
                <w:sz w:val="24"/>
                <w:highlight w:val="none"/>
                <w:lang w:val="en-US" w:eastAsia="zh-CN"/>
              </w:rPr>
              <w:t>吹塑</w:t>
            </w:r>
            <w:r>
              <w:rPr>
                <w:rFonts w:hint="eastAsia"/>
                <w:color w:val="000000"/>
                <w:sz w:val="24"/>
                <w:highlight w:val="none"/>
              </w:rPr>
              <w:t>过程中废气产生量</w:t>
            </w:r>
            <w:r>
              <w:rPr>
                <w:rFonts w:hint="eastAsia"/>
                <w:color w:val="auto"/>
                <w:sz w:val="24"/>
                <w:highlight w:val="none"/>
                <w:lang w:val="en-US" w:eastAsia="zh-CN"/>
              </w:rPr>
              <w:t>约</w:t>
            </w:r>
            <w:r>
              <w:rPr>
                <w:rFonts w:hint="eastAsia"/>
                <w:color w:val="auto"/>
                <w:sz w:val="24"/>
                <w:highlight w:val="none"/>
              </w:rPr>
              <w:t>为</w:t>
            </w:r>
            <w:r>
              <w:rPr>
                <w:rFonts w:hint="eastAsia"/>
                <w:color w:val="auto"/>
                <w:sz w:val="24"/>
                <w:highlight w:val="none"/>
                <w:lang w:val="en-US" w:eastAsia="zh-CN"/>
              </w:rPr>
              <w:t>16.2</w:t>
            </w:r>
            <w:r>
              <w:rPr>
                <w:rFonts w:hint="eastAsia"/>
                <w:color w:val="auto"/>
                <w:sz w:val="24"/>
                <w:highlight w:val="none"/>
              </w:rPr>
              <w:t>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rPr>
            </w:pPr>
            <w:r>
              <w:rPr>
                <w:rFonts w:hint="eastAsia"/>
              </w:rPr>
              <w:t>针对</w:t>
            </w:r>
            <w:r>
              <w:rPr>
                <w:rFonts w:hint="eastAsia"/>
                <w:color w:val="000000"/>
                <w:sz w:val="24"/>
                <w:highlight w:val="none"/>
                <w:lang w:val="en-US" w:eastAsia="zh-CN"/>
              </w:rPr>
              <w:t>熔塑、</w:t>
            </w:r>
            <w:r>
              <w:rPr>
                <w:rFonts w:hint="eastAsia"/>
                <w:color w:val="000000"/>
                <w:sz w:val="24"/>
                <w:highlight w:val="none"/>
              </w:rPr>
              <w:t>注塑</w:t>
            </w:r>
            <w:r>
              <w:rPr>
                <w:rFonts w:hint="eastAsia"/>
                <w:color w:val="000000"/>
                <w:sz w:val="24"/>
                <w:highlight w:val="none"/>
                <w:lang w:eastAsia="zh-CN"/>
              </w:rPr>
              <w:t>、</w:t>
            </w:r>
            <w:r>
              <w:rPr>
                <w:rFonts w:hint="eastAsia"/>
                <w:color w:val="000000"/>
                <w:sz w:val="24"/>
                <w:highlight w:val="none"/>
                <w:lang w:val="en-US" w:eastAsia="zh-CN"/>
              </w:rPr>
              <w:t>吹塑</w:t>
            </w:r>
            <w:r>
              <w:rPr>
                <w:rFonts w:hint="eastAsia"/>
              </w:rPr>
              <w:t>工序产生的废气，要求建设单位</w:t>
            </w:r>
            <w:r>
              <w:rPr>
                <w:rFonts w:hint="eastAsia"/>
                <w:szCs w:val="32"/>
              </w:rPr>
              <w:t>在该废气</w:t>
            </w:r>
            <w:r>
              <w:rPr>
                <w:rFonts w:hint="eastAsia"/>
                <w:szCs w:val="32"/>
                <w:lang w:val="en-US" w:eastAsia="zh-CN"/>
              </w:rPr>
              <w:t>收集后，在注塑机和吹瓶机分别</w:t>
            </w:r>
            <w:r>
              <w:rPr>
                <w:rFonts w:hint="eastAsia"/>
                <w:szCs w:val="32"/>
              </w:rPr>
              <w:t>设置一套</w:t>
            </w:r>
            <w:r>
              <w:rPr>
                <w:rFonts w:hint="eastAsia"/>
                <w:szCs w:val="32"/>
                <w:lang w:val="en-US" w:eastAsia="zh-CN"/>
              </w:rPr>
              <w:t>催化燃烧装置</w:t>
            </w:r>
            <w:r>
              <w:rPr>
                <w:rFonts w:hint="eastAsia"/>
                <w:szCs w:val="32"/>
              </w:rPr>
              <w:t>。</w:t>
            </w:r>
            <w:r>
              <w:rPr>
                <w:rFonts w:hint="eastAsia"/>
                <w:szCs w:val="32"/>
                <w:lang w:val="en-US" w:eastAsia="zh-CN"/>
              </w:rPr>
              <w:t>集气罩</w:t>
            </w:r>
            <w:r>
              <w:rPr>
                <w:rFonts w:hint="eastAsia"/>
                <w:szCs w:val="32"/>
              </w:rPr>
              <w:t>收集效率90%，则</w:t>
            </w:r>
            <w:r>
              <w:rPr>
                <w:rFonts w:hint="eastAsia"/>
                <w:szCs w:val="32"/>
                <w:lang w:val="en-US" w:eastAsia="zh-CN"/>
              </w:rPr>
              <w:t>废气</w:t>
            </w:r>
            <w:r>
              <w:rPr>
                <w:rFonts w:hint="eastAsia"/>
                <w:szCs w:val="32"/>
              </w:rPr>
              <w:t>收集量为</w:t>
            </w:r>
            <w:r>
              <w:rPr>
                <w:rFonts w:hint="eastAsia"/>
                <w:szCs w:val="32"/>
                <w:lang w:val="en-US" w:eastAsia="zh-CN"/>
              </w:rPr>
              <w:t>14.58</w:t>
            </w:r>
            <w:r>
              <w:rPr>
                <w:rFonts w:hint="eastAsia"/>
              </w:rPr>
              <w:t>t/a，废气经</w:t>
            </w:r>
            <w:r>
              <w:rPr>
                <w:rFonts w:hint="eastAsia"/>
                <w:szCs w:val="32"/>
                <w:lang w:val="en-US" w:eastAsia="zh-CN"/>
              </w:rPr>
              <w:t>催化燃烧装置</w:t>
            </w:r>
            <w:r>
              <w:rPr>
                <w:rFonts w:hint="eastAsia"/>
              </w:rPr>
              <w:t>处理，</w:t>
            </w:r>
            <w:r>
              <w:rPr>
                <w:rFonts w:hint="eastAsia"/>
                <w:lang w:val="en-US" w:eastAsia="zh-CN"/>
              </w:rPr>
              <w:t>废气</w:t>
            </w:r>
            <w:r>
              <w:t>净化效率可达</w:t>
            </w:r>
            <w:r>
              <w:rPr>
                <w:rFonts w:hint="eastAsia"/>
                <w:lang w:val="en-US" w:eastAsia="zh-CN"/>
              </w:rPr>
              <w:t>97</w:t>
            </w:r>
            <w:r>
              <w:t>%，</w:t>
            </w:r>
            <w:r>
              <w:rPr>
                <w:rFonts w:hint="eastAsia"/>
                <w:color w:val="000000"/>
              </w:rPr>
              <w:t>净化</w:t>
            </w:r>
            <w:r>
              <w:rPr>
                <w:rFonts w:hint="eastAsia"/>
              </w:rPr>
              <w:t>后的废气</w:t>
            </w:r>
            <w:r>
              <w:rPr>
                <w:rFonts w:hint="eastAsia"/>
                <w:lang w:val="en-US" w:eastAsia="zh-CN"/>
              </w:rPr>
              <w:t>分别</w:t>
            </w:r>
            <w:r>
              <w:rPr>
                <w:rFonts w:hint="eastAsia"/>
              </w:rPr>
              <w:t>通过1根</w:t>
            </w:r>
            <w:r>
              <w:rPr>
                <w:rFonts w:hint="eastAsia"/>
                <w:lang w:val="en-US" w:eastAsia="zh-CN"/>
              </w:rPr>
              <w:t>20</w:t>
            </w:r>
            <w:r>
              <w:rPr>
                <w:rFonts w:hint="eastAsia"/>
              </w:rPr>
              <w:t>m高排气筒DA00</w:t>
            </w:r>
            <w:r>
              <w:rPr>
                <w:rFonts w:hint="eastAsia"/>
                <w:lang w:val="en-US" w:eastAsia="zh-CN"/>
              </w:rPr>
              <w:t>5、</w:t>
            </w:r>
            <w:r>
              <w:rPr>
                <w:rFonts w:hint="eastAsia"/>
              </w:rPr>
              <w:t>1根</w:t>
            </w:r>
            <w:r>
              <w:rPr>
                <w:rFonts w:hint="eastAsia"/>
                <w:lang w:val="en-US" w:eastAsia="zh-CN"/>
              </w:rPr>
              <w:t>20</w:t>
            </w:r>
            <w:r>
              <w:rPr>
                <w:rFonts w:hint="eastAsia"/>
              </w:rPr>
              <w:t>m高排气筒DA00</w:t>
            </w:r>
            <w:r>
              <w:rPr>
                <w:rFonts w:hint="eastAsia"/>
                <w:lang w:val="en-US" w:eastAsia="zh-CN"/>
              </w:rPr>
              <w:t>6</w:t>
            </w:r>
            <w:r>
              <w:rPr>
                <w:rFonts w:hint="eastAsia"/>
              </w:rPr>
              <w:t>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sz w:val="24"/>
              </w:rPr>
            </w:pPr>
            <w:r>
              <w:rPr>
                <w:sz w:val="24"/>
              </w:rPr>
              <w:t>项目</w:t>
            </w:r>
            <w:r>
              <w:rPr>
                <w:rFonts w:hint="eastAsia"/>
                <w:sz w:val="24"/>
                <w:lang w:val="en-US" w:eastAsia="zh-CN"/>
              </w:rPr>
              <w:t>注塑、吹塑生产线出料口</w:t>
            </w:r>
            <w:r>
              <w:rPr>
                <w:sz w:val="24"/>
              </w:rPr>
              <w:t>上方设置集</w:t>
            </w:r>
            <w:r>
              <w:rPr>
                <w:rFonts w:hint="eastAsia"/>
                <w:sz w:val="24"/>
                <w:lang w:val="en-US" w:eastAsia="zh-CN"/>
              </w:rPr>
              <w:t>气</w:t>
            </w:r>
            <w:r>
              <w:rPr>
                <w:sz w:val="24"/>
              </w:rPr>
              <w:t>罩</w:t>
            </w:r>
            <w:r>
              <w:rPr>
                <w:bCs/>
                <w:sz w:val="24"/>
              </w:rPr>
              <w:t>（集</w:t>
            </w:r>
            <w:r>
              <w:rPr>
                <w:rFonts w:hint="eastAsia"/>
                <w:bCs/>
                <w:sz w:val="24"/>
                <w:lang w:val="en-US" w:eastAsia="zh-CN"/>
              </w:rPr>
              <w:t>气</w:t>
            </w:r>
            <w:r>
              <w:rPr>
                <w:bCs/>
                <w:sz w:val="24"/>
              </w:rPr>
              <w:t>罩尺寸约为</w:t>
            </w:r>
            <w:r>
              <w:rPr>
                <w:rFonts w:hint="eastAsia"/>
                <w:bCs/>
                <w:sz w:val="24"/>
                <w:lang w:val="en-US" w:eastAsia="zh-CN"/>
              </w:rPr>
              <w:t>7.0</w:t>
            </w:r>
            <w:r>
              <w:rPr>
                <w:bCs/>
                <w:sz w:val="24"/>
              </w:rPr>
              <w:t>m×</w:t>
            </w:r>
            <w:r>
              <w:rPr>
                <w:rFonts w:hint="eastAsia"/>
                <w:bCs/>
                <w:sz w:val="24"/>
                <w:lang w:val="en-US" w:eastAsia="zh-CN"/>
              </w:rPr>
              <w:t>1.6</w:t>
            </w:r>
            <w:r>
              <w:rPr>
                <w:bCs/>
                <w:sz w:val="24"/>
              </w:rPr>
              <w:t>m，距</w:t>
            </w:r>
            <w:r>
              <w:rPr>
                <w:rFonts w:hint="eastAsia"/>
                <w:bCs/>
                <w:sz w:val="24"/>
                <w:lang w:val="en-US" w:eastAsia="zh-CN"/>
              </w:rPr>
              <w:t>注塑、吹塑生产线</w:t>
            </w:r>
            <w:r>
              <w:rPr>
                <w:bCs/>
                <w:sz w:val="24"/>
              </w:rPr>
              <w:t>距离约30cm）</w:t>
            </w:r>
            <w:r>
              <w:rPr>
                <w:sz w:val="24"/>
              </w:rPr>
              <w:t>。根据《局部排风设施控制风速检测与评估技术规范》表1（AQ/T 4274—2016）中的上吸式集气罩设施控制风速，将风速设定为</w:t>
            </w:r>
            <w:r>
              <w:rPr>
                <w:rFonts w:hint="eastAsia"/>
                <w:sz w:val="24"/>
                <w:lang w:val="en-US" w:eastAsia="zh-CN"/>
              </w:rPr>
              <w:t>0.5</w:t>
            </w:r>
            <w:r>
              <w:rPr>
                <w:sz w:val="24"/>
              </w:rPr>
              <w:t>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sz w:val="24"/>
              </w:rPr>
            </w:pPr>
            <w:r>
              <w:rPr>
                <w:sz w:val="24"/>
              </w:rPr>
              <w:t>根据《简明通风设计手册》，单个集气罩集气风量计算公式：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sz w:val="24"/>
              </w:rPr>
            </w:pPr>
            <w:r>
              <w:rPr>
                <w:sz w:val="24"/>
              </w:rPr>
              <w:t>Q=K（a+b）×H×V</w:t>
            </w:r>
            <w:r>
              <w:rPr>
                <w:sz w:val="24"/>
                <w:vertAlign w:val="subscript"/>
              </w:rPr>
              <w:t>0</w:t>
            </w:r>
            <w:r>
              <w:rPr>
                <w:sz w:val="24"/>
              </w:rPr>
              <w:t>×3600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sz w:val="24"/>
              </w:rPr>
            </w:pPr>
            <w:r>
              <w:rPr>
                <w:sz w:val="24"/>
              </w:rPr>
              <w:t>式中：Q：集气罩集气风量，单位为m</w:t>
            </w:r>
            <w:r>
              <w:rPr>
                <w:sz w:val="24"/>
                <w:vertAlign w:val="superscript"/>
              </w:rPr>
              <w:t>3</w:t>
            </w:r>
            <w:r>
              <w:rPr>
                <w:sz w:val="24"/>
              </w:rPr>
              <w:t>/h；</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outlineLvl w:val="9"/>
              <w:rPr>
                <w:sz w:val="24"/>
              </w:rPr>
            </w:pPr>
            <w:r>
              <w:rPr>
                <w:sz w:val="24"/>
              </w:rPr>
              <w:t>K：安全系数1.0；（a+b）为集气罩周长，单位为m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outlineLvl w:val="9"/>
              <w:rPr>
                <w:sz w:val="24"/>
              </w:rPr>
            </w:pPr>
            <w:r>
              <w:rPr>
                <w:sz w:val="24"/>
              </w:rPr>
              <w:t>H：罩口至污染源的距离，单位为m；</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outlineLvl w:val="9"/>
              <w:rPr>
                <w:sz w:val="24"/>
              </w:rPr>
            </w:pPr>
            <w:r>
              <w:rPr>
                <w:sz w:val="24"/>
              </w:rPr>
              <w:t>V</w:t>
            </w:r>
            <w:r>
              <w:rPr>
                <w:sz w:val="24"/>
                <w:vertAlign w:val="subscript"/>
              </w:rPr>
              <w:t>0</w:t>
            </w:r>
            <w:r>
              <w:rPr>
                <w:sz w:val="24"/>
              </w:rPr>
              <w:t xml:space="preserve">：为污染源气体流速，单位为m/s。 </w:t>
            </w:r>
          </w:p>
          <w:p>
            <w:pPr>
              <w:keepNext w:val="0"/>
              <w:keepLines w:val="0"/>
              <w:pageBreakBefore w:val="0"/>
              <w:widowControl w:val="0"/>
              <w:numPr>
                <w:ilvl w:val="0"/>
                <w:numId w:val="0"/>
              </w:numPr>
              <w:tabs>
                <w:tab w:val="left" w:pos="617"/>
              </w:tabs>
              <w:kinsoku/>
              <w:wordWrap/>
              <w:overflowPunct/>
              <w:topLinePunct w:val="0"/>
              <w:autoSpaceDE/>
              <w:autoSpaceDN/>
              <w:bidi w:val="0"/>
              <w:adjustRightInd w:val="0"/>
              <w:snapToGrid w:val="0"/>
              <w:spacing w:line="360" w:lineRule="auto"/>
              <w:ind w:firstLine="480" w:firstLineChars="200"/>
              <w:jc w:val="both"/>
              <w:textAlignment w:val="auto"/>
              <w:rPr>
                <w:sz w:val="24"/>
              </w:rPr>
            </w:pPr>
            <w:r>
              <w:rPr>
                <w:sz w:val="24"/>
              </w:rPr>
              <w:t>根据计算，</w:t>
            </w:r>
            <w:r>
              <w:rPr>
                <w:rFonts w:hint="eastAsia"/>
                <w:sz w:val="24"/>
                <w:lang w:val="en-US" w:eastAsia="zh-CN"/>
              </w:rPr>
              <w:t>注塑、吹塑生产线出料口</w:t>
            </w:r>
            <w:r>
              <w:rPr>
                <w:sz w:val="24"/>
              </w:rPr>
              <w:t>上方集</w:t>
            </w:r>
            <w:r>
              <w:rPr>
                <w:rFonts w:hint="eastAsia"/>
                <w:sz w:val="24"/>
                <w:lang w:val="en-US" w:eastAsia="zh-CN"/>
              </w:rPr>
              <w:t>气</w:t>
            </w:r>
            <w:r>
              <w:rPr>
                <w:sz w:val="24"/>
              </w:rPr>
              <w:t>罩风量需求为</w:t>
            </w:r>
            <w:r>
              <w:rPr>
                <w:rFonts w:hint="eastAsia"/>
                <w:sz w:val="24"/>
                <w:lang w:val="en-US" w:eastAsia="zh-CN"/>
              </w:rPr>
              <w:t>9288</w:t>
            </w:r>
            <w:r>
              <w:rPr>
                <w:sz w:val="24"/>
              </w:rPr>
              <w:t>m</w:t>
            </w:r>
            <w:r>
              <w:rPr>
                <w:sz w:val="24"/>
                <w:vertAlign w:val="superscript"/>
              </w:rPr>
              <w:t>3</w:t>
            </w:r>
            <w:r>
              <w:rPr>
                <w:sz w:val="24"/>
              </w:rPr>
              <w:t>/h。考虑到风量损失，则DA00</w:t>
            </w:r>
            <w:r>
              <w:rPr>
                <w:rFonts w:hint="eastAsia"/>
                <w:sz w:val="24"/>
                <w:lang w:val="en-US" w:eastAsia="zh-CN"/>
              </w:rPr>
              <w:t>5、</w:t>
            </w:r>
            <w:r>
              <w:rPr>
                <w:sz w:val="24"/>
              </w:rPr>
              <w:t>DA00</w:t>
            </w:r>
            <w:r>
              <w:rPr>
                <w:rFonts w:hint="eastAsia"/>
                <w:sz w:val="24"/>
                <w:lang w:val="en-US" w:eastAsia="zh-CN"/>
              </w:rPr>
              <w:t>6</w:t>
            </w:r>
            <w:r>
              <w:rPr>
                <w:sz w:val="24"/>
              </w:rPr>
              <w:t>排气筒风量</w:t>
            </w:r>
            <w:r>
              <w:rPr>
                <w:rFonts w:hint="eastAsia"/>
                <w:sz w:val="24"/>
                <w:lang w:val="en-US" w:eastAsia="zh-CN"/>
              </w:rPr>
              <w:t>皆</w:t>
            </w:r>
            <w:r>
              <w:rPr>
                <w:sz w:val="24"/>
              </w:rPr>
              <w:t>为</w:t>
            </w:r>
            <w:r>
              <w:rPr>
                <w:rFonts w:hint="eastAsia"/>
                <w:sz w:val="24"/>
                <w:lang w:val="en-US" w:eastAsia="zh-CN"/>
              </w:rPr>
              <w:t>10000</w:t>
            </w:r>
            <w:r>
              <w:rPr>
                <w:sz w:val="24"/>
              </w:rPr>
              <w:t xml:space="preserve"> m</w:t>
            </w:r>
            <w:r>
              <w:rPr>
                <w:sz w:val="24"/>
                <w:vertAlign w:val="superscript"/>
              </w:rPr>
              <w:t>3</w:t>
            </w:r>
            <w:r>
              <w:rPr>
                <w:sz w:val="24"/>
              </w:rPr>
              <w:t>/h。项目</w:t>
            </w:r>
            <w:r>
              <w:rPr>
                <w:rFonts w:hint="eastAsia"/>
                <w:sz w:val="24"/>
                <w:lang w:val="en-US" w:eastAsia="zh-CN"/>
              </w:rPr>
              <w:t>注塑</w:t>
            </w:r>
            <w:r>
              <w:rPr>
                <w:sz w:val="24"/>
              </w:rPr>
              <w:t>机</w:t>
            </w:r>
            <w:r>
              <w:rPr>
                <w:rFonts w:hint="eastAsia"/>
                <w:sz w:val="24"/>
                <w:lang w:eastAsia="zh-CN"/>
              </w:rPr>
              <w:t>、</w:t>
            </w:r>
            <w:r>
              <w:rPr>
                <w:rFonts w:hint="eastAsia"/>
                <w:sz w:val="24"/>
                <w:lang w:val="en-US" w:eastAsia="zh-CN"/>
              </w:rPr>
              <w:t>吹瓶机</w:t>
            </w:r>
            <w:r>
              <w:rPr>
                <w:sz w:val="24"/>
              </w:rPr>
              <w:t>工作时间约</w:t>
            </w:r>
            <w:r>
              <w:rPr>
                <w:rFonts w:hint="eastAsia"/>
                <w:sz w:val="24"/>
                <w:lang w:val="en-US" w:eastAsia="zh-CN"/>
              </w:rPr>
              <w:t>7200</w:t>
            </w:r>
            <w:r>
              <w:rPr>
                <w:sz w:val="24"/>
              </w:rPr>
              <w:t>小时。</w:t>
            </w:r>
          </w:p>
          <w:p>
            <w:pPr>
              <w:keepNext w:val="0"/>
              <w:keepLines w:val="0"/>
              <w:pageBreakBefore w:val="0"/>
              <w:widowControl w:val="0"/>
              <w:numPr>
                <w:ilvl w:val="0"/>
                <w:numId w:val="0"/>
              </w:numPr>
              <w:tabs>
                <w:tab w:val="left" w:pos="617"/>
              </w:tabs>
              <w:kinsoku/>
              <w:wordWrap/>
              <w:overflowPunct/>
              <w:topLinePunct w:val="0"/>
              <w:autoSpaceDE/>
              <w:autoSpaceDN/>
              <w:bidi w:val="0"/>
              <w:adjustRightInd w:val="0"/>
              <w:snapToGrid w:val="0"/>
              <w:spacing w:line="360" w:lineRule="auto"/>
              <w:ind w:firstLine="480" w:firstLineChars="200"/>
              <w:jc w:val="both"/>
              <w:textAlignment w:val="auto"/>
              <w:rPr>
                <w:rFonts w:hint="eastAsia"/>
                <w:sz w:val="24"/>
                <w:lang w:val="en-US" w:eastAsia="zh-CN"/>
              </w:rPr>
            </w:pP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w:t>
            </w:r>
            <w:r>
              <w:rPr>
                <w:rFonts w:hint="eastAsia"/>
                <w:sz w:val="24"/>
                <w:lang w:val="en-US" w:eastAsia="zh-CN"/>
              </w:rPr>
              <w:t>食堂油烟废气</w:t>
            </w:r>
          </w:p>
          <w:p>
            <w:pPr>
              <w:adjustRightInd w:val="0"/>
              <w:snapToGrid w:val="0"/>
              <w:spacing w:line="360" w:lineRule="auto"/>
              <w:ind w:firstLine="480" w:firstLineChars="200"/>
              <w:rPr>
                <w:rFonts w:hint="default" w:ascii="Times New Roman" w:hAnsi="Times New Roman" w:eastAsia="宋体" w:cs="Times New Roman"/>
                <w:snapToGrid w:val="0"/>
                <w:color w:val="auto"/>
                <w:sz w:val="24"/>
              </w:rPr>
            </w:pPr>
            <w:r>
              <w:rPr>
                <w:rFonts w:hint="eastAsia" w:ascii="Times New Roman" w:hAnsi="Times New Roman" w:cs="Times New Roman"/>
                <w:snapToGrid w:val="0"/>
                <w:color w:val="auto"/>
                <w:sz w:val="24"/>
                <w:lang w:val="en-US" w:eastAsia="zh-CN"/>
              </w:rPr>
              <w:t>本项目</w:t>
            </w:r>
            <w:r>
              <w:rPr>
                <w:rFonts w:hint="default" w:ascii="Times New Roman" w:hAnsi="Times New Roman" w:eastAsia="宋体" w:cs="Times New Roman"/>
                <w:snapToGrid w:val="0"/>
                <w:color w:val="auto"/>
                <w:sz w:val="24"/>
              </w:rPr>
              <w:t>烹饪过程产生的大气污染物主要为油烟废气。食堂在进行食物烹调、加工过程中挥发的油脂、有机质及热分解或裂解物会产生一定量的油烟废气。</w:t>
            </w:r>
          </w:p>
          <w:p>
            <w:pPr>
              <w:keepNext w:val="0"/>
              <w:keepLines w:val="0"/>
              <w:pageBreakBefore w:val="0"/>
              <w:widowControl w:val="0"/>
              <w:numPr>
                <w:ilvl w:val="0"/>
                <w:numId w:val="0"/>
              </w:numPr>
              <w:tabs>
                <w:tab w:val="left" w:pos="617"/>
              </w:tabs>
              <w:kinsoku/>
              <w:wordWrap/>
              <w:overflowPunct/>
              <w:topLinePunct w:val="0"/>
              <w:autoSpaceDE/>
              <w:autoSpaceDN/>
              <w:bidi w:val="0"/>
              <w:adjustRightInd w:val="0"/>
              <w:snapToGrid w:val="0"/>
              <w:spacing w:line="360" w:lineRule="auto"/>
              <w:ind w:leftChars="0" w:firstLine="480" w:firstLineChars="200"/>
              <w:jc w:val="both"/>
              <w:textAlignment w:val="auto"/>
              <w:rPr>
                <w:rFonts w:hint="default" w:eastAsia="宋体"/>
                <w:sz w:val="24"/>
                <w:lang w:val="en-US" w:eastAsia="zh-CN"/>
              </w:rPr>
            </w:pPr>
            <w:r>
              <w:rPr>
                <w:rFonts w:hint="eastAsia"/>
                <w:sz w:val="24"/>
                <w:lang w:val="en-US" w:eastAsia="zh-CN"/>
              </w:rPr>
              <w:t>本项目新增人员9人，</w:t>
            </w:r>
            <w:r>
              <w:rPr>
                <w:rFonts w:hint="default" w:ascii="Times New Roman" w:hAnsi="Times New Roman" w:eastAsia="宋体" w:cs="Times New Roman"/>
                <w:snapToGrid w:val="0"/>
                <w:color w:val="auto"/>
                <w:sz w:val="24"/>
                <w:highlight w:val="none"/>
              </w:rPr>
              <w:t>日就餐人次按</w:t>
            </w:r>
            <w:r>
              <w:rPr>
                <w:rFonts w:hint="eastAsia" w:ascii="Times New Roman" w:hAnsi="Times New Roman" w:cs="Times New Roman"/>
                <w:snapToGrid w:val="0"/>
                <w:color w:val="auto"/>
                <w:sz w:val="24"/>
                <w:highlight w:val="none"/>
                <w:lang w:val="en-US" w:eastAsia="zh-CN"/>
              </w:rPr>
              <w:t>18</w:t>
            </w:r>
            <w:r>
              <w:rPr>
                <w:rFonts w:hint="default" w:ascii="Times New Roman" w:hAnsi="Times New Roman" w:eastAsia="宋体" w:cs="Times New Roman"/>
                <w:snapToGrid w:val="0"/>
                <w:color w:val="auto"/>
                <w:sz w:val="24"/>
                <w:highlight w:val="none"/>
              </w:rPr>
              <w:t>人·次计，类比有关统计资料，人均食用油日用量为</w:t>
            </w:r>
            <w:r>
              <w:rPr>
                <w:rFonts w:hint="eastAsia" w:ascii="Times New Roman" w:hAnsi="Times New Roman" w:cs="Times New Roman"/>
                <w:snapToGrid w:val="0"/>
                <w:color w:val="auto"/>
                <w:sz w:val="24"/>
                <w:highlight w:val="none"/>
                <w:lang w:val="en-US" w:eastAsia="zh-CN"/>
              </w:rPr>
              <w:t>3</w:t>
            </w:r>
            <w:r>
              <w:rPr>
                <w:rFonts w:hint="default" w:ascii="Times New Roman" w:hAnsi="Times New Roman" w:eastAsia="宋体" w:cs="Times New Roman"/>
                <w:snapToGrid w:val="0"/>
                <w:color w:val="auto"/>
                <w:sz w:val="24"/>
                <w:highlight w:val="none"/>
              </w:rPr>
              <w:t>0g/人·餐，则本项目食用油用量为</w:t>
            </w:r>
            <w:r>
              <w:rPr>
                <w:rFonts w:hint="eastAsia" w:ascii="Times New Roman" w:hAnsi="Times New Roman" w:cs="Times New Roman"/>
                <w:snapToGrid w:val="0"/>
                <w:color w:val="auto"/>
                <w:sz w:val="24"/>
                <w:highlight w:val="none"/>
                <w:lang w:val="en-US" w:eastAsia="zh-CN"/>
              </w:rPr>
              <w:t>0.54</w:t>
            </w:r>
            <w:r>
              <w:rPr>
                <w:rFonts w:hint="default" w:ascii="Times New Roman" w:hAnsi="Times New Roman" w:eastAsia="宋体" w:cs="Times New Roman"/>
                <w:snapToGrid w:val="0"/>
                <w:color w:val="auto"/>
                <w:sz w:val="24"/>
                <w:highlight w:val="none"/>
              </w:rPr>
              <w:t>kg/d，</w:t>
            </w:r>
            <w:r>
              <w:rPr>
                <w:rFonts w:hint="eastAsia" w:ascii="Times New Roman" w:hAnsi="Times New Roman" w:cs="Times New Roman"/>
                <w:snapToGrid w:val="0"/>
                <w:color w:val="auto"/>
                <w:sz w:val="24"/>
                <w:highlight w:val="none"/>
                <w:lang w:val="en-US" w:eastAsia="zh-CN"/>
              </w:rPr>
              <w:t>0.16</w:t>
            </w:r>
            <w:r>
              <w:rPr>
                <w:rFonts w:hint="default" w:ascii="Times New Roman" w:hAnsi="Times New Roman" w:eastAsia="宋体" w:cs="Times New Roman"/>
                <w:snapToGrid w:val="0"/>
                <w:color w:val="auto"/>
                <w:sz w:val="24"/>
                <w:highlight w:val="none"/>
              </w:rPr>
              <w:t>t/a，油烟挥发量占耗油2%，年工作日约</w:t>
            </w:r>
            <w:r>
              <w:rPr>
                <w:rFonts w:hint="eastAsia" w:ascii="Times New Roman" w:hAnsi="Times New Roman" w:cs="Times New Roman"/>
                <w:snapToGrid w:val="0"/>
                <w:color w:val="auto"/>
                <w:sz w:val="24"/>
                <w:highlight w:val="none"/>
                <w:lang w:val="en-US" w:eastAsia="zh-CN"/>
              </w:rPr>
              <w:t>30</w:t>
            </w:r>
            <w:r>
              <w:rPr>
                <w:rFonts w:hint="default" w:ascii="Times New Roman" w:hAnsi="Times New Roman" w:eastAsia="宋体" w:cs="Times New Roman"/>
                <w:snapToGrid w:val="0"/>
                <w:color w:val="auto"/>
                <w:sz w:val="24"/>
                <w:highlight w:val="none"/>
              </w:rPr>
              <w:t>0天，日工作时间为</w:t>
            </w:r>
            <w:r>
              <w:rPr>
                <w:rFonts w:hint="eastAsia" w:ascii="Times New Roman" w:hAnsi="Times New Roman" w:cs="Times New Roman"/>
                <w:snapToGrid w:val="0"/>
                <w:color w:val="auto"/>
                <w:sz w:val="24"/>
                <w:highlight w:val="none"/>
                <w:lang w:val="en-US" w:eastAsia="zh-CN"/>
              </w:rPr>
              <w:t>6</w:t>
            </w:r>
            <w:r>
              <w:rPr>
                <w:rFonts w:hint="default" w:ascii="Times New Roman" w:hAnsi="Times New Roman" w:eastAsia="宋体" w:cs="Times New Roman"/>
                <w:snapToGrid w:val="0"/>
                <w:color w:val="auto"/>
                <w:sz w:val="24"/>
                <w:highlight w:val="none"/>
              </w:rPr>
              <w:t>h，则预计食堂油烟产生量约为</w:t>
            </w:r>
            <w:r>
              <w:rPr>
                <w:rFonts w:hint="eastAsia" w:ascii="Times New Roman" w:hAnsi="Times New Roman" w:eastAsia="宋体" w:cs="Times New Roman"/>
                <w:snapToGrid w:val="0"/>
                <w:color w:val="auto"/>
                <w:sz w:val="24"/>
                <w:highlight w:val="none"/>
                <w:lang w:val="en-US" w:eastAsia="zh-CN"/>
              </w:rPr>
              <w:t>0.</w:t>
            </w:r>
            <w:r>
              <w:rPr>
                <w:rFonts w:hint="eastAsia" w:ascii="Times New Roman" w:hAnsi="Times New Roman" w:cs="Times New Roman"/>
                <w:snapToGrid w:val="0"/>
                <w:color w:val="auto"/>
                <w:sz w:val="24"/>
                <w:highlight w:val="none"/>
                <w:lang w:val="en-US" w:eastAsia="zh-CN"/>
              </w:rPr>
              <w:t>0032</w:t>
            </w:r>
            <w:r>
              <w:rPr>
                <w:rFonts w:hint="default" w:ascii="Times New Roman" w:hAnsi="Times New Roman" w:eastAsia="宋体" w:cs="Times New Roman"/>
                <w:snapToGrid w:val="0"/>
                <w:color w:val="auto"/>
                <w:sz w:val="24"/>
                <w:highlight w:val="none"/>
              </w:rPr>
              <w:t>t/a，</w:t>
            </w:r>
            <w:r>
              <w:rPr>
                <w:rFonts w:hint="eastAsia" w:ascii="Times New Roman" w:hAnsi="Times New Roman" w:cs="Times New Roman"/>
                <w:snapToGrid w:val="0"/>
                <w:color w:val="auto"/>
                <w:sz w:val="24"/>
                <w:highlight w:val="none"/>
                <w:lang w:val="en-US" w:eastAsia="zh-CN"/>
              </w:rPr>
              <w:t>产生的油烟依托已有的油烟净化处理设施进行处理后，由20m高排气筒（DA004）排放。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rPr>
            </w:pPr>
            <w:r>
              <w:rPr>
                <w:rFonts w:hint="eastAsia"/>
              </w:rPr>
              <w:t>（</w:t>
            </w:r>
            <w:r>
              <w:rPr>
                <w:rFonts w:hint="eastAsia"/>
                <w:lang w:val="en-US" w:eastAsia="zh-CN"/>
              </w:rPr>
              <w:t>3</w:t>
            </w:r>
            <w:r>
              <w:rPr>
                <w:rFonts w:hint="eastAsia"/>
              </w:rPr>
              <w:t>）油墨废气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bCs/>
                <w:color w:val="FF0000"/>
                <w:kern w:val="24"/>
                <w:sz w:val="24"/>
                <w:lang w:val="en-US" w:eastAsia="zh-CN"/>
              </w:rPr>
            </w:pPr>
            <w:r>
              <w:rPr>
                <w:rFonts w:hint="eastAsia"/>
                <w:lang w:val="en-US" w:eastAsia="zh-CN"/>
              </w:rPr>
              <w:t>本</w:t>
            </w:r>
            <w:r>
              <w:rPr>
                <w:rFonts w:hint="eastAsia"/>
              </w:rPr>
              <w:t>项目打码机采用油墨，打码过程中产生油墨废气。但由于打码工序为间歇性操作，且项目油墨用量较小。因此仅产生微量的油墨废气，以无组织形式在车间内排放。</w:t>
            </w:r>
            <w:r>
              <w:rPr>
                <w:rFonts w:hint="eastAsia"/>
                <w:bCs/>
                <w:color w:val="auto"/>
                <w:sz w:val="24"/>
              </w:rPr>
              <w:t>针对</w:t>
            </w:r>
            <w:r>
              <w:rPr>
                <w:rFonts w:hint="eastAsia"/>
                <w:bCs/>
                <w:color w:val="auto"/>
                <w:sz w:val="24"/>
                <w:lang w:val="en-US" w:eastAsia="zh-CN"/>
              </w:rPr>
              <w:t>本</w:t>
            </w:r>
            <w:r>
              <w:rPr>
                <w:rFonts w:hint="eastAsia"/>
                <w:bCs/>
                <w:color w:val="auto"/>
                <w:sz w:val="24"/>
              </w:rPr>
              <w:t>项目产生的无组织油墨废气，应加强车间通风换气，注意车间卫生，加强员工操作的规范性，提高员工节能减排意识。采取以上措施后，项目产生的油墨废气对大气环境影响甚微。</w:t>
            </w:r>
            <w:r>
              <w:rPr>
                <w:rFonts w:hint="eastAsia"/>
                <w:bCs/>
                <w:color w:val="auto"/>
                <w:sz w:val="24"/>
                <w:lang w:val="en-US" w:eastAsia="zh-CN"/>
              </w:rPr>
              <w:t>故本次环评不对此进行分析评价。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lang w:val="en-US" w:eastAsia="zh-CN"/>
              </w:rPr>
            </w:pPr>
          </w:p>
        </w:tc>
      </w:tr>
    </w:tbl>
    <w:p>
      <w:pPr>
        <w:sectPr>
          <w:pgSz w:w="11906" w:h="16838"/>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pPr>
              <w:spacing w:line="360" w:lineRule="auto"/>
              <w:ind w:firstLine="480" w:firstLineChars="200"/>
              <w:rPr>
                <w:sz w:val="24"/>
              </w:rPr>
            </w:pPr>
            <w:r>
              <w:rPr>
                <w:bCs/>
                <w:sz w:val="24"/>
              </w:rPr>
              <w:t>本项目废气产生及</w:t>
            </w:r>
            <w:r>
              <w:rPr>
                <w:sz w:val="24"/>
              </w:rPr>
              <w:t>排放情况如</w:t>
            </w:r>
            <w:r>
              <w:rPr>
                <w:rFonts w:hint="eastAsia"/>
                <w:sz w:val="24"/>
                <w:lang w:val="en-US" w:eastAsia="zh-CN"/>
              </w:rPr>
              <w:t>下</w:t>
            </w:r>
            <w:r>
              <w:rPr>
                <w:sz w:val="24"/>
              </w:rPr>
              <w:t>表所示。</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b/>
                <w:bCs/>
                <w:sz w:val="24"/>
              </w:rPr>
            </w:pPr>
            <w:r>
              <w:rPr>
                <w:rFonts w:hint="eastAsia" w:ascii="宋体" w:hAnsi="宋体" w:eastAsia="宋体" w:cs="宋体"/>
                <w:b/>
                <w:bCs/>
                <w:sz w:val="24"/>
              </w:rPr>
              <w:t>表4</w:t>
            </w:r>
            <w:r>
              <w:rPr>
                <w:rFonts w:hint="eastAsia" w:ascii="宋体" w:hAnsi="宋体" w:eastAsia="宋体" w:cs="宋体"/>
                <w:b/>
                <w:bCs/>
                <w:sz w:val="24"/>
                <w:lang w:val="en-US" w:eastAsia="zh-CN"/>
              </w:rPr>
              <w:t>-</w:t>
            </w:r>
            <w:r>
              <w:rPr>
                <w:rFonts w:hint="eastAsia" w:ascii="宋体" w:hAnsi="宋体" w:cs="宋体"/>
                <w:b/>
                <w:bCs/>
                <w:sz w:val="24"/>
                <w:lang w:val="en-US" w:eastAsia="zh-CN"/>
              </w:rPr>
              <w:t>2</w:t>
            </w:r>
            <w:r>
              <w:rPr>
                <w:rFonts w:hint="eastAsia" w:ascii="宋体" w:hAnsi="宋体" w:eastAsia="宋体" w:cs="宋体"/>
                <w:b/>
                <w:bCs/>
                <w:sz w:val="24"/>
              </w:rPr>
              <w:t xml:space="preserve"> 有组织废气污染源产生、正常排放表</w:t>
            </w:r>
          </w:p>
          <w:tbl>
            <w:tblPr>
              <w:tblStyle w:val="21"/>
              <w:tblW w:w="13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691"/>
              <w:gridCol w:w="701"/>
              <w:gridCol w:w="1004"/>
              <w:gridCol w:w="861"/>
              <w:gridCol w:w="830"/>
              <w:gridCol w:w="810"/>
              <w:gridCol w:w="1117"/>
              <w:gridCol w:w="898"/>
              <w:gridCol w:w="897"/>
              <w:gridCol w:w="794"/>
              <w:gridCol w:w="805"/>
              <w:gridCol w:w="818"/>
              <w:gridCol w:w="925"/>
              <w:gridCol w:w="696"/>
              <w:gridCol w:w="646"/>
              <w:gridCol w:w="5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9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产污</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环节</w:t>
                  </w:r>
                </w:p>
              </w:tc>
              <w:tc>
                <w:tcPr>
                  <w:tcW w:w="6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污染物</w:t>
                  </w:r>
                </w:p>
              </w:tc>
              <w:tc>
                <w:tcPr>
                  <w:tcW w:w="3396"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污染物产生情况</w:t>
                  </w:r>
                </w:p>
              </w:tc>
              <w:tc>
                <w:tcPr>
                  <w:tcW w:w="1927"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收集及治理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设施</w:t>
                  </w:r>
                </w:p>
              </w:tc>
              <w:tc>
                <w:tcPr>
                  <w:tcW w:w="8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bCs/>
                      <w:sz w:val="21"/>
                      <w:szCs w:val="21"/>
                    </w:rPr>
                    <w:t>排气量m</w:t>
                  </w:r>
                  <w:r>
                    <w:rPr>
                      <w:b/>
                      <w:bCs/>
                      <w:sz w:val="21"/>
                      <w:szCs w:val="21"/>
                      <w:vertAlign w:val="superscript"/>
                    </w:rPr>
                    <w:t>3</w:t>
                  </w:r>
                  <w:r>
                    <w:rPr>
                      <w:b/>
                      <w:bCs/>
                      <w:sz w:val="21"/>
                      <w:szCs w:val="21"/>
                    </w:rPr>
                    <w:t>/h</w:t>
                  </w:r>
                </w:p>
              </w:tc>
              <w:tc>
                <w:tcPr>
                  <w:tcW w:w="249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污染物排放情况</w:t>
                  </w:r>
                </w:p>
              </w:tc>
              <w:tc>
                <w:tcPr>
                  <w:tcW w:w="174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排放标准</w:t>
                  </w:r>
                </w:p>
              </w:tc>
              <w:tc>
                <w:tcPr>
                  <w:tcW w:w="191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8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p>
              </w:tc>
              <w:tc>
                <w:tcPr>
                  <w:tcW w:w="6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p>
              </w:tc>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核算方法</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浓度mg/m</w:t>
                  </w:r>
                  <w:r>
                    <w:rPr>
                      <w:b/>
                      <w:sz w:val="21"/>
                      <w:szCs w:val="21"/>
                      <w:vertAlign w:val="superscript"/>
                    </w:rPr>
                    <w:t>3</w:t>
                  </w:r>
                </w:p>
              </w:tc>
              <w:tc>
                <w:tcPr>
                  <w:tcW w:w="8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速率kg/h</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产生量t/a</w:t>
                  </w:r>
                </w:p>
              </w:tc>
              <w:tc>
                <w:tcPr>
                  <w:tcW w:w="1927"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p>
              </w:tc>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p>
              </w:tc>
              <w:tc>
                <w:tcPr>
                  <w:tcW w:w="8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浓度mg/m</w:t>
                  </w:r>
                  <w:r>
                    <w:rPr>
                      <w:b/>
                      <w:sz w:val="21"/>
                      <w:szCs w:val="21"/>
                      <w:vertAlign w:val="superscript"/>
                    </w:rPr>
                    <w:t>3</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速率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kg/h</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排放量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t/a</w:t>
                  </w:r>
                </w:p>
              </w:tc>
              <w:tc>
                <w:tcPr>
                  <w:tcW w:w="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速率kg/h</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浓度mg/m</w:t>
                  </w:r>
                  <w:r>
                    <w:rPr>
                      <w:b/>
                      <w:sz w:val="21"/>
                      <w:szCs w:val="21"/>
                      <w:vertAlign w:val="superscript"/>
                    </w:rPr>
                    <w:t>3</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高度m</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内径m</w:t>
                  </w:r>
                </w:p>
              </w:tc>
              <w:tc>
                <w:tcPr>
                  <w:tcW w:w="5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温度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239" w:hRule="atLeast"/>
                <w:jc w:val="center"/>
              </w:trPr>
              <w:tc>
                <w:tcPr>
                  <w:tcW w:w="89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熔塑、注塑、吹塑</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废气</w:t>
                  </w:r>
                </w:p>
              </w:tc>
              <w:tc>
                <w:tcPr>
                  <w:tcW w:w="6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非甲烷总烃</w:t>
                  </w:r>
                </w:p>
              </w:tc>
              <w:tc>
                <w:tcPr>
                  <w:tcW w:w="7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lang w:val="en-US" w:eastAsia="zh-CN"/>
                    </w:rPr>
                    <w:t>系数</w:t>
                  </w:r>
                  <w:r>
                    <w:rPr>
                      <w:sz w:val="21"/>
                      <w:szCs w:val="21"/>
                    </w:rPr>
                    <w:t>法</w:t>
                  </w:r>
                </w:p>
              </w:tc>
              <w:tc>
                <w:tcPr>
                  <w:tcW w:w="10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225</w:t>
                  </w:r>
                </w:p>
              </w:tc>
              <w:tc>
                <w:tcPr>
                  <w:tcW w:w="86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2.25</w:t>
                  </w:r>
                </w:p>
              </w:tc>
              <w:tc>
                <w:tcPr>
                  <w:tcW w:w="8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pacing w:val="-2"/>
                      <w:sz w:val="21"/>
                      <w:szCs w:val="21"/>
                      <w:lang w:val="en-US" w:eastAsia="zh-CN"/>
                    </w:rPr>
                  </w:pPr>
                  <w:r>
                    <w:rPr>
                      <w:rFonts w:hint="eastAsia"/>
                      <w:spacing w:val="-2"/>
                      <w:sz w:val="21"/>
                      <w:szCs w:val="21"/>
                      <w:lang w:val="en-US" w:eastAsia="zh-CN"/>
                    </w:rPr>
                    <w:t>16.2</w:t>
                  </w:r>
                </w:p>
              </w:tc>
              <w:tc>
                <w:tcPr>
                  <w:tcW w:w="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熔塑、注塑</w:t>
                  </w:r>
                </w:p>
              </w:tc>
              <w:tc>
                <w:tcPr>
                  <w:tcW w:w="1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集</w:t>
                  </w:r>
                  <w:r>
                    <w:rPr>
                      <w:rFonts w:hint="eastAsia"/>
                      <w:sz w:val="21"/>
                      <w:szCs w:val="21"/>
                      <w:lang w:val="en-US" w:eastAsia="zh-CN"/>
                    </w:rPr>
                    <w:t>气</w:t>
                  </w:r>
                  <w:r>
                    <w:rPr>
                      <w:sz w:val="21"/>
                      <w:szCs w:val="21"/>
                    </w:rPr>
                    <w:t>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催化燃烧装置</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10000</w:t>
                  </w:r>
                </w:p>
              </w:tc>
              <w:tc>
                <w:tcPr>
                  <w:tcW w:w="89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6.0</w:t>
                  </w:r>
                </w:p>
              </w:tc>
              <w:tc>
                <w:tcPr>
                  <w:tcW w:w="79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sz w:val="21"/>
                      <w:szCs w:val="21"/>
                    </w:rPr>
                    <w:t>0.</w:t>
                  </w:r>
                  <w:r>
                    <w:rPr>
                      <w:rFonts w:hint="eastAsia"/>
                      <w:sz w:val="21"/>
                      <w:szCs w:val="21"/>
                      <w:lang w:val="en-US" w:eastAsia="zh-CN"/>
                    </w:rPr>
                    <w:t>06</w:t>
                  </w:r>
                </w:p>
              </w:tc>
              <w:tc>
                <w:tcPr>
                  <w:tcW w:w="8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pacing w:val="-2"/>
                      <w:sz w:val="21"/>
                      <w:szCs w:val="21"/>
                      <w:lang w:val="en-US" w:eastAsia="zh-CN"/>
                    </w:rPr>
                  </w:pPr>
                  <w:r>
                    <w:rPr>
                      <w:rFonts w:hint="eastAsia"/>
                      <w:spacing w:val="-2"/>
                      <w:sz w:val="21"/>
                      <w:szCs w:val="21"/>
                      <w:lang w:val="en-US" w:eastAsia="zh-CN"/>
                    </w:rPr>
                    <w:t>0.44</w:t>
                  </w:r>
                </w:p>
              </w:tc>
              <w:tc>
                <w:tcPr>
                  <w:tcW w:w="81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w:t>
                  </w:r>
                </w:p>
              </w:tc>
              <w:tc>
                <w:tcPr>
                  <w:tcW w:w="9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60</w:t>
                  </w:r>
                </w:p>
              </w:tc>
              <w:tc>
                <w:tcPr>
                  <w:tcW w:w="6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eastAsia="宋体"/>
                      <w:sz w:val="21"/>
                      <w:szCs w:val="21"/>
                      <w:lang w:val="en-US" w:eastAsia="zh-CN"/>
                    </w:rPr>
                    <w:t>20</w:t>
                  </w:r>
                </w:p>
              </w:tc>
              <w:tc>
                <w:tcPr>
                  <w:tcW w:w="6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sz w:val="21"/>
                      <w:szCs w:val="21"/>
                    </w:rPr>
                    <w:t>0.</w:t>
                  </w:r>
                  <w:r>
                    <w:rPr>
                      <w:rFonts w:hint="eastAsia"/>
                      <w:sz w:val="21"/>
                      <w:szCs w:val="21"/>
                      <w:lang w:val="en-US" w:eastAsia="zh-CN"/>
                    </w:rPr>
                    <w:t>8</w:t>
                  </w:r>
                </w:p>
              </w:tc>
              <w:tc>
                <w:tcPr>
                  <w:tcW w:w="57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6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7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10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8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8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pacing w:val="-2"/>
                      <w:sz w:val="21"/>
                      <w:szCs w:val="21"/>
                      <w:lang w:val="en-US" w:eastAsia="zh-CN"/>
                    </w:rPr>
                  </w:pPr>
                </w:p>
              </w:tc>
              <w:tc>
                <w:tcPr>
                  <w:tcW w:w="8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吹塑</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11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集</w:t>
                  </w:r>
                  <w:r>
                    <w:rPr>
                      <w:rFonts w:hint="eastAsia"/>
                      <w:sz w:val="21"/>
                      <w:szCs w:val="21"/>
                      <w:lang w:val="en-US" w:eastAsia="zh-CN"/>
                    </w:rPr>
                    <w:t>气</w:t>
                  </w:r>
                  <w:r>
                    <w:rPr>
                      <w:sz w:val="21"/>
                      <w:szCs w:val="21"/>
                    </w:rPr>
                    <w:t>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催化燃烧装置</w:t>
                  </w:r>
                </w:p>
              </w:tc>
              <w:tc>
                <w:tcPr>
                  <w:tcW w:w="8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10000</w:t>
                  </w:r>
                </w:p>
              </w:tc>
              <w:tc>
                <w:tcPr>
                  <w:tcW w:w="8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7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pacing w:val="-2"/>
                      <w:sz w:val="21"/>
                      <w:szCs w:val="21"/>
                      <w:lang w:val="en-US" w:eastAsia="zh-CN"/>
                    </w:rPr>
                  </w:pPr>
                </w:p>
              </w:tc>
              <w:tc>
                <w:tcPr>
                  <w:tcW w:w="8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9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6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p>
              </w:tc>
              <w:tc>
                <w:tcPr>
                  <w:tcW w:w="6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5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8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6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7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10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8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8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pacing w:val="-2"/>
                      <w:sz w:val="21"/>
                      <w:szCs w:val="21"/>
                      <w:lang w:val="en-US" w:eastAsia="zh-CN"/>
                    </w:rPr>
                  </w:pPr>
                </w:p>
              </w:tc>
              <w:tc>
                <w:tcPr>
                  <w:tcW w:w="8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11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89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7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pacing w:val="-2"/>
                      <w:sz w:val="21"/>
                      <w:szCs w:val="21"/>
                      <w:lang w:val="en-US" w:eastAsia="zh-CN"/>
                    </w:rPr>
                  </w:pPr>
                </w:p>
              </w:tc>
              <w:tc>
                <w:tcPr>
                  <w:tcW w:w="81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9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eastAsia="宋体"/>
                      <w:sz w:val="21"/>
                      <w:szCs w:val="21"/>
                      <w:lang w:val="en-US" w:eastAsia="zh-CN"/>
                    </w:rPr>
                    <w:t>20</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0.</w:t>
                  </w:r>
                  <w:r>
                    <w:rPr>
                      <w:rFonts w:hint="eastAsia"/>
                      <w:sz w:val="21"/>
                      <w:szCs w:val="21"/>
                      <w:lang w:val="en-US" w:eastAsia="zh-CN"/>
                    </w:rPr>
                    <w:t>8</w:t>
                  </w:r>
                </w:p>
              </w:tc>
              <w:tc>
                <w:tcPr>
                  <w:tcW w:w="5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烹饪</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废气</w:t>
                  </w:r>
                </w:p>
              </w:tc>
              <w:tc>
                <w:tcPr>
                  <w:tcW w:w="6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油烟</w:t>
                  </w:r>
                </w:p>
              </w:tc>
              <w:tc>
                <w:tcPr>
                  <w:tcW w:w="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类比法</w:t>
                  </w:r>
                </w:p>
              </w:tc>
              <w:tc>
                <w:tcPr>
                  <w:tcW w:w="10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1.25</w:t>
                  </w:r>
                </w:p>
              </w:tc>
              <w:tc>
                <w:tcPr>
                  <w:tcW w:w="8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eastAsia="宋体"/>
                      <w:sz w:val="21"/>
                      <w:szCs w:val="21"/>
                      <w:lang w:val="en-US" w:eastAsia="zh-CN"/>
                    </w:rPr>
                    <w:t>0.002</w:t>
                  </w:r>
                </w:p>
              </w:tc>
              <w:tc>
                <w:tcPr>
                  <w:tcW w:w="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pacing w:val="-2"/>
                      <w:sz w:val="21"/>
                      <w:szCs w:val="21"/>
                      <w:lang w:val="en-US" w:eastAsia="zh-CN"/>
                    </w:rPr>
                  </w:pPr>
                  <w:r>
                    <w:rPr>
                      <w:rFonts w:hint="eastAsia" w:eastAsia="宋体"/>
                      <w:spacing w:val="-2"/>
                      <w:sz w:val="21"/>
                      <w:szCs w:val="21"/>
                      <w:lang w:val="en-US" w:eastAsia="zh-CN"/>
                    </w:rPr>
                    <w:t>0.0032</w:t>
                  </w:r>
                </w:p>
              </w:tc>
              <w:tc>
                <w:tcPr>
                  <w:tcW w:w="19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集</w:t>
                  </w:r>
                  <w:r>
                    <w:rPr>
                      <w:rFonts w:hint="eastAsia"/>
                      <w:sz w:val="21"/>
                      <w:szCs w:val="21"/>
                      <w:lang w:val="en-US" w:eastAsia="zh-CN"/>
                    </w:rPr>
                    <w:t>油烟</w:t>
                  </w:r>
                  <w:r>
                    <w:rPr>
                      <w:sz w:val="21"/>
                      <w:szCs w:val="21"/>
                    </w:rPr>
                    <w:t>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油烟净化</w:t>
                  </w:r>
                  <w:r>
                    <w:rPr>
                      <w:rFonts w:hint="eastAsia"/>
                      <w:sz w:val="21"/>
                      <w:szCs w:val="21"/>
                      <w:lang w:val="en-US" w:eastAsia="zh-CN"/>
                    </w:rPr>
                    <w:t>器</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1600</w:t>
                  </w:r>
                </w:p>
              </w:tc>
              <w:tc>
                <w:tcPr>
                  <w:tcW w:w="8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0.0004</w:t>
                  </w:r>
                </w:p>
              </w:tc>
              <w:tc>
                <w:tcPr>
                  <w:tcW w:w="7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0.0006</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pacing w:val="-2"/>
                      <w:sz w:val="21"/>
                      <w:szCs w:val="21"/>
                      <w:lang w:val="en-US" w:eastAsia="zh-CN"/>
                    </w:rPr>
                  </w:pPr>
                  <w:r>
                    <w:rPr>
                      <w:rFonts w:hint="eastAsia"/>
                      <w:spacing w:val="-2"/>
                      <w:sz w:val="21"/>
                      <w:szCs w:val="21"/>
                      <w:lang w:val="en-US" w:eastAsia="zh-CN"/>
                    </w:rPr>
                    <w:t>0.001</w:t>
                  </w:r>
                </w:p>
              </w:tc>
              <w:tc>
                <w:tcPr>
                  <w:tcW w:w="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2</w:t>
                  </w:r>
                </w:p>
              </w:tc>
              <w:tc>
                <w:tcPr>
                  <w:tcW w:w="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20</w:t>
                  </w:r>
                </w:p>
              </w:tc>
              <w:tc>
                <w:tcPr>
                  <w:tcW w:w="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sz w:val="21"/>
                      <w:szCs w:val="21"/>
                    </w:rPr>
                    <w:t>0.</w:t>
                  </w:r>
                  <w:r>
                    <w:rPr>
                      <w:rFonts w:hint="eastAsia"/>
                      <w:sz w:val="21"/>
                      <w:szCs w:val="21"/>
                      <w:lang w:val="en-US" w:eastAsia="zh-CN"/>
                    </w:rPr>
                    <w:t>3</w:t>
                  </w:r>
                </w:p>
              </w:tc>
              <w:tc>
                <w:tcPr>
                  <w:tcW w:w="5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eastAsia="宋体"/>
                      <w:sz w:val="21"/>
                      <w:szCs w:val="21"/>
                      <w:lang w:val="en-US" w:eastAsia="zh-CN"/>
                    </w:rPr>
                    <w:t>5</w:t>
                  </w:r>
                  <w:r>
                    <w:rPr>
                      <w:rFonts w:hint="eastAsia"/>
                      <w:sz w:val="21"/>
                      <w:szCs w:val="21"/>
                      <w:lang w:val="en-US" w:eastAsia="zh-CN"/>
                    </w:rPr>
                    <w:t>0</w:t>
                  </w:r>
                </w:p>
              </w:tc>
            </w:tr>
          </w:tbl>
          <w:p>
            <w:pPr>
              <w:spacing w:line="276" w:lineRule="auto"/>
              <w:ind w:firstLine="400" w:firstLineChars="200"/>
              <w:rPr>
                <w:sz w:val="20"/>
              </w:rPr>
            </w:pPr>
            <w:r>
              <w:rPr>
                <w:sz w:val="20"/>
              </w:rPr>
              <w:t>注：集气罩收集效率按90%计算，油烟净化器效率按</w:t>
            </w:r>
            <w:r>
              <w:rPr>
                <w:rFonts w:hint="eastAsia"/>
                <w:sz w:val="20"/>
                <w:lang w:val="en-US" w:eastAsia="zh-CN"/>
              </w:rPr>
              <w:t>60</w:t>
            </w:r>
            <w:r>
              <w:rPr>
                <w:rFonts w:hint="eastAsia"/>
                <w:sz w:val="20"/>
              </w:rPr>
              <w:t>%计算</w:t>
            </w:r>
            <w:r>
              <w:rPr>
                <w:rFonts w:hint="eastAsia"/>
                <w:sz w:val="20"/>
                <w:lang w:eastAsia="zh-CN"/>
              </w:rPr>
              <w:t>，</w:t>
            </w:r>
            <w:r>
              <w:rPr>
                <w:rFonts w:hint="eastAsia"/>
                <w:sz w:val="21"/>
                <w:szCs w:val="21"/>
                <w:lang w:val="en-US" w:eastAsia="zh-CN"/>
              </w:rPr>
              <w:t>催化燃烧装置</w:t>
            </w:r>
            <w:r>
              <w:rPr>
                <w:rFonts w:hint="eastAsia" w:eastAsia="宋体"/>
                <w:sz w:val="21"/>
                <w:szCs w:val="21"/>
                <w:lang w:val="en-US" w:eastAsia="zh-CN"/>
              </w:rPr>
              <w:t>处理效率</w:t>
            </w:r>
            <w:r>
              <w:rPr>
                <w:sz w:val="20"/>
              </w:rPr>
              <w:t>按</w:t>
            </w:r>
            <w:r>
              <w:rPr>
                <w:rFonts w:hint="eastAsia"/>
                <w:sz w:val="20"/>
                <w:lang w:val="en-US" w:eastAsia="zh-CN"/>
              </w:rPr>
              <w:t>97</w:t>
            </w:r>
            <w:r>
              <w:rPr>
                <w:rFonts w:hint="eastAsia"/>
                <w:sz w:val="20"/>
              </w:rPr>
              <w:t>%计算</w:t>
            </w:r>
            <w:r>
              <w:rPr>
                <w:sz w:val="20"/>
              </w:rPr>
              <w:t>。</w:t>
            </w:r>
          </w:p>
          <w:p>
            <w:pPr>
              <w:bidi w:val="0"/>
              <w:jc w:val="center"/>
              <w:rPr>
                <w:rFonts w:hint="default" w:ascii="Times New Roman" w:hAnsi="Times New Roman" w:eastAsia="宋体" w:cs="Times New Roman"/>
                <w:b/>
                <w:bCs/>
              </w:rPr>
            </w:pPr>
          </w:p>
          <w:p>
            <w:pPr>
              <w:bidi w:val="0"/>
              <w:jc w:val="center"/>
              <w:rPr>
                <w:rFonts w:hint="default" w:ascii="Times New Roman" w:hAnsi="Times New Roman" w:eastAsia="宋体" w:cs="Times New Roman"/>
                <w:b/>
                <w:bCs/>
              </w:rPr>
            </w:pPr>
            <w:r>
              <w:rPr>
                <w:rFonts w:hint="default" w:ascii="Times New Roman" w:hAnsi="Times New Roman" w:eastAsia="宋体" w:cs="Times New Roman"/>
                <w:b/>
                <w:bCs/>
              </w:rPr>
              <w:t>表4</w:t>
            </w:r>
            <w:r>
              <w:rPr>
                <w:rFonts w:hint="eastAsia" w:ascii="Times New Roman" w:hAnsi="Times New Roman" w:eastAsia="宋体" w:cs="Times New Roman"/>
                <w:b/>
                <w:bCs/>
                <w:lang w:val="en-US" w:eastAsia="zh-CN"/>
              </w:rPr>
              <w:t>-</w:t>
            </w:r>
            <w:r>
              <w:rPr>
                <w:rFonts w:hint="eastAsia" w:cs="Times New Roman"/>
                <w:b/>
                <w:bCs/>
                <w:lang w:val="en-US" w:eastAsia="zh-CN"/>
              </w:rPr>
              <w:t>3</w:t>
            </w:r>
            <w:r>
              <w:rPr>
                <w:rFonts w:hint="default" w:ascii="Times New Roman" w:hAnsi="Times New Roman" w:eastAsia="宋体" w:cs="Times New Roman"/>
                <w:b/>
                <w:bCs/>
              </w:rPr>
              <w:t xml:space="preserve"> 项目大气有组织排放口基本情况表</w:t>
            </w:r>
          </w:p>
          <w:tbl>
            <w:tblPr>
              <w:tblStyle w:val="21"/>
              <w:tblW w:w="13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83"/>
              <w:gridCol w:w="930"/>
              <w:gridCol w:w="921"/>
              <w:gridCol w:w="1701"/>
              <w:gridCol w:w="1559"/>
              <w:gridCol w:w="567"/>
              <w:gridCol w:w="850"/>
              <w:gridCol w:w="709"/>
              <w:gridCol w:w="992"/>
              <w:gridCol w:w="2475"/>
              <w:gridCol w:w="1091"/>
              <w:gridCol w:w="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27" w:type="dxa"/>
                  <w:vMerge w:val="restart"/>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序</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号</w:t>
                  </w:r>
                </w:p>
              </w:tc>
              <w:tc>
                <w:tcPr>
                  <w:tcW w:w="983" w:type="dxa"/>
                  <w:vMerge w:val="restart"/>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排放口编号</w:t>
                  </w:r>
                </w:p>
              </w:tc>
              <w:tc>
                <w:tcPr>
                  <w:tcW w:w="930" w:type="dxa"/>
                  <w:vMerge w:val="restart"/>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排放口</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名称</w:t>
                  </w:r>
                </w:p>
              </w:tc>
              <w:tc>
                <w:tcPr>
                  <w:tcW w:w="921" w:type="dxa"/>
                  <w:vMerge w:val="restart"/>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污染物种类</w:t>
                  </w:r>
                </w:p>
              </w:tc>
              <w:tc>
                <w:tcPr>
                  <w:tcW w:w="3260" w:type="dxa"/>
                  <w:gridSpan w:val="2"/>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排放口地理坐标</w:t>
                  </w:r>
                </w:p>
              </w:tc>
              <w:tc>
                <w:tcPr>
                  <w:tcW w:w="3118" w:type="dxa"/>
                  <w:gridSpan w:val="4"/>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排气筒参数</w:t>
                  </w:r>
                </w:p>
              </w:tc>
              <w:tc>
                <w:tcPr>
                  <w:tcW w:w="4319" w:type="dxa"/>
                  <w:gridSpan w:val="3"/>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国家或地方污染物排放标准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27" w:type="dxa"/>
                  <w:vMerge w:val="continue"/>
                  <w:tcBorders>
                    <w:tl2br w:val="nil"/>
                    <w:tr2bl w:val="nil"/>
                  </w:tcBorders>
                  <w:noWrap w:val="0"/>
                  <w:vAlign w:val="center"/>
                </w:tcPr>
                <w:p>
                  <w:pPr>
                    <w:keepNext w:val="0"/>
                    <w:keepLines w:val="0"/>
                    <w:pageBreakBefore w:val="0"/>
                    <w:widowControl/>
                    <w:kinsoku/>
                    <w:overflowPunct/>
                    <w:topLinePunct w:val="0"/>
                    <w:autoSpaceDE/>
                    <w:autoSpaceDN/>
                    <w:bidi w:val="0"/>
                    <w:adjustRightInd w:val="0"/>
                    <w:snapToGrid w:val="0"/>
                    <w:spacing w:line="240" w:lineRule="auto"/>
                    <w:jc w:val="left"/>
                    <w:textAlignment w:val="auto"/>
                    <w:rPr>
                      <w:b/>
                      <w:sz w:val="21"/>
                      <w:szCs w:val="21"/>
                    </w:rPr>
                  </w:pPr>
                </w:p>
              </w:tc>
              <w:tc>
                <w:tcPr>
                  <w:tcW w:w="983" w:type="dxa"/>
                  <w:vMerge w:val="continue"/>
                  <w:tcBorders>
                    <w:tl2br w:val="nil"/>
                    <w:tr2bl w:val="nil"/>
                  </w:tcBorders>
                  <w:noWrap w:val="0"/>
                  <w:vAlign w:val="center"/>
                </w:tcPr>
                <w:p>
                  <w:pPr>
                    <w:keepNext w:val="0"/>
                    <w:keepLines w:val="0"/>
                    <w:pageBreakBefore w:val="0"/>
                    <w:widowControl/>
                    <w:kinsoku/>
                    <w:overflowPunct/>
                    <w:topLinePunct w:val="0"/>
                    <w:autoSpaceDE/>
                    <w:autoSpaceDN/>
                    <w:bidi w:val="0"/>
                    <w:adjustRightInd w:val="0"/>
                    <w:snapToGrid w:val="0"/>
                    <w:spacing w:line="240" w:lineRule="auto"/>
                    <w:jc w:val="left"/>
                    <w:textAlignment w:val="auto"/>
                    <w:rPr>
                      <w:b/>
                      <w:sz w:val="21"/>
                      <w:szCs w:val="21"/>
                    </w:rPr>
                  </w:pPr>
                </w:p>
              </w:tc>
              <w:tc>
                <w:tcPr>
                  <w:tcW w:w="930" w:type="dxa"/>
                  <w:vMerge w:val="continue"/>
                  <w:tcBorders>
                    <w:tl2br w:val="nil"/>
                    <w:tr2bl w:val="nil"/>
                  </w:tcBorders>
                  <w:noWrap w:val="0"/>
                  <w:vAlign w:val="center"/>
                </w:tcPr>
                <w:p>
                  <w:pPr>
                    <w:keepNext w:val="0"/>
                    <w:keepLines w:val="0"/>
                    <w:pageBreakBefore w:val="0"/>
                    <w:widowControl/>
                    <w:kinsoku/>
                    <w:overflowPunct/>
                    <w:topLinePunct w:val="0"/>
                    <w:autoSpaceDE/>
                    <w:autoSpaceDN/>
                    <w:bidi w:val="0"/>
                    <w:adjustRightInd w:val="0"/>
                    <w:snapToGrid w:val="0"/>
                    <w:spacing w:line="240" w:lineRule="auto"/>
                    <w:jc w:val="left"/>
                    <w:textAlignment w:val="auto"/>
                    <w:rPr>
                      <w:b/>
                      <w:sz w:val="21"/>
                      <w:szCs w:val="21"/>
                    </w:rPr>
                  </w:pPr>
                </w:p>
              </w:tc>
              <w:tc>
                <w:tcPr>
                  <w:tcW w:w="921" w:type="dxa"/>
                  <w:vMerge w:val="continue"/>
                  <w:tcBorders>
                    <w:tl2br w:val="nil"/>
                    <w:tr2bl w:val="nil"/>
                  </w:tcBorders>
                  <w:noWrap w:val="0"/>
                  <w:vAlign w:val="center"/>
                </w:tcPr>
                <w:p>
                  <w:pPr>
                    <w:keepNext w:val="0"/>
                    <w:keepLines w:val="0"/>
                    <w:pageBreakBefore w:val="0"/>
                    <w:widowControl/>
                    <w:kinsoku/>
                    <w:overflowPunct/>
                    <w:topLinePunct w:val="0"/>
                    <w:autoSpaceDE/>
                    <w:autoSpaceDN/>
                    <w:bidi w:val="0"/>
                    <w:adjustRightInd w:val="0"/>
                    <w:snapToGrid w:val="0"/>
                    <w:spacing w:line="240" w:lineRule="auto"/>
                    <w:jc w:val="left"/>
                    <w:textAlignment w:val="auto"/>
                    <w:rPr>
                      <w:b/>
                      <w:sz w:val="21"/>
                      <w:szCs w:val="21"/>
                    </w:rPr>
                  </w:pPr>
                </w:p>
              </w:tc>
              <w:tc>
                <w:tcPr>
                  <w:tcW w:w="170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经度</w:t>
                  </w:r>
                </w:p>
              </w:tc>
              <w:tc>
                <w:tcPr>
                  <w:tcW w:w="1559"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纬度</w:t>
                  </w:r>
                </w:p>
              </w:tc>
              <w:tc>
                <w:tcPr>
                  <w:tcW w:w="567"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高度</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(m)</w:t>
                  </w:r>
                </w:p>
              </w:tc>
              <w:tc>
                <w:tcPr>
                  <w:tcW w:w="850"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出口</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内径</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(m)</w:t>
                  </w:r>
                </w:p>
              </w:tc>
              <w:tc>
                <w:tcPr>
                  <w:tcW w:w="709"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排气</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温度</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w:t>
                  </w:r>
                  <w:r>
                    <w:rPr>
                      <w:sz w:val="21"/>
                      <w:szCs w:val="21"/>
                    </w:rPr>
                    <w:t>℃</w:t>
                  </w:r>
                  <w:r>
                    <w:rPr>
                      <w:b/>
                      <w:sz w:val="21"/>
                      <w:szCs w:val="21"/>
                    </w:rPr>
                    <w:t>)</w:t>
                  </w:r>
                </w:p>
              </w:tc>
              <w:tc>
                <w:tcPr>
                  <w:tcW w:w="992"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排气量</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(m</w:t>
                  </w:r>
                  <w:r>
                    <w:rPr>
                      <w:b/>
                      <w:sz w:val="21"/>
                      <w:szCs w:val="21"/>
                      <w:vertAlign w:val="superscript"/>
                    </w:rPr>
                    <w:t>3</w:t>
                  </w:r>
                  <w:r>
                    <w:rPr>
                      <w:b/>
                      <w:sz w:val="21"/>
                      <w:szCs w:val="21"/>
                    </w:rPr>
                    <w:t>/h)</w:t>
                  </w:r>
                </w:p>
              </w:tc>
              <w:tc>
                <w:tcPr>
                  <w:tcW w:w="2475"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标准名称</w:t>
                  </w:r>
                </w:p>
              </w:tc>
              <w:tc>
                <w:tcPr>
                  <w:tcW w:w="109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浓度限值</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(mg/Nm</w:t>
                  </w:r>
                  <w:r>
                    <w:rPr>
                      <w:b/>
                      <w:sz w:val="21"/>
                      <w:szCs w:val="21"/>
                      <w:vertAlign w:val="superscript"/>
                    </w:rPr>
                    <w:t>3</w:t>
                  </w:r>
                  <w:r>
                    <w:rPr>
                      <w:b/>
                      <w:sz w:val="21"/>
                      <w:szCs w:val="21"/>
                    </w:rPr>
                    <w:t>)</w:t>
                  </w:r>
                </w:p>
              </w:tc>
              <w:tc>
                <w:tcPr>
                  <w:tcW w:w="753"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速率</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限值</w:t>
                  </w:r>
                </w:p>
                <w:p>
                  <w:pPr>
                    <w:keepNext w:val="0"/>
                    <w:keepLines w:val="0"/>
                    <w:pageBreakBefore w:val="0"/>
                    <w:kinsoku/>
                    <w:overflowPunct/>
                    <w:topLinePunct w:val="0"/>
                    <w:autoSpaceDE/>
                    <w:autoSpaceDN/>
                    <w:bidi w:val="0"/>
                    <w:adjustRightInd w:val="0"/>
                    <w:snapToGrid w:val="0"/>
                    <w:spacing w:line="240" w:lineRule="auto"/>
                    <w:jc w:val="center"/>
                    <w:textAlignment w:val="auto"/>
                    <w:rPr>
                      <w:b/>
                      <w:sz w:val="21"/>
                      <w:szCs w:val="21"/>
                    </w:rPr>
                  </w:pPr>
                  <w:r>
                    <w:rPr>
                      <w:b/>
                      <w:sz w:val="21"/>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427"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1</w:t>
                  </w:r>
                </w:p>
              </w:tc>
              <w:tc>
                <w:tcPr>
                  <w:tcW w:w="983"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sz w:val="21"/>
                      <w:szCs w:val="21"/>
                    </w:rPr>
                    <w:t>DA00</w:t>
                  </w:r>
                  <w:r>
                    <w:rPr>
                      <w:rFonts w:hint="eastAsia"/>
                      <w:sz w:val="21"/>
                      <w:szCs w:val="21"/>
                      <w:lang w:val="en-US" w:eastAsia="zh-CN"/>
                    </w:rPr>
                    <w:t>4</w:t>
                  </w:r>
                </w:p>
              </w:tc>
              <w:tc>
                <w:tcPr>
                  <w:tcW w:w="930"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烹饪</w:t>
                  </w:r>
                  <w:r>
                    <w:rPr>
                      <w:sz w:val="21"/>
                      <w:szCs w:val="21"/>
                    </w:rPr>
                    <w:t>废气排放口</w:t>
                  </w:r>
                </w:p>
              </w:tc>
              <w:tc>
                <w:tcPr>
                  <w:tcW w:w="92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油烟</w:t>
                  </w:r>
                </w:p>
              </w:tc>
              <w:tc>
                <w:tcPr>
                  <w:tcW w:w="170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116°4</w:t>
                  </w:r>
                  <w:r>
                    <w:rPr>
                      <w:rFonts w:hint="eastAsia"/>
                      <w:sz w:val="21"/>
                      <w:szCs w:val="21"/>
                      <w:lang w:val="en-US" w:eastAsia="zh-CN"/>
                    </w:rPr>
                    <w:t>4</w:t>
                  </w:r>
                  <w:r>
                    <w:rPr>
                      <w:sz w:val="21"/>
                      <w:szCs w:val="21"/>
                    </w:rPr>
                    <w:t>′</w:t>
                  </w:r>
                  <w:r>
                    <w:rPr>
                      <w:rFonts w:hint="eastAsia"/>
                      <w:sz w:val="21"/>
                      <w:szCs w:val="21"/>
                      <w:lang w:val="en-US" w:eastAsia="zh-CN"/>
                    </w:rPr>
                    <w:t>34.334</w:t>
                  </w:r>
                  <w:r>
                    <w:rPr>
                      <w:sz w:val="21"/>
                      <w:szCs w:val="21"/>
                    </w:rPr>
                    <w:t>″</w:t>
                  </w:r>
                </w:p>
              </w:tc>
              <w:tc>
                <w:tcPr>
                  <w:tcW w:w="1559"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3</w:t>
                  </w:r>
                  <w:r>
                    <w:rPr>
                      <w:rFonts w:hint="eastAsia"/>
                      <w:sz w:val="21"/>
                      <w:szCs w:val="21"/>
                      <w:lang w:val="en-US" w:eastAsia="zh-CN"/>
                    </w:rPr>
                    <w:t>3</w:t>
                  </w:r>
                  <w:r>
                    <w:rPr>
                      <w:sz w:val="21"/>
                      <w:szCs w:val="21"/>
                    </w:rPr>
                    <w:t>°</w:t>
                  </w:r>
                  <w:r>
                    <w:rPr>
                      <w:rFonts w:hint="eastAsia"/>
                      <w:sz w:val="21"/>
                      <w:szCs w:val="21"/>
                      <w:lang w:val="en-US" w:eastAsia="zh-CN"/>
                    </w:rPr>
                    <w:t>59</w:t>
                  </w:r>
                  <w:r>
                    <w:rPr>
                      <w:sz w:val="21"/>
                      <w:szCs w:val="21"/>
                    </w:rPr>
                    <w:t>′</w:t>
                  </w:r>
                  <w:r>
                    <w:rPr>
                      <w:rFonts w:hint="eastAsia"/>
                      <w:sz w:val="21"/>
                      <w:szCs w:val="21"/>
                      <w:lang w:val="en-US" w:eastAsia="zh-CN"/>
                    </w:rPr>
                    <w:t>58.341</w:t>
                  </w:r>
                  <w:r>
                    <w:rPr>
                      <w:sz w:val="21"/>
                      <w:szCs w:val="21"/>
                    </w:rPr>
                    <w:t>″</w:t>
                  </w:r>
                </w:p>
              </w:tc>
              <w:tc>
                <w:tcPr>
                  <w:tcW w:w="5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eastAsia="宋体"/>
                      <w:sz w:val="21"/>
                      <w:szCs w:val="21"/>
                      <w:lang w:val="en-US" w:eastAsia="zh-CN"/>
                    </w:rPr>
                    <w:t>20</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sz w:val="21"/>
                      <w:szCs w:val="21"/>
                    </w:rPr>
                    <w:t>0.</w:t>
                  </w:r>
                  <w:r>
                    <w:rPr>
                      <w:rFonts w:hint="eastAsia"/>
                      <w:sz w:val="21"/>
                      <w:szCs w:val="21"/>
                      <w:lang w:val="en-US" w:eastAsia="zh-CN"/>
                    </w:rPr>
                    <w:t>3</w:t>
                  </w:r>
                </w:p>
              </w:tc>
              <w:tc>
                <w:tcPr>
                  <w:tcW w:w="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sz w:val="21"/>
                      <w:szCs w:val="21"/>
                    </w:rPr>
                    <w:t>5</w:t>
                  </w:r>
                  <w:r>
                    <w:rPr>
                      <w:rFonts w:hint="eastAsia"/>
                      <w:sz w:val="21"/>
                      <w:szCs w:val="21"/>
                      <w:lang w:val="en-US" w:eastAsia="zh-CN"/>
                    </w:rPr>
                    <w:t>0</w:t>
                  </w:r>
                </w:p>
              </w:tc>
              <w:tc>
                <w:tcPr>
                  <w:tcW w:w="992"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16</w:t>
                  </w:r>
                  <w:r>
                    <w:rPr>
                      <w:sz w:val="21"/>
                      <w:szCs w:val="21"/>
                    </w:rPr>
                    <w:t>00</w:t>
                  </w:r>
                </w:p>
              </w:tc>
              <w:tc>
                <w:tcPr>
                  <w:tcW w:w="2475"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《饮食业油烟排放标准》（GB18483-2001）</w:t>
                  </w:r>
                </w:p>
              </w:tc>
              <w:tc>
                <w:tcPr>
                  <w:tcW w:w="109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2</w:t>
                  </w:r>
                </w:p>
              </w:tc>
              <w:tc>
                <w:tcPr>
                  <w:tcW w:w="753"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427"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2</w:t>
                  </w:r>
                </w:p>
              </w:tc>
              <w:tc>
                <w:tcPr>
                  <w:tcW w:w="983"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sz w:val="21"/>
                      <w:szCs w:val="21"/>
                    </w:rPr>
                    <w:t>DA00</w:t>
                  </w:r>
                  <w:r>
                    <w:rPr>
                      <w:rFonts w:hint="eastAsia"/>
                      <w:sz w:val="21"/>
                      <w:szCs w:val="21"/>
                      <w:lang w:val="en-US" w:eastAsia="zh-CN"/>
                    </w:rPr>
                    <w:t>5</w:t>
                  </w:r>
                </w:p>
              </w:tc>
              <w:tc>
                <w:tcPr>
                  <w:tcW w:w="930"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熔塑、注塑</w:t>
                  </w:r>
                  <w:r>
                    <w:rPr>
                      <w:sz w:val="21"/>
                      <w:szCs w:val="21"/>
                    </w:rPr>
                    <w:t>废气排放口</w:t>
                  </w:r>
                </w:p>
              </w:tc>
              <w:tc>
                <w:tcPr>
                  <w:tcW w:w="92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非甲烷总烃</w:t>
                  </w:r>
                </w:p>
              </w:tc>
              <w:tc>
                <w:tcPr>
                  <w:tcW w:w="170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116°4</w:t>
                  </w:r>
                  <w:r>
                    <w:rPr>
                      <w:rFonts w:hint="eastAsia"/>
                      <w:sz w:val="21"/>
                      <w:szCs w:val="21"/>
                      <w:lang w:val="en-US" w:eastAsia="zh-CN"/>
                    </w:rPr>
                    <w:t>4</w:t>
                  </w:r>
                  <w:r>
                    <w:rPr>
                      <w:sz w:val="21"/>
                      <w:szCs w:val="21"/>
                    </w:rPr>
                    <w:t>′</w:t>
                  </w:r>
                  <w:r>
                    <w:rPr>
                      <w:rFonts w:hint="eastAsia"/>
                      <w:sz w:val="21"/>
                      <w:szCs w:val="21"/>
                      <w:lang w:val="en-US" w:eastAsia="zh-CN"/>
                    </w:rPr>
                    <w:t>35.012</w:t>
                  </w:r>
                  <w:r>
                    <w:rPr>
                      <w:sz w:val="21"/>
                      <w:szCs w:val="21"/>
                    </w:rPr>
                    <w:t>″</w:t>
                  </w:r>
                </w:p>
              </w:tc>
              <w:tc>
                <w:tcPr>
                  <w:tcW w:w="1559"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3</w:t>
                  </w:r>
                  <w:r>
                    <w:rPr>
                      <w:rFonts w:hint="eastAsia"/>
                      <w:sz w:val="21"/>
                      <w:szCs w:val="21"/>
                      <w:lang w:val="en-US" w:eastAsia="zh-CN"/>
                    </w:rPr>
                    <w:t>3</w:t>
                  </w:r>
                  <w:r>
                    <w:rPr>
                      <w:sz w:val="21"/>
                      <w:szCs w:val="21"/>
                    </w:rPr>
                    <w:t>°</w:t>
                  </w:r>
                  <w:r>
                    <w:rPr>
                      <w:rFonts w:hint="eastAsia"/>
                      <w:sz w:val="21"/>
                      <w:szCs w:val="21"/>
                      <w:lang w:val="en-US" w:eastAsia="zh-CN"/>
                    </w:rPr>
                    <w:t>59</w:t>
                  </w:r>
                  <w:r>
                    <w:rPr>
                      <w:sz w:val="21"/>
                      <w:szCs w:val="21"/>
                    </w:rPr>
                    <w:t>′</w:t>
                  </w:r>
                  <w:r>
                    <w:rPr>
                      <w:rFonts w:hint="eastAsia"/>
                      <w:sz w:val="21"/>
                      <w:szCs w:val="21"/>
                      <w:lang w:val="en-US" w:eastAsia="zh-CN"/>
                    </w:rPr>
                    <w:t>59.245</w:t>
                  </w:r>
                  <w:r>
                    <w:rPr>
                      <w:sz w:val="21"/>
                      <w:szCs w:val="21"/>
                    </w:rPr>
                    <w:t>″</w:t>
                  </w:r>
                </w:p>
              </w:tc>
              <w:tc>
                <w:tcPr>
                  <w:tcW w:w="5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eastAsia="宋体"/>
                      <w:sz w:val="21"/>
                      <w:szCs w:val="21"/>
                      <w:lang w:val="en-US" w:eastAsia="zh-CN"/>
                    </w:rPr>
                    <w:t>20</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sz w:val="21"/>
                      <w:szCs w:val="21"/>
                    </w:rPr>
                    <w:t>0.</w:t>
                  </w:r>
                  <w:r>
                    <w:rPr>
                      <w:rFonts w:hint="eastAsia"/>
                      <w:sz w:val="21"/>
                      <w:szCs w:val="21"/>
                      <w:lang w:val="en-US" w:eastAsia="zh-CN"/>
                    </w:rPr>
                    <w:t>8</w:t>
                  </w:r>
                </w:p>
              </w:tc>
              <w:tc>
                <w:tcPr>
                  <w:tcW w:w="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50</w:t>
                  </w:r>
                </w:p>
              </w:tc>
              <w:tc>
                <w:tcPr>
                  <w:tcW w:w="992"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10000</w:t>
                  </w:r>
                </w:p>
              </w:tc>
              <w:tc>
                <w:tcPr>
                  <w:tcW w:w="2475"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《合成树脂工业污染物排放标准》（GB31572-2015）</w:t>
                  </w:r>
                </w:p>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rFonts w:ascii="Times New Roman" w:hAnsi="Times New Roman" w:eastAsia="宋体" w:cs="Times New Roman"/>
                      <w:sz w:val="21"/>
                      <w:szCs w:val="21"/>
                    </w:rPr>
                    <w:t>表5</w:t>
                  </w:r>
                  <w:r>
                    <w:rPr>
                      <w:rFonts w:hint="eastAsia" w:ascii="Times New Roman" w:hAnsi="Times New Roman" w:eastAsia="宋体" w:cs="Times New Roman"/>
                      <w:sz w:val="21"/>
                      <w:szCs w:val="21"/>
                      <w:lang w:val="en-US" w:eastAsia="zh-CN"/>
                    </w:rPr>
                    <w:t>特别排放限值</w:t>
                  </w:r>
                </w:p>
              </w:tc>
              <w:tc>
                <w:tcPr>
                  <w:tcW w:w="109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60mg/</w:t>
                  </w:r>
                  <w:r>
                    <w:rPr>
                      <w:b w:val="0"/>
                      <w:bCs/>
                      <w:sz w:val="21"/>
                      <w:szCs w:val="21"/>
                    </w:rPr>
                    <w:t>m</w:t>
                  </w:r>
                  <w:r>
                    <w:rPr>
                      <w:b w:val="0"/>
                      <w:bCs/>
                      <w:sz w:val="21"/>
                      <w:szCs w:val="21"/>
                      <w:vertAlign w:val="superscript"/>
                    </w:rPr>
                    <w:t>3</w:t>
                  </w:r>
                </w:p>
              </w:tc>
              <w:tc>
                <w:tcPr>
                  <w:tcW w:w="753"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427"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3</w:t>
                  </w:r>
                </w:p>
              </w:tc>
              <w:tc>
                <w:tcPr>
                  <w:tcW w:w="983"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sz w:val="21"/>
                      <w:szCs w:val="21"/>
                    </w:rPr>
                    <w:t>DA00</w:t>
                  </w:r>
                  <w:r>
                    <w:rPr>
                      <w:rFonts w:hint="eastAsia"/>
                      <w:sz w:val="21"/>
                      <w:szCs w:val="21"/>
                      <w:lang w:val="en-US" w:eastAsia="zh-CN"/>
                    </w:rPr>
                    <w:t>6</w:t>
                  </w:r>
                </w:p>
              </w:tc>
              <w:tc>
                <w:tcPr>
                  <w:tcW w:w="930"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吹塑</w:t>
                  </w:r>
                  <w:r>
                    <w:rPr>
                      <w:sz w:val="21"/>
                      <w:szCs w:val="21"/>
                    </w:rPr>
                    <w:t>废气排放口</w:t>
                  </w:r>
                </w:p>
              </w:tc>
              <w:tc>
                <w:tcPr>
                  <w:tcW w:w="92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非甲烷总烃</w:t>
                  </w:r>
                </w:p>
              </w:tc>
              <w:tc>
                <w:tcPr>
                  <w:tcW w:w="170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116°4</w:t>
                  </w:r>
                  <w:r>
                    <w:rPr>
                      <w:rFonts w:hint="eastAsia"/>
                      <w:sz w:val="21"/>
                      <w:szCs w:val="21"/>
                      <w:lang w:val="en-US" w:eastAsia="zh-CN"/>
                    </w:rPr>
                    <w:t>4</w:t>
                  </w:r>
                  <w:r>
                    <w:rPr>
                      <w:sz w:val="21"/>
                      <w:szCs w:val="21"/>
                    </w:rPr>
                    <w:t>′</w:t>
                  </w:r>
                  <w:r>
                    <w:rPr>
                      <w:rFonts w:hint="eastAsia"/>
                      <w:sz w:val="21"/>
                      <w:szCs w:val="21"/>
                      <w:lang w:val="en-US" w:eastAsia="zh-CN"/>
                    </w:rPr>
                    <w:t>33.875</w:t>
                  </w:r>
                  <w:r>
                    <w:rPr>
                      <w:sz w:val="21"/>
                      <w:szCs w:val="21"/>
                    </w:rPr>
                    <w:t>″</w:t>
                  </w:r>
                </w:p>
              </w:tc>
              <w:tc>
                <w:tcPr>
                  <w:tcW w:w="1559"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3</w:t>
                  </w:r>
                  <w:r>
                    <w:rPr>
                      <w:rFonts w:hint="eastAsia"/>
                      <w:sz w:val="21"/>
                      <w:szCs w:val="21"/>
                      <w:lang w:val="en-US" w:eastAsia="zh-CN"/>
                    </w:rPr>
                    <w:t>3</w:t>
                  </w:r>
                  <w:r>
                    <w:rPr>
                      <w:sz w:val="21"/>
                      <w:szCs w:val="21"/>
                    </w:rPr>
                    <w:t>°</w:t>
                  </w:r>
                  <w:r>
                    <w:rPr>
                      <w:rFonts w:hint="eastAsia"/>
                      <w:sz w:val="21"/>
                      <w:szCs w:val="21"/>
                      <w:lang w:val="en-US" w:eastAsia="zh-CN"/>
                    </w:rPr>
                    <w:t>59</w:t>
                  </w:r>
                  <w:r>
                    <w:rPr>
                      <w:sz w:val="21"/>
                      <w:szCs w:val="21"/>
                    </w:rPr>
                    <w:t>′</w:t>
                  </w:r>
                  <w:r>
                    <w:rPr>
                      <w:rFonts w:hint="eastAsia"/>
                      <w:sz w:val="21"/>
                      <w:szCs w:val="21"/>
                      <w:lang w:val="en-US" w:eastAsia="zh-CN"/>
                    </w:rPr>
                    <w:t>58.136</w:t>
                  </w:r>
                  <w:r>
                    <w:rPr>
                      <w:sz w:val="21"/>
                      <w:szCs w:val="21"/>
                    </w:rPr>
                    <w:t>″</w:t>
                  </w:r>
                </w:p>
              </w:tc>
              <w:tc>
                <w:tcPr>
                  <w:tcW w:w="5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eastAsia="宋体"/>
                      <w:sz w:val="21"/>
                      <w:szCs w:val="21"/>
                      <w:lang w:val="en-US" w:eastAsia="zh-CN"/>
                    </w:rPr>
                    <w:t>20</w:t>
                  </w:r>
                </w:p>
              </w:tc>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sz w:val="21"/>
                      <w:szCs w:val="21"/>
                    </w:rPr>
                    <w:t>0.</w:t>
                  </w:r>
                  <w:r>
                    <w:rPr>
                      <w:rFonts w:hint="eastAsia"/>
                      <w:sz w:val="21"/>
                      <w:szCs w:val="21"/>
                      <w:lang w:val="en-US" w:eastAsia="zh-CN"/>
                    </w:rPr>
                    <w:t>8</w:t>
                  </w:r>
                </w:p>
              </w:tc>
              <w:tc>
                <w:tcPr>
                  <w:tcW w:w="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21"/>
                      <w:szCs w:val="21"/>
                      <w:lang w:val="en-US" w:eastAsia="zh-CN"/>
                    </w:rPr>
                  </w:pPr>
                  <w:r>
                    <w:rPr>
                      <w:rFonts w:hint="eastAsia"/>
                      <w:sz w:val="21"/>
                      <w:szCs w:val="21"/>
                      <w:lang w:val="en-US" w:eastAsia="zh-CN"/>
                    </w:rPr>
                    <w:t>50</w:t>
                  </w:r>
                </w:p>
              </w:tc>
              <w:tc>
                <w:tcPr>
                  <w:tcW w:w="992"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10000</w:t>
                  </w:r>
                </w:p>
              </w:tc>
              <w:tc>
                <w:tcPr>
                  <w:tcW w:w="2475"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《合成树脂工业污染物排放标准》（GB31572-2015）</w:t>
                  </w:r>
                </w:p>
                <w:p>
                  <w:pPr>
                    <w:keepNext w:val="0"/>
                    <w:keepLines w:val="0"/>
                    <w:pageBreakBefore w:val="0"/>
                    <w:kinsoku/>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表5</w:t>
                  </w:r>
                  <w:r>
                    <w:rPr>
                      <w:rFonts w:hint="eastAsia" w:ascii="Times New Roman" w:hAnsi="Times New Roman" w:eastAsia="宋体" w:cs="Times New Roman"/>
                      <w:sz w:val="21"/>
                      <w:szCs w:val="21"/>
                      <w:lang w:val="en-US" w:eastAsia="zh-CN"/>
                    </w:rPr>
                    <w:t>特别排放限值</w:t>
                  </w:r>
                </w:p>
              </w:tc>
              <w:tc>
                <w:tcPr>
                  <w:tcW w:w="1091"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60mg/</w:t>
                  </w:r>
                  <w:r>
                    <w:rPr>
                      <w:b w:val="0"/>
                      <w:bCs/>
                      <w:sz w:val="21"/>
                      <w:szCs w:val="21"/>
                    </w:rPr>
                    <w:t>m</w:t>
                  </w:r>
                  <w:r>
                    <w:rPr>
                      <w:b w:val="0"/>
                      <w:bCs/>
                      <w:sz w:val="21"/>
                      <w:szCs w:val="21"/>
                      <w:vertAlign w:val="superscript"/>
                    </w:rPr>
                    <w:t>3</w:t>
                  </w:r>
                </w:p>
              </w:tc>
              <w:tc>
                <w:tcPr>
                  <w:tcW w:w="753" w:type="dxa"/>
                  <w:tcBorders>
                    <w:tl2br w:val="nil"/>
                    <w:tr2bl w:val="nil"/>
                  </w:tcBorders>
                  <w:noWrap w:val="0"/>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sz w:val="21"/>
                      <w:szCs w:val="21"/>
                    </w:rPr>
                  </w:pPr>
                  <w:r>
                    <w:rPr>
                      <w:sz w:val="21"/>
                      <w:szCs w:val="21"/>
                    </w:rPr>
                    <w:t>/</w:t>
                  </w:r>
                </w:p>
              </w:tc>
            </w:tr>
          </w:tbl>
          <w:p>
            <w:pPr>
              <w:bidi w:val="0"/>
              <w:jc w:val="both"/>
              <w:rPr>
                <w:b/>
                <w:bCs/>
              </w:rPr>
            </w:pPr>
          </w:p>
          <w:p>
            <w:pPr>
              <w:bidi w:val="0"/>
              <w:jc w:val="center"/>
              <w:rPr>
                <w:b/>
                <w:bCs/>
              </w:rPr>
            </w:pPr>
            <w:r>
              <w:rPr>
                <w:b/>
                <w:bCs/>
              </w:rPr>
              <w:t>表</w:t>
            </w:r>
            <w:r>
              <w:rPr>
                <w:rFonts w:hint="eastAsia"/>
                <w:b/>
                <w:bCs/>
              </w:rPr>
              <w:t>4</w:t>
            </w:r>
            <w:r>
              <w:rPr>
                <w:rFonts w:hint="eastAsia"/>
                <w:b/>
                <w:bCs/>
                <w:lang w:val="en-US" w:eastAsia="zh-CN"/>
              </w:rPr>
              <w:t>-4</w:t>
            </w:r>
            <w:r>
              <w:rPr>
                <w:b/>
                <w:bCs/>
              </w:rPr>
              <w:t xml:space="preserve">  </w:t>
            </w:r>
            <w:r>
              <w:rPr>
                <w:rFonts w:hint="eastAsia"/>
                <w:b/>
                <w:bCs/>
                <w:lang w:val="en-US" w:eastAsia="zh-CN"/>
              </w:rPr>
              <w:t>本</w:t>
            </w:r>
            <w:r>
              <w:rPr>
                <w:b/>
                <w:bCs/>
              </w:rPr>
              <w:t>项目</w:t>
            </w:r>
            <w:r>
              <w:rPr>
                <w:rFonts w:hint="eastAsia"/>
                <w:b/>
                <w:bCs/>
                <w:lang w:val="en-US" w:eastAsia="zh-CN"/>
              </w:rPr>
              <w:t>单位产品非甲烷总烃排放量核算表</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26"/>
              <w:gridCol w:w="2426"/>
              <w:gridCol w:w="2426"/>
              <w:gridCol w:w="2515"/>
              <w:gridCol w:w="2337"/>
              <w:gridCol w:w="2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6" w:type="dxa"/>
                  <w:tcBorders>
                    <w:tl2br w:val="nil"/>
                    <w:tr2bl w:val="nil"/>
                  </w:tcBorders>
                  <w:vAlign w:val="center"/>
                </w:tcPr>
                <w:p>
                  <w:pPr>
                    <w:bidi w:val="0"/>
                    <w:jc w:val="center"/>
                    <w:rPr>
                      <w:b/>
                      <w:bCs/>
                      <w:sz w:val="21"/>
                      <w:szCs w:val="21"/>
                    </w:rPr>
                  </w:pPr>
                  <w:r>
                    <w:rPr>
                      <w:b/>
                      <w:bCs/>
                      <w:sz w:val="21"/>
                      <w:szCs w:val="21"/>
                    </w:rPr>
                    <w:t>非甲烷总烃平均</w:t>
                  </w:r>
                </w:p>
                <w:p>
                  <w:pPr>
                    <w:bidi w:val="0"/>
                    <w:jc w:val="center"/>
                    <w:rPr>
                      <w:b/>
                      <w:bCs/>
                      <w:sz w:val="21"/>
                      <w:szCs w:val="21"/>
                    </w:rPr>
                  </w:pPr>
                  <w:r>
                    <w:rPr>
                      <w:b/>
                      <w:bCs/>
                      <w:sz w:val="21"/>
                      <w:szCs w:val="21"/>
                    </w:rPr>
                    <w:t>排放速率</w:t>
                  </w:r>
                </w:p>
                <w:p>
                  <w:pPr>
                    <w:bidi w:val="0"/>
                    <w:jc w:val="center"/>
                    <w:rPr>
                      <w:b/>
                      <w:bCs/>
                      <w:sz w:val="21"/>
                      <w:szCs w:val="21"/>
                    </w:rPr>
                  </w:pPr>
                  <w:r>
                    <w:rPr>
                      <w:b/>
                      <w:bCs/>
                      <w:sz w:val="21"/>
                      <w:szCs w:val="21"/>
                    </w:rPr>
                    <w:t>（kg/h）</w:t>
                  </w:r>
                </w:p>
              </w:tc>
              <w:tc>
                <w:tcPr>
                  <w:tcW w:w="2426" w:type="dxa"/>
                  <w:tcBorders>
                    <w:tl2br w:val="nil"/>
                    <w:tr2bl w:val="nil"/>
                  </w:tcBorders>
                  <w:vAlign w:val="center"/>
                </w:tcPr>
                <w:p>
                  <w:pPr>
                    <w:bidi w:val="0"/>
                    <w:ind w:firstLine="211" w:firstLineChars="100"/>
                    <w:jc w:val="center"/>
                    <w:rPr>
                      <w:b/>
                      <w:bCs/>
                      <w:sz w:val="21"/>
                      <w:szCs w:val="21"/>
                    </w:rPr>
                  </w:pPr>
                  <w:r>
                    <w:rPr>
                      <w:b/>
                      <w:bCs/>
                      <w:sz w:val="21"/>
                      <w:szCs w:val="21"/>
                    </w:rPr>
                    <w:t>单位时间产品产量（t/h）</w:t>
                  </w:r>
                </w:p>
              </w:tc>
              <w:tc>
                <w:tcPr>
                  <w:tcW w:w="2426" w:type="dxa"/>
                  <w:tcBorders>
                    <w:tl2br w:val="nil"/>
                    <w:tr2bl w:val="nil"/>
                  </w:tcBorders>
                  <w:vAlign w:val="center"/>
                </w:tcPr>
                <w:p>
                  <w:pPr>
                    <w:bidi w:val="0"/>
                    <w:ind w:left="632" w:hanging="632" w:hangingChars="300"/>
                    <w:jc w:val="center"/>
                    <w:rPr>
                      <w:b/>
                      <w:bCs/>
                      <w:sz w:val="21"/>
                      <w:szCs w:val="21"/>
                    </w:rPr>
                  </w:pPr>
                  <w:r>
                    <w:rPr>
                      <w:b/>
                      <w:bCs/>
                      <w:sz w:val="21"/>
                      <w:szCs w:val="21"/>
                    </w:rPr>
                    <w:t>单位产品非甲烷总烃</w:t>
                  </w:r>
                </w:p>
                <w:p>
                  <w:pPr>
                    <w:bidi w:val="0"/>
                    <w:ind w:left="632" w:hanging="632" w:hangingChars="300"/>
                    <w:jc w:val="center"/>
                    <w:rPr>
                      <w:b/>
                      <w:bCs/>
                      <w:sz w:val="21"/>
                      <w:szCs w:val="21"/>
                    </w:rPr>
                  </w:pPr>
                  <w:r>
                    <w:rPr>
                      <w:b/>
                      <w:bCs/>
                      <w:sz w:val="21"/>
                      <w:szCs w:val="21"/>
                    </w:rPr>
                    <w:t>排放量（kg/t 产品）</w:t>
                  </w:r>
                </w:p>
              </w:tc>
              <w:tc>
                <w:tcPr>
                  <w:tcW w:w="2515" w:type="dxa"/>
                  <w:tcBorders>
                    <w:tl2br w:val="nil"/>
                    <w:tr2bl w:val="nil"/>
                  </w:tcBorders>
                  <w:vAlign w:val="center"/>
                </w:tcPr>
                <w:p>
                  <w:pPr>
                    <w:bidi w:val="0"/>
                    <w:ind w:firstLine="422" w:firstLineChars="200"/>
                    <w:jc w:val="both"/>
                    <w:rPr>
                      <w:b/>
                      <w:bCs/>
                      <w:sz w:val="21"/>
                      <w:szCs w:val="21"/>
                    </w:rPr>
                  </w:pPr>
                  <w:r>
                    <w:rPr>
                      <w:b/>
                      <w:bCs/>
                      <w:sz w:val="21"/>
                      <w:szCs w:val="21"/>
                    </w:rPr>
                    <w:t>限值（kg/t 产品）</w:t>
                  </w:r>
                </w:p>
              </w:tc>
              <w:tc>
                <w:tcPr>
                  <w:tcW w:w="2337" w:type="dxa"/>
                  <w:tcBorders>
                    <w:tl2br w:val="nil"/>
                    <w:tr2bl w:val="nil"/>
                  </w:tcBorders>
                  <w:vAlign w:val="center"/>
                </w:tcPr>
                <w:p>
                  <w:pPr>
                    <w:bidi w:val="0"/>
                    <w:ind w:firstLine="632" w:firstLineChars="300"/>
                    <w:jc w:val="both"/>
                    <w:rPr>
                      <w:b/>
                      <w:bCs/>
                      <w:sz w:val="21"/>
                      <w:szCs w:val="21"/>
                    </w:rPr>
                  </w:pPr>
                  <w:r>
                    <w:rPr>
                      <w:b/>
                      <w:sz w:val="21"/>
                      <w:szCs w:val="21"/>
                    </w:rPr>
                    <w:t>标准名称</w:t>
                  </w:r>
                </w:p>
              </w:tc>
              <w:tc>
                <w:tcPr>
                  <w:tcW w:w="2426" w:type="dxa"/>
                  <w:tcBorders>
                    <w:tl2br w:val="nil"/>
                    <w:tr2bl w:val="nil"/>
                  </w:tcBorders>
                  <w:vAlign w:val="center"/>
                </w:tcPr>
                <w:p>
                  <w:pPr>
                    <w:bidi w:val="0"/>
                    <w:ind w:firstLine="632" w:firstLineChars="300"/>
                    <w:jc w:val="both"/>
                    <w:rPr>
                      <w:b/>
                      <w:bCs/>
                      <w:sz w:val="21"/>
                      <w:szCs w:val="21"/>
                    </w:rPr>
                  </w:pPr>
                  <w:r>
                    <w:rPr>
                      <w:b/>
                      <w:bCs/>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6" w:type="dxa"/>
                  <w:tcBorders>
                    <w:tl2br w:val="nil"/>
                    <w:tr2bl w:val="nil"/>
                  </w:tcBorders>
                  <w:vAlign w:val="center"/>
                </w:tcPr>
                <w:p>
                  <w:pPr>
                    <w:bidi w:val="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0.06</w:t>
                  </w:r>
                </w:p>
              </w:tc>
              <w:tc>
                <w:tcPr>
                  <w:tcW w:w="2426" w:type="dxa"/>
                  <w:tcBorders>
                    <w:tl2br w:val="nil"/>
                    <w:tr2bl w:val="nil"/>
                  </w:tcBorders>
                  <w:vAlign w:val="center"/>
                </w:tcPr>
                <w:p>
                  <w:pPr>
                    <w:bidi w:val="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0.83</w:t>
                  </w:r>
                </w:p>
              </w:tc>
              <w:tc>
                <w:tcPr>
                  <w:tcW w:w="2426" w:type="dxa"/>
                  <w:tcBorders>
                    <w:tl2br w:val="nil"/>
                    <w:tr2bl w:val="nil"/>
                  </w:tcBorders>
                  <w:vAlign w:val="center"/>
                </w:tcPr>
                <w:p>
                  <w:pPr>
                    <w:bidi w:val="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0.072</w:t>
                  </w:r>
                </w:p>
              </w:tc>
              <w:tc>
                <w:tcPr>
                  <w:tcW w:w="2515" w:type="dxa"/>
                  <w:tcBorders>
                    <w:tl2br w:val="nil"/>
                    <w:tr2bl w:val="nil"/>
                  </w:tcBorders>
                  <w:vAlign w:val="center"/>
                </w:tcPr>
                <w:p>
                  <w:pPr>
                    <w:bidi w:val="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0.3</w:t>
                  </w:r>
                </w:p>
              </w:tc>
              <w:tc>
                <w:tcPr>
                  <w:tcW w:w="2337" w:type="dxa"/>
                  <w:tcBorders>
                    <w:tl2br w:val="nil"/>
                    <w:tr2bl w:val="nil"/>
                  </w:tcBorders>
                  <w:vAlign w:val="center"/>
                </w:tcPr>
                <w:p>
                  <w:pPr>
                    <w:keepNext w:val="0"/>
                    <w:keepLines w:val="0"/>
                    <w:pageBreakBefore w:val="0"/>
                    <w:kinsoku/>
                    <w:overflowPunct/>
                    <w:topLinePunct w:val="0"/>
                    <w:autoSpaceDE/>
                    <w:autoSpaceDN/>
                    <w:bidi w:val="0"/>
                    <w:adjustRightInd w:val="0"/>
                    <w:snapToGrid w:val="0"/>
                    <w:spacing w:line="240" w:lineRule="auto"/>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《合成树脂工业污染物排放标准》（GB31572-2015）</w:t>
                  </w:r>
                </w:p>
                <w:p>
                  <w:pPr>
                    <w:bidi w:val="0"/>
                    <w:jc w:val="center"/>
                    <w:rPr>
                      <w:rFonts w:hint="eastAsia"/>
                      <w:b w:val="0"/>
                      <w:bCs w:val="0"/>
                      <w:sz w:val="21"/>
                      <w:szCs w:val="21"/>
                      <w:vertAlign w:val="baseline"/>
                      <w:lang w:val="en-US" w:eastAsia="zh-CN"/>
                    </w:rPr>
                  </w:pPr>
                  <w:r>
                    <w:rPr>
                      <w:rFonts w:ascii="Times New Roman" w:hAnsi="Times New Roman" w:eastAsia="宋体" w:cs="Times New Roman"/>
                      <w:sz w:val="21"/>
                      <w:szCs w:val="21"/>
                    </w:rPr>
                    <w:t>表5</w:t>
                  </w:r>
                  <w:r>
                    <w:rPr>
                      <w:rFonts w:hint="eastAsia" w:ascii="Times New Roman" w:hAnsi="Times New Roman" w:eastAsia="宋体" w:cs="Times New Roman"/>
                      <w:sz w:val="21"/>
                      <w:szCs w:val="21"/>
                      <w:lang w:val="en-US" w:eastAsia="zh-CN"/>
                    </w:rPr>
                    <w:t>特别排放限值</w:t>
                  </w:r>
                </w:p>
              </w:tc>
              <w:tc>
                <w:tcPr>
                  <w:tcW w:w="2426" w:type="dxa"/>
                  <w:tcBorders>
                    <w:tl2br w:val="nil"/>
                    <w:tr2bl w:val="nil"/>
                  </w:tcBorders>
                  <w:vAlign w:val="center"/>
                </w:tcPr>
                <w:p>
                  <w:pPr>
                    <w:bidi w:val="0"/>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达标</w:t>
                  </w:r>
                </w:p>
              </w:tc>
            </w:tr>
          </w:tbl>
          <w:p>
            <w:pPr>
              <w:bidi w:val="0"/>
              <w:jc w:val="center"/>
              <w:rPr>
                <w:b/>
                <w:bCs/>
              </w:rPr>
            </w:pPr>
          </w:p>
          <w:p>
            <w:pPr>
              <w:bidi w:val="0"/>
              <w:jc w:val="center"/>
              <w:rPr>
                <w:b/>
                <w:bCs/>
              </w:rPr>
            </w:pPr>
            <w:r>
              <w:rPr>
                <w:b/>
                <w:bCs/>
              </w:rPr>
              <w:t>表</w:t>
            </w:r>
            <w:r>
              <w:rPr>
                <w:rFonts w:hint="eastAsia"/>
                <w:b/>
                <w:bCs/>
              </w:rPr>
              <w:t>4</w:t>
            </w:r>
            <w:r>
              <w:rPr>
                <w:rFonts w:hint="eastAsia"/>
                <w:b/>
                <w:bCs/>
                <w:lang w:val="en-US" w:eastAsia="zh-CN"/>
              </w:rPr>
              <w:t>-5</w:t>
            </w:r>
            <w:r>
              <w:rPr>
                <w:b/>
                <w:bCs/>
              </w:rPr>
              <w:t xml:space="preserve">  </w:t>
            </w:r>
            <w:r>
              <w:rPr>
                <w:rFonts w:hint="eastAsia"/>
                <w:b/>
                <w:bCs/>
                <w:lang w:val="en-US" w:eastAsia="zh-CN"/>
              </w:rPr>
              <w:t>本</w:t>
            </w:r>
            <w:r>
              <w:rPr>
                <w:b/>
                <w:bCs/>
              </w:rPr>
              <w:t>项目无组织废气产生及排放源强一览表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1901"/>
              <w:gridCol w:w="1569"/>
              <w:gridCol w:w="2348"/>
              <w:gridCol w:w="1589"/>
              <w:gridCol w:w="1776"/>
              <w:gridCol w:w="1134"/>
              <w:gridCol w:w="2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区域</w:t>
                  </w:r>
                </w:p>
              </w:tc>
              <w:tc>
                <w:tcPr>
                  <w:tcW w:w="65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污染物种类</w:t>
                  </w:r>
                </w:p>
              </w:tc>
              <w:tc>
                <w:tcPr>
                  <w:tcW w:w="5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污染物产生</w:t>
                  </w:r>
                </w:p>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情况</w:t>
                  </w:r>
                </w:p>
              </w:tc>
              <w:tc>
                <w:tcPr>
                  <w:tcW w:w="1350"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收集及治理设施</w:t>
                  </w:r>
                </w:p>
              </w:tc>
              <w:tc>
                <w:tcPr>
                  <w:tcW w:w="6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污染物排放情况</w:t>
                  </w:r>
                </w:p>
              </w:tc>
              <w:tc>
                <w:tcPr>
                  <w:tcW w:w="3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排放高度m</w:t>
                  </w:r>
                </w:p>
              </w:tc>
              <w:tc>
                <w:tcPr>
                  <w:tcW w:w="71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面源面积m</w:t>
                  </w:r>
                  <w:r>
                    <w:rPr>
                      <w:b/>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b/>
                      <w:sz w:val="21"/>
                      <w:szCs w:val="21"/>
                    </w:rPr>
                  </w:pPr>
                </w:p>
              </w:tc>
              <w:tc>
                <w:tcPr>
                  <w:tcW w:w="65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b/>
                      <w:sz w:val="21"/>
                      <w:szCs w:val="21"/>
                    </w:rPr>
                  </w:pPr>
                </w:p>
              </w:tc>
              <w:tc>
                <w:tcPr>
                  <w:tcW w:w="5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产生量t/a</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收集治理工艺</w:t>
                  </w:r>
                </w:p>
              </w:tc>
              <w:tc>
                <w:tcPr>
                  <w:tcW w:w="5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效率%</w:t>
                  </w:r>
                </w:p>
              </w:tc>
              <w:tc>
                <w:tcPr>
                  <w:tcW w:w="6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排放量t/a</w:t>
                  </w:r>
                </w:p>
              </w:tc>
              <w:tc>
                <w:tcPr>
                  <w:tcW w:w="3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b/>
                      <w:sz w:val="21"/>
                      <w:szCs w:val="21"/>
                    </w:rPr>
                  </w:pPr>
                </w:p>
              </w:tc>
              <w:tc>
                <w:tcPr>
                  <w:tcW w:w="71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生产车间</w:t>
                  </w: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非甲烷总烃</w:t>
                  </w:r>
                </w:p>
              </w:tc>
              <w:tc>
                <w:tcPr>
                  <w:tcW w:w="5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1.62</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sz w:val="21"/>
                      <w:szCs w:val="21"/>
                    </w:rPr>
                  </w:pPr>
                  <w:r>
                    <w:rPr>
                      <w:sz w:val="21"/>
                      <w:szCs w:val="21"/>
                    </w:rPr>
                    <w:t>/</w:t>
                  </w:r>
                </w:p>
              </w:tc>
              <w:tc>
                <w:tcPr>
                  <w:tcW w:w="5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sz w:val="21"/>
                      <w:szCs w:val="21"/>
                    </w:rPr>
                  </w:pPr>
                  <w:r>
                    <w:rPr>
                      <w:sz w:val="21"/>
                      <w:szCs w:val="21"/>
                    </w:rPr>
                    <w:t>/</w:t>
                  </w:r>
                </w:p>
              </w:tc>
              <w:tc>
                <w:tcPr>
                  <w:tcW w:w="17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1.62</w:t>
                  </w:r>
                </w:p>
              </w:tc>
              <w:tc>
                <w:tcPr>
                  <w:tcW w:w="38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1</w:t>
                  </w:r>
                  <w:r>
                    <w:rPr>
                      <w:rFonts w:hint="eastAsia" w:eastAsia="宋体"/>
                      <w:color w:val="auto"/>
                      <w:sz w:val="21"/>
                      <w:szCs w:val="21"/>
                      <w:lang w:val="en-US" w:eastAsia="zh-CN"/>
                    </w:rPr>
                    <w:t>5</w:t>
                  </w:r>
                </w:p>
              </w:tc>
              <w:tc>
                <w:tcPr>
                  <w:tcW w:w="71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color w:val="auto"/>
                      <w:sz w:val="21"/>
                      <w:szCs w:val="21"/>
                      <w:lang w:val="en-US" w:eastAsia="zh-CN"/>
                    </w:rPr>
                    <w:t>1515</w:t>
                  </w:r>
                  <w:r>
                    <w:rPr>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4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eastAsia="宋体"/>
                      <w:sz w:val="21"/>
                      <w:szCs w:val="21"/>
                      <w:lang w:val="en-US" w:eastAsia="zh-CN"/>
                    </w:rPr>
                    <w:t>食堂</w:t>
                  </w:r>
                </w:p>
              </w:tc>
              <w:tc>
                <w:tcPr>
                  <w:tcW w:w="6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油烟</w:t>
                  </w:r>
                </w:p>
              </w:tc>
              <w:tc>
                <w:tcPr>
                  <w:tcW w:w="53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0.0003</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1"/>
                      <w:szCs w:val="21"/>
                    </w:rPr>
                  </w:pPr>
                  <w:r>
                    <w:rPr>
                      <w:sz w:val="21"/>
                      <w:szCs w:val="21"/>
                    </w:rPr>
                    <w:t>/</w:t>
                  </w:r>
                </w:p>
              </w:tc>
              <w:tc>
                <w:tcPr>
                  <w:tcW w:w="5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1"/>
                      <w:szCs w:val="21"/>
                    </w:rPr>
                  </w:pPr>
                  <w:r>
                    <w:rPr>
                      <w:sz w:val="21"/>
                      <w:szCs w:val="21"/>
                    </w:rPr>
                    <w:t>/</w:t>
                  </w:r>
                </w:p>
              </w:tc>
              <w:tc>
                <w:tcPr>
                  <w:tcW w:w="177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1"/>
                      <w:szCs w:val="21"/>
                      <w:lang w:val="en-US"/>
                    </w:rPr>
                  </w:pPr>
                  <w:r>
                    <w:rPr>
                      <w:rFonts w:hint="eastAsia"/>
                      <w:sz w:val="21"/>
                      <w:szCs w:val="21"/>
                      <w:lang w:val="en-US" w:eastAsia="zh-CN"/>
                    </w:rPr>
                    <w:t>0.0003</w:t>
                  </w:r>
                </w:p>
              </w:tc>
              <w:tc>
                <w:tcPr>
                  <w:tcW w:w="38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15</w:t>
                  </w:r>
                </w:p>
              </w:tc>
              <w:tc>
                <w:tcPr>
                  <w:tcW w:w="71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130</w:t>
                  </w:r>
                </w:p>
              </w:tc>
            </w:tr>
          </w:tbl>
          <w:p>
            <w:pPr>
              <w:spacing w:line="360" w:lineRule="auto"/>
              <w:rPr>
                <w:sz w:val="20"/>
              </w:rPr>
            </w:pPr>
          </w:p>
          <w:p>
            <w:pPr>
              <w:spacing w:line="360" w:lineRule="auto"/>
              <w:rPr>
                <w:sz w:val="20"/>
              </w:rPr>
            </w:pPr>
          </w:p>
          <w:p>
            <w:pPr>
              <w:spacing w:line="360" w:lineRule="auto"/>
              <w:rPr>
                <w:sz w:val="20"/>
              </w:rPr>
            </w:pPr>
          </w:p>
          <w:p>
            <w:pPr>
              <w:spacing w:line="360" w:lineRule="auto"/>
              <w:rPr>
                <w:sz w:val="20"/>
              </w:rPr>
            </w:pPr>
          </w:p>
        </w:tc>
      </w:tr>
    </w:tbl>
    <w:p>
      <w:pPr>
        <w:pStyle w:val="18"/>
        <w:sectPr>
          <w:pgSz w:w="16838" w:h="11906" w:orient="landscape"/>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pPr w:leftFromText="180" w:rightFromText="180" w:vertAnchor="text" w:horzAnchor="page" w:tblpX="1063" w:tblpY="75"/>
        <w:tblOverlap w:val="never"/>
        <w:tblW w:w="97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8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10" w:hRule="atLeast"/>
        </w:trPr>
        <w:tc>
          <w:tcPr>
            <w:tcW w:w="797" w:type="dxa"/>
            <w:noWrap w:val="0"/>
            <w:tcMar>
              <w:left w:w="28" w:type="dxa"/>
              <w:right w:w="28" w:type="dxa"/>
            </w:tcMar>
            <w:vAlign w:val="center"/>
          </w:tcPr>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运营</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期环</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境影</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响和</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保护</w:t>
            </w:r>
          </w:p>
          <w:p>
            <w:pPr>
              <w:keepNext w:val="0"/>
              <w:keepLines w:val="0"/>
              <w:pageBreakBefore w:val="0"/>
              <w:widowControl w:val="0"/>
              <w:kinsoku/>
              <w:wordWrap/>
              <w:topLinePunct w:val="0"/>
              <w:autoSpaceDE/>
              <w:autoSpaceDN/>
              <w:bidi w:val="0"/>
              <w:adjustRightInd w:val="0"/>
              <w:snapToGrid w:val="0"/>
              <w:jc w:val="center"/>
              <w:outlineLvl w:val="9"/>
              <w:rPr>
                <w:b/>
                <w:bCs/>
                <w:color w:val="000000"/>
                <w:szCs w:val="21"/>
              </w:rPr>
            </w:pPr>
            <w:r>
              <w:rPr>
                <w:b/>
                <w:bCs/>
                <w:color w:val="000000"/>
              </w:rPr>
              <w:t>措施</w:t>
            </w:r>
          </w:p>
        </w:tc>
        <w:tc>
          <w:tcPr>
            <w:tcW w:w="898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pPr>
            <w:r>
              <w:rPr>
                <w:rFonts w:hint="eastAsia"/>
              </w:rPr>
              <w:t>1.2</w:t>
            </w:r>
            <w:r>
              <w:t>废气治理</w:t>
            </w:r>
            <w:r>
              <w:rPr>
                <w:rFonts w:hint="eastAsia"/>
              </w:rPr>
              <w:t>措施及</w:t>
            </w:r>
            <w:r>
              <w:t>可行性分析</w:t>
            </w:r>
          </w:p>
          <w:p>
            <w:pPr>
              <w:adjustRightInd w:val="0"/>
              <w:snapToGrid w:val="0"/>
              <w:spacing w:line="360" w:lineRule="auto"/>
              <w:ind w:firstLine="480" w:firstLineChars="200"/>
              <w:outlineLvl w:val="2"/>
              <w:rPr>
                <w:bCs/>
                <w:color w:val="auto"/>
                <w:sz w:val="24"/>
                <w:highlight w:val="none"/>
              </w:rPr>
            </w:pPr>
            <w:r>
              <w:rPr>
                <w:rFonts w:hint="eastAsia" w:ascii="宋体" w:hAnsi="宋体" w:eastAsia="宋体"/>
              </w:rPr>
              <w:t>本项目</w:t>
            </w:r>
            <w:r>
              <w:rPr>
                <w:rFonts w:hint="eastAsia" w:ascii="宋体" w:hAnsi="宋体"/>
                <w:lang w:val="en-US" w:eastAsia="zh-CN"/>
              </w:rPr>
              <w:t>熔塑、注塑</w:t>
            </w:r>
            <w:r>
              <w:rPr>
                <w:rFonts w:hint="eastAsia" w:ascii="宋体" w:hAnsi="宋体" w:eastAsia="宋体"/>
              </w:rPr>
              <w:t>废气引入催化燃烧装置进行焚烧处理，处理后废气由排气筒DA00</w:t>
            </w:r>
            <w:r>
              <w:rPr>
                <w:rFonts w:hint="eastAsia" w:ascii="宋体" w:hAnsi="宋体"/>
                <w:lang w:val="en-US" w:eastAsia="zh-CN"/>
              </w:rPr>
              <w:t>5</w:t>
            </w:r>
            <w:r>
              <w:rPr>
                <w:rFonts w:hint="eastAsia" w:ascii="宋体" w:hAnsi="宋体" w:eastAsia="宋体"/>
              </w:rPr>
              <w:t>排放</w:t>
            </w:r>
            <w:r>
              <w:rPr>
                <w:rFonts w:hint="eastAsia" w:ascii="宋体" w:hAnsi="宋体" w:eastAsia="宋体"/>
                <w:lang w:eastAsia="zh-CN"/>
              </w:rPr>
              <w:t>。</w:t>
            </w:r>
            <w:r>
              <w:rPr>
                <w:rFonts w:hint="eastAsia" w:ascii="宋体" w:hAnsi="宋体"/>
                <w:lang w:val="en-US" w:eastAsia="zh-CN"/>
              </w:rPr>
              <w:t>吹塑</w:t>
            </w:r>
            <w:r>
              <w:rPr>
                <w:rFonts w:hint="eastAsia" w:ascii="宋体" w:hAnsi="宋体" w:eastAsia="宋体"/>
              </w:rPr>
              <w:t>废气引入催化燃烧装置进行焚烧处理，处理后废气由排气筒DA00</w:t>
            </w:r>
            <w:r>
              <w:rPr>
                <w:rFonts w:hint="eastAsia" w:ascii="宋体" w:hAnsi="宋体"/>
                <w:lang w:val="en-US" w:eastAsia="zh-CN"/>
              </w:rPr>
              <w:t>6</w:t>
            </w:r>
            <w:r>
              <w:rPr>
                <w:rFonts w:hint="eastAsia" w:ascii="宋体" w:hAnsi="宋体" w:eastAsia="宋体"/>
              </w:rPr>
              <w:t>排放</w:t>
            </w:r>
            <w:r>
              <w:rPr>
                <w:rFonts w:hint="eastAsia" w:ascii="宋体" w:hAnsi="宋体"/>
                <w:lang w:eastAsia="zh-CN"/>
              </w:rPr>
              <w:t>。</w:t>
            </w:r>
            <w:r>
              <w:rPr>
                <w:rFonts w:hint="eastAsia" w:cs="Times New Roman"/>
                <w:b w:val="0"/>
                <w:bCs w:val="0"/>
                <w:color w:val="auto"/>
                <w:kern w:val="0"/>
                <w:sz w:val="24"/>
                <w:highlight w:val="none"/>
                <w:lang w:val="en-US" w:eastAsia="zh-CN"/>
              </w:rPr>
              <w:t>满足</w:t>
            </w:r>
            <w:r>
              <w:rPr>
                <w:bCs/>
                <w:color w:val="auto"/>
                <w:sz w:val="24"/>
              </w:rPr>
              <w:t>《排污许可证申请与核发技术规范橡胶和塑料制品工业》（HJ1122-2020）中所列非甲烷总烃污染防治可行技术</w:t>
            </w:r>
            <w:r>
              <w:rPr>
                <w:rFonts w:hint="eastAsia"/>
                <w:bCs/>
                <w:color w:val="auto"/>
                <w:sz w:val="24"/>
                <w:lang w:val="en-US" w:eastAsia="zh-CN"/>
              </w:rPr>
              <w:t>要求</w:t>
            </w:r>
            <w:r>
              <w:rPr>
                <w:rFonts w:hint="eastAsia" w:cs="Times New Roman"/>
                <w:b w:val="0"/>
                <w:bCs w:val="0"/>
                <w:color w:val="auto"/>
                <w:kern w:val="0"/>
                <w:sz w:val="24"/>
                <w:highlight w:val="none"/>
                <w:lang w:val="en-US" w:eastAsia="zh-CN"/>
              </w:rPr>
              <w:t>。</w:t>
            </w:r>
            <w:r>
              <w:rPr>
                <w:rFonts w:hint="eastAsia"/>
                <w:bCs/>
                <w:color w:val="auto"/>
                <w:sz w:val="24"/>
                <w:highlight w:val="none"/>
              </w:rPr>
              <w:t>本项目采用的废气处理技术符合性分析情况见下表：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4"/>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kern w:val="0"/>
                <w:sz w:val="24"/>
                <w:lang w:val="en-US" w:eastAsia="zh-CN"/>
              </w:rPr>
              <w:t>表4-</w:t>
            </w:r>
            <w:r>
              <w:rPr>
                <w:rFonts w:hint="eastAsia" w:cs="Times New Roman"/>
                <w:b/>
                <w:bCs/>
                <w:color w:val="auto"/>
                <w:kern w:val="0"/>
                <w:sz w:val="24"/>
                <w:lang w:val="en-US" w:eastAsia="zh-CN"/>
              </w:rPr>
              <w:t xml:space="preserve">6  </w:t>
            </w:r>
            <w:r>
              <w:rPr>
                <w:rFonts w:hint="default" w:ascii="Times New Roman" w:hAnsi="Times New Roman" w:eastAsia="宋体" w:cs="Times New Roman"/>
                <w:b/>
                <w:bCs/>
                <w:color w:val="auto"/>
                <w:sz w:val="24"/>
                <w:szCs w:val="24"/>
                <w:highlight w:val="none"/>
                <w:lang w:val="en-US" w:eastAsia="zh-CN"/>
              </w:rPr>
              <w:t>废气处理设施可行性分析对照一览表</w:t>
            </w:r>
          </w:p>
          <w:tbl>
            <w:tblPr>
              <w:tblStyle w:val="22"/>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207"/>
              <w:gridCol w:w="3786"/>
              <w:gridCol w:w="1745"/>
              <w:gridCol w:w="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669"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outlineLvl w:val="4"/>
                    <w:rPr>
                      <w:rFonts w:ascii="Times New Roman" w:hAnsi="Times New Roman" w:cs="Times New Roman"/>
                      <w:bCs/>
                      <w:color w:val="auto"/>
                      <w:kern w:val="2"/>
                      <w:lang w:val="en-US"/>
                    </w:rPr>
                  </w:pPr>
                  <w:r>
                    <w:rPr>
                      <w:rFonts w:ascii="Times New Roman" w:hAnsi="Times New Roman" w:cs="Times New Roman"/>
                      <w:b/>
                      <w:color w:val="auto"/>
                      <w:sz w:val="21"/>
                      <w:szCs w:val="21"/>
                      <w:lang w:val="en-US" w:bidi="ar"/>
                    </w:rPr>
                    <w:t>产污环节</w:t>
                  </w:r>
                </w:p>
              </w:tc>
              <w:tc>
                <w:tcPr>
                  <w:tcW w:w="689"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outlineLvl w:val="4"/>
                    <w:rPr>
                      <w:rFonts w:ascii="Times New Roman" w:hAnsi="Times New Roman" w:cs="Times New Roman"/>
                      <w:b/>
                      <w:color w:val="auto"/>
                      <w:sz w:val="21"/>
                      <w:szCs w:val="21"/>
                      <w:lang w:val="en-US" w:bidi="ar"/>
                    </w:rPr>
                  </w:pPr>
                  <w:r>
                    <w:rPr>
                      <w:rFonts w:ascii="Times New Roman" w:hAnsi="Times New Roman" w:cs="Times New Roman"/>
                      <w:b/>
                      <w:color w:val="auto"/>
                      <w:sz w:val="21"/>
                      <w:szCs w:val="21"/>
                      <w:lang w:val="en-US" w:bidi="ar"/>
                    </w:rPr>
                    <w:t>污染物</w:t>
                  </w:r>
                </w:p>
                <w:p>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outlineLvl w:val="4"/>
                    <w:rPr>
                      <w:rFonts w:ascii="Times New Roman" w:hAnsi="Times New Roman" w:cs="Times New Roman"/>
                      <w:bCs/>
                      <w:color w:val="auto"/>
                      <w:kern w:val="2"/>
                      <w:lang w:val="en-US"/>
                    </w:rPr>
                  </w:pPr>
                  <w:r>
                    <w:rPr>
                      <w:rFonts w:ascii="Times New Roman" w:hAnsi="Times New Roman" w:cs="Times New Roman"/>
                      <w:b/>
                      <w:color w:val="auto"/>
                      <w:sz w:val="21"/>
                      <w:szCs w:val="21"/>
                      <w:lang w:val="en-US" w:bidi="ar"/>
                    </w:rPr>
                    <w:t>名称</w:t>
                  </w:r>
                </w:p>
              </w:tc>
              <w:tc>
                <w:tcPr>
                  <w:tcW w:w="2161"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outlineLvl w:val="4"/>
                    <w:rPr>
                      <w:rFonts w:ascii="Times New Roman" w:hAnsi="Times New Roman" w:cs="Times New Roman"/>
                      <w:bCs/>
                      <w:color w:val="auto"/>
                      <w:kern w:val="2"/>
                      <w:lang w:val="en-US"/>
                    </w:rPr>
                  </w:pPr>
                  <w:r>
                    <w:rPr>
                      <w:rFonts w:ascii="Times New Roman" w:hAnsi="Times New Roman" w:cs="Times New Roman"/>
                      <w:b/>
                      <w:color w:val="auto"/>
                      <w:sz w:val="21"/>
                      <w:szCs w:val="21"/>
                      <w:lang w:val="en-US" w:bidi="ar"/>
                    </w:rPr>
                    <w:t>主要污染治理设施</w:t>
                  </w:r>
                </w:p>
              </w:tc>
              <w:tc>
                <w:tcPr>
                  <w:tcW w:w="996"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outlineLvl w:val="4"/>
                    <w:rPr>
                      <w:rFonts w:ascii="Times New Roman" w:hAnsi="Times New Roman" w:cs="Times New Roman"/>
                      <w:bCs/>
                      <w:color w:val="auto"/>
                      <w:kern w:val="2"/>
                      <w:lang w:val="en-US"/>
                    </w:rPr>
                  </w:pPr>
                  <w:r>
                    <w:rPr>
                      <w:rFonts w:ascii="Times New Roman" w:hAnsi="Times New Roman" w:cs="Times New Roman"/>
                      <w:b/>
                      <w:color w:val="auto"/>
                      <w:sz w:val="21"/>
                      <w:szCs w:val="21"/>
                      <w:lang w:val="en-US" w:bidi="ar"/>
                    </w:rPr>
                    <w:t>企业建设内容</w:t>
                  </w:r>
                </w:p>
              </w:tc>
              <w:tc>
                <w:tcPr>
                  <w:tcW w:w="483"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outlineLvl w:val="4"/>
                    <w:rPr>
                      <w:rFonts w:ascii="Times New Roman" w:hAnsi="Times New Roman" w:cs="Times New Roman"/>
                      <w:bCs/>
                      <w:color w:val="auto"/>
                      <w:kern w:val="2"/>
                      <w:lang w:val="en-US"/>
                    </w:rPr>
                  </w:pPr>
                  <w:r>
                    <w:rPr>
                      <w:rFonts w:ascii="Times New Roman" w:hAnsi="Times New Roman" w:cs="Times New Roman"/>
                      <w:b/>
                      <w:color w:val="auto"/>
                      <w:sz w:val="21"/>
                      <w:szCs w:val="21"/>
                      <w:lang w:val="en-US"/>
                    </w:rPr>
                    <w:t>是否可行性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9"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outlineLvl w:val="4"/>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注塑</w:t>
                  </w:r>
                  <w:r>
                    <w:rPr>
                      <w:rFonts w:hint="eastAsia" w:cs="Times New Roman"/>
                      <w:color w:val="auto"/>
                      <w:sz w:val="21"/>
                      <w:szCs w:val="21"/>
                      <w:vertAlign w:val="baseline"/>
                      <w:lang w:val="en-US" w:eastAsia="zh-CN"/>
                    </w:rPr>
                    <w:t>、吹塑</w:t>
                  </w:r>
                </w:p>
              </w:tc>
              <w:tc>
                <w:tcPr>
                  <w:tcW w:w="689"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outlineLvl w:val="4"/>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挥发性</w:t>
                  </w:r>
                </w:p>
                <w:p>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outlineLvl w:val="4"/>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有机物</w:t>
                  </w:r>
                </w:p>
              </w:tc>
              <w:tc>
                <w:tcPr>
                  <w:tcW w:w="2161"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lang w:val="en-US" w:eastAsia="zh-CN" w:bidi="ar"/>
                    </w:rPr>
                  </w:pPr>
                  <w:r>
                    <w:rPr>
                      <w:rFonts w:hint="eastAsia"/>
                      <w:color w:val="auto"/>
                      <w:sz w:val="21"/>
                      <w:szCs w:val="21"/>
                      <w:highlight w:val="none"/>
                    </w:rPr>
                    <w:t>喷淋</w:t>
                  </w:r>
                  <w:r>
                    <w:rPr>
                      <w:rFonts w:hint="eastAsia"/>
                      <w:color w:val="auto"/>
                      <w:sz w:val="21"/>
                      <w:szCs w:val="21"/>
                      <w:highlight w:val="none"/>
                      <w:lang w:eastAsia="zh-CN"/>
                    </w:rPr>
                    <w:t>、</w:t>
                  </w:r>
                  <w:r>
                    <w:rPr>
                      <w:rFonts w:hint="eastAsia"/>
                      <w:color w:val="auto"/>
                      <w:sz w:val="21"/>
                      <w:szCs w:val="21"/>
                      <w:highlight w:val="none"/>
                    </w:rPr>
                    <w:t>吸附</w:t>
                  </w:r>
                  <w:r>
                    <w:rPr>
                      <w:rFonts w:hint="eastAsia"/>
                      <w:color w:val="auto"/>
                      <w:sz w:val="21"/>
                      <w:szCs w:val="21"/>
                      <w:highlight w:val="none"/>
                      <w:lang w:eastAsia="zh-CN"/>
                    </w:rPr>
                    <w:t>、</w:t>
                  </w:r>
                  <w:r>
                    <w:rPr>
                      <w:rFonts w:hint="eastAsia"/>
                      <w:color w:val="auto"/>
                      <w:sz w:val="21"/>
                      <w:szCs w:val="21"/>
                      <w:highlight w:val="none"/>
                    </w:rPr>
                    <w:t>热力燃烧</w:t>
                  </w:r>
                  <w:r>
                    <w:rPr>
                      <w:rFonts w:hint="eastAsia"/>
                      <w:color w:val="auto"/>
                      <w:sz w:val="21"/>
                      <w:szCs w:val="21"/>
                      <w:highlight w:val="none"/>
                      <w:lang w:eastAsia="zh-CN"/>
                    </w:rPr>
                    <w:t>、</w:t>
                  </w:r>
                  <w:r>
                    <w:rPr>
                      <w:rFonts w:hint="eastAsia"/>
                      <w:color w:val="auto"/>
                      <w:sz w:val="21"/>
                      <w:szCs w:val="21"/>
                      <w:highlight w:val="none"/>
                    </w:rPr>
                    <w:t>催化燃烧</w:t>
                  </w:r>
                </w:p>
              </w:tc>
              <w:tc>
                <w:tcPr>
                  <w:tcW w:w="996" w:type="pct"/>
                  <w:tcBorders>
                    <w:tl2br w:val="nil"/>
                    <w:tr2bl w:val="nil"/>
                  </w:tcBorders>
                  <w:noWrap w:val="0"/>
                  <w:vAlign w:val="center"/>
                </w:tcPr>
                <w:p>
                  <w:pPr>
                    <w:jc w:val="both"/>
                    <w:rPr>
                      <w:rFonts w:hint="eastAsia" w:ascii="Times New Roman" w:hAnsi="Times New Roman" w:eastAsia="宋体" w:cs="Times New Roman"/>
                      <w:color w:val="auto"/>
                      <w:kern w:val="0"/>
                      <w:sz w:val="21"/>
                      <w:szCs w:val="21"/>
                      <w:lang w:val="en-US" w:eastAsia="zh-CN" w:bidi="ar"/>
                    </w:rPr>
                  </w:pPr>
                  <w:r>
                    <w:rPr>
                      <w:rFonts w:hint="eastAsia"/>
                      <w:sz w:val="21"/>
                      <w:szCs w:val="21"/>
                      <w:lang w:val="en-US" w:eastAsia="zh-CN"/>
                    </w:rPr>
                    <w:t>催化燃烧装置</w:t>
                  </w:r>
                </w:p>
              </w:tc>
              <w:tc>
                <w:tcPr>
                  <w:tcW w:w="483" w:type="pct"/>
                  <w:tcBorders>
                    <w:tl2br w:val="nil"/>
                    <w:tr2bl w:val="nil"/>
                  </w:tcBorders>
                  <w:noWrap w:val="0"/>
                  <w:vAlign w:val="center"/>
                </w:tcPr>
                <w:p>
                  <w:pPr>
                    <w:pStyle w:val="10"/>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outlineLvl w:val="4"/>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是</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2"/>
              <w:rPr>
                <w:rFonts w:hint="default" w:ascii="Times New Roman" w:hAnsi="Times New Roman" w:eastAsia="宋体" w:cs="Times New Roman"/>
                <w:lang w:val="en-US" w:eastAsia="zh-CN"/>
              </w:rPr>
            </w:pPr>
            <w:r>
              <w:rPr>
                <w:rFonts w:hint="eastAsia"/>
                <w:lang w:val="en-US" w:eastAsia="zh-CN"/>
              </w:rPr>
              <w:t>本项目食堂烹饪产生废气较少，可依托现有的油烟净化装置进行处理，处理后全厂油烟能够满足</w:t>
            </w:r>
            <w:r>
              <w:rPr>
                <w:rFonts w:hint="eastAsia" w:ascii="Times New Roman" w:hAnsi="Times New Roman" w:eastAsia="宋体" w:cs="Times New Roman"/>
                <w:lang w:val="en-US" w:eastAsia="zh-CN"/>
              </w:rPr>
              <w:t>《饮食业油烟排放标准》（GB18483-2001）要求。</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bCs/>
                <w:color w:val="000000"/>
                <w:kern w:val="0"/>
              </w:rPr>
            </w:pPr>
            <w:r>
              <w:rPr>
                <w:rFonts w:hint="eastAsia"/>
                <w:bCs/>
                <w:color w:val="000000"/>
                <w:kern w:val="0"/>
              </w:rPr>
              <w:t>1.3大气污染源监测计划</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rFonts w:hint="eastAsia"/>
                <w:bCs/>
                <w:color w:val="000000"/>
                <w:kern w:val="0"/>
              </w:rPr>
            </w:pPr>
            <w:r>
              <w:rPr>
                <w:color w:val="auto"/>
                <w:sz w:val="24"/>
              </w:rPr>
              <w:t>项目废气监测频次参照执行《排污单位自行监测技术指南总则》（HJ819-2017）规定执行。</w:t>
            </w:r>
          </w:p>
          <w:p>
            <w:pPr>
              <w:keepNext w:val="0"/>
              <w:keepLines w:val="0"/>
              <w:pageBreakBefore w:val="0"/>
              <w:widowControl w:val="0"/>
              <w:kinsoku/>
              <w:wordWrap/>
              <w:topLinePunct w:val="0"/>
              <w:autoSpaceDE/>
              <w:autoSpaceDN/>
              <w:bidi w:val="0"/>
              <w:adjustRightInd w:val="0"/>
              <w:snapToGrid w:val="0"/>
              <w:jc w:val="center"/>
              <w:outlineLvl w:val="9"/>
              <w:rPr>
                <w:b/>
                <w:color w:val="000000"/>
                <w:kern w:val="0"/>
              </w:rPr>
            </w:pPr>
            <w:r>
              <w:rPr>
                <w:b/>
                <w:color w:val="000000"/>
                <w:kern w:val="0"/>
              </w:rPr>
              <w:t>表</w:t>
            </w:r>
            <w:r>
              <w:rPr>
                <w:rFonts w:hint="eastAsia"/>
                <w:b/>
                <w:color w:val="000000"/>
                <w:kern w:val="0"/>
              </w:rPr>
              <w:t>4-</w:t>
            </w:r>
            <w:r>
              <w:rPr>
                <w:rFonts w:hint="eastAsia"/>
                <w:b/>
                <w:color w:val="000000"/>
                <w:kern w:val="0"/>
                <w:lang w:val="en-US" w:eastAsia="zh-CN"/>
              </w:rPr>
              <w:t>7</w:t>
            </w:r>
            <w:r>
              <w:rPr>
                <w:rFonts w:hint="eastAsia"/>
                <w:b/>
                <w:color w:val="000000"/>
                <w:kern w:val="0"/>
              </w:rPr>
              <w:t xml:space="preserve"> 大气</w:t>
            </w:r>
            <w:r>
              <w:rPr>
                <w:b/>
                <w:color w:val="000000"/>
                <w:kern w:val="0"/>
              </w:rPr>
              <w:t>自行监测及记录信息表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93"/>
              <w:gridCol w:w="1012"/>
              <w:gridCol w:w="1012"/>
              <w:gridCol w:w="2004"/>
              <w:gridCol w:w="1671"/>
              <w:gridCol w:w="1008"/>
              <w:gridCol w:w="1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8" w:hRule="atLeast"/>
                <w:tblHeader/>
                <w:jc w:val="center"/>
              </w:trPr>
              <w:tc>
                <w:tcPr>
                  <w:tcW w:w="39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b/>
                      <w:bCs/>
                      <w:color w:val="000000"/>
                      <w:sz w:val="21"/>
                      <w:szCs w:val="21"/>
                    </w:rPr>
                  </w:pPr>
                  <w:r>
                    <w:rPr>
                      <w:b/>
                      <w:bCs/>
                      <w:color w:val="000000"/>
                      <w:sz w:val="21"/>
                      <w:szCs w:val="21"/>
                    </w:rPr>
                    <w:t>序号</w:t>
                  </w:r>
                </w:p>
              </w:tc>
              <w:tc>
                <w:tcPr>
                  <w:tcW w:w="57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b/>
                      <w:bCs/>
                      <w:color w:val="000000"/>
                      <w:sz w:val="21"/>
                      <w:szCs w:val="21"/>
                    </w:rPr>
                  </w:pPr>
                  <w:r>
                    <w:rPr>
                      <w:b/>
                      <w:bCs/>
                      <w:color w:val="000000"/>
                      <w:sz w:val="21"/>
                      <w:szCs w:val="21"/>
                    </w:rPr>
                    <w:t>污染源</w:t>
                  </w:r>
                </w:p>
                <w:p>
                  <w:pPr>
                    <w:keepNext w:val="0"/>
                    <w:keepLines w:val="0"/>
                    <w:pageBreakBefore w:val="0"/>
                    <w:widowControl w:val="0"/>
                    <w:kinsoku/>
                    <w:wordWrap/>
                    <w:topLinePunct w:val="0"/>
                    <w:autoSpaceDE/>
                    <w:autoSpaceDN/>
                    <w:bidi w:val="0"/>
                    <w:adjustRightInd w:val="0"/>
                    <w:snapToGrid w:val="0"/>
                    <w:jc w:val="center"/>
                    <w:outlineLvl w:val="9"/>
                    <w:rPr>
                      <w:b/>
                      <w:bCs/>
                      <w:color w:val="000000"/>
                      <w:sz w:val="21"/>
                      <w:szCs w:val="21"/>
                    </w:rPr>
                  </w:pPr>
                  <w:r>
                    <w:rPr>
                      <w:b/>
                      <w:bCs/>
                      <w:color w:val="000000"/>
                      <w:sz w:val="21"/>
                      <w:szCs w:val="21"/>
                    </w:rPr>
                    <w:t>类别</w:t>
                  </w:r>
                </w:p>
              </w:tc>
              <w:tc>
                <w:tcPr>
                  <w:tcW w:w="57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b/>
                      <w:bCs/>
                      <w:color w:val="000000"/>
                      <w:sz w:val="21"/>
                      <w:szCs w:val="21"/>
                    </w:rPr>
                  </w:pPr>
                  <w:r>
                    <w:rPr>
                      <w:b/>
                      <w:bCs/>
                      <w:color w:val="000000"/>
                      <w:sz w:val="21"/>
                      <w:szCs w:val="21"/>
                    </w:rPr>
                    <w:t>排放口</w:t>
                  </w:r>
                </w:p>
                <w:p>
                  <w:pPr>
                    <w:keepNext w:val="0"/>
                    <w:keepLines w:val="0"/>
                    <w:pageBreakBefore w:val="0"/>
                    <w:widowControl w:val="0"/>
                    <w:kinsoku/>
                    <w:wordWrap/>
                    <w:topLinePunct w:val="0"/>
                    <w:autoSpaceDE/>
                    <w:autoSpaceDN/>
                    <w:bidi w:val="0"/>
                    <w:adjustRightInd w:val="0"/>
                    <w:snapToGrid w:val="0"/>
                    <w:jc w:val="center"/>
                    <w:outlineLvl w:val="9"/>
                    <w:rPr>
                      <w:b/>
                      <w:bCs/>
                      <w:color w:val="000000"/>
                      <w:sz w:val="21"/>
                      <w:szCs w:val="21"/>
                    </w:rPr>
                  </w:pPr>
                  <w:r>
                    <w:rPr>
                      <w:b/>
                      <w:bCs/>
                      <w:color w:val="000000"/>
                      <w:sz w:val="21"/>
                      <w:szCs w:val="21"/>
                    </w:rPr>
                    <w:t>编号</w:t>
                  </w:r>
                </w:p>
              </w:tc>
              <w:tc>
                <w:tcPr>
                  <w:tcW w:w="114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b/>
                      <w:bCs/>
                      <w:color w:val="000000"/>
                      <w:sz w:val="21"/>
                      <w:szCs w:val="21"/>
                    </w:rPr>
                  </w:pPr>
                  <w:r>
                    <w:rPr>
                      <w:b/>
                      <w:bCs/>
                      <w:color w:val="000000"/>
                      <w:sz w:val="21"/>
                      <w:szCs w:val="21"/>
                    </w:rPr>
                    <w:t>监测点位</w:t>
                  </w:r>
                </w:p>
              </w:tc>
              <w:tc>
                <w:tcPr>
                  <w:tcW w:w="95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b/>
                      <w:bCs/>
                      <w:color w:val="000000"/>
                      <w:sz w:val="21"/>
                      <w:szCs w:val="21"/>
                    </w:rPr>
                  </w:pPr>
                  <w:r>
                    <w:rPr>
                      <w:b/>
                      <w:bCs/>
                      <w:color w:val="000000"/>
                      <w:sz w:val="21"/>
                      <w:szCs w:val="21"/>
                    </w:rPr>
                    <w:t>监测因子</w:t>
                  </w:r>
                </w:p>
              </w:tc>
              <w:tc>
                <w:tcPr>
                  <w:tcW w:w="57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b/>
                      <w:bCs/>
                      <w:color w:val="000000"/>
                      <w:sz w:val="21"/>
                      <w:szCs w:val="21"/>
                    </w:rPr>
                  </w:pPr>
                  <w:r>
                    <w:rPr>
                      <w:b/>
                      <w:bCs/>
                      <w:color w:val="000000"/>
                      <w:sz w:val="21"/>
                      <w:szCs w:val="21"/>
                    </w:rPr>
                    <w:t>监测</w:t>
                  </w:r>
                </w:p>
                <w:p>
                  <w:pPr>
                    <w:keepNext w:val="0"/>
                    <w:keepLines w:val="0"/>
                    <w:pageBreakBefore w:val="0"/>
                    <w:widowControl w:val="0"/>
                    <w:kinsoku/>
                    <w:wordWrap/>
                    <w:topLinePunct w:val="0"/>
                    <w:autoSpaceDE/>
                    <w:autoSpaceDN/>
                    <w:bidi w:val="0"/>
                    <w:adjustRightInd w:val="0"/>
                    <w:snapToGrid w:val="0"/>
                    <w:jc w:val="center"/>
                    <w:outlineLvl w:val="9"/>
                    <w:rPr>
                      <w:b/>
                      <w:bCs/>
                      <w:color w:val="000000"/>
                      <w:sz w:val="21"/>
                      <w:szCs w:val="21"/>
                    </w:rPr>
                  </w:pPr>
                  <w:r>
                    <w:rPr>
                      <w:b/>
                      <w:bCs/>
                      <w:color w:val="000000"/>
                      <w:sz w:val="21"/>
                      <w:szCs w:val="21"/>
                    </w:rPr>
                    <w:t>设施</w:t>
                  </w:r>
                </w:p>
              </w:tc>
              <w:tc>
                <w:tcPr>
                  <w:tcW w:w="77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b/>
                      <w:bCs/>
                      <w:color w:val="000000"/>
                      <w:sz w:val="21"/>
                      <w:szCs w:val="21"/>
                    </w:rPr>
                  </w:pPr>
                  <w:r>
                    <w:rPr>
                      <w:b/>
                      <w:bCs/>
                      <w:color w:val="000000"/>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4" w:hRule="atLeast"/>
                <w:tblHeader/>
                <w:jc w:val="center"/>
              </w:trPr>
              <w:tc>
                <w:tcPr>
                  <w:tcW w:w="39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1</w:t>
                  </w:r>
                </w:p>
              </w:tc>
              <w:tc>
                <w:tcPr>
                  <w:tcW w:w="57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b/>
                      <w:color w:val="000000"/>
                      <w:kern w:val="44"/>
                      <w:sz w:val="21"/>
                      <w:szCs w:val="21"/>
                    </w:rPr>
                  </w:pPr>
                  <w:r>
                    <w:rPr>
                      <w:color w:val="000000"/>
                      <w:sz w:val="21"/>
                      <w:szCs w:val="21"/>
                    </w:rPr>
                    <w:t>有组织</w:t>
                  </w:r>
                </w:p>
              </w:tc>
              <w:tc>
                <w:tcPr>
                  <w:tcW w:w="57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eastAsia="宋体"/>
                      <w:color w:val="000000"/>
                      <w:sz w:val="21"/>
                      <w:szCs w:val="21"/>
                      <w:lang w:val="en-US" w:eastAsia="zh-CN"/>
                    </w:rPr>
                  </w:pPr>
                  <w:r>
                    <w:rPr>
                      <w:color w:val="000000"/>
                      <w:sz w:val="21"/>
                      <w:szCs w:val="21"/>
                    </w:rPr>
                    <w:t>DA00</w:t>
                  </w:r>
                  <w:r>
                    <w:rPr>
                      <w:rFonts w:hint="eastAsia"/>
                      <w:color w:val="000000"/>
                      <w:sz w:val="21"/>
                      <w:szCs w:val="21"/>
                      <w:lang w:val="en-US" w:eastAsia="zh-CN"/>
                    </w:rPr>
                    <w:t>4</w:t>
                  </w:r>
                </w:p>
              </w:tc>
              <w:tc>
                <w:tcPr>
                  <w:tcW w:w="114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排气筒</w:t>
                  </w:r>
                  <w:r>
                    <w:rPr>
                      <w:rFonts w:hint="eastAsia"/>
                      <w:color w:val="000000"/>
                      <w:sz w:val="21"/>
                      <w:szCs w:val="21"/>
                    </w:rPr>
                    <w:t>进出口</w:t>
                  </w:r>
                </w:p>
              </w:tc>
              <w:tc>
                <w:tcPr>
                  <w:tcW w:w="95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rFonts w:hint="eastAsia"/>
                      <w:color w:val="000000"/>
                      <w:sz w:val="21"/>
                      <w:szCs w:val="21"/>
                    </w:rPr>
                    <w:t>油烟</w:t>
                  </w:r>
                </w:p>
              </w:tc>
              <w:tc>
                <w:tcPr>
                  <w:tcW w:w="575" w:type="pct"/>
                  <w:tcBorders>
                    <w:tl2br w:val="nil"/>
                    <w:tr2bl w:val="nil"/>
                  </w:tcBorders>
                  <w:noWrap w:val="0"/>
                  <w:vAlign w:val="center"/>
                </w:tcPr>
                <w:p>
                  <w:pPr>
                    <w:pStyle w:val="43"/>
                    <w:keepNext w:val="0"/>
                    <w:keepLines w:val="0"/>
                    <w:pageBreakBefore w:val="0"/>
                    <w:widowControl w:val="0"/>
                    <w:kinsoku/>
                    <w:wordWrap/>
                    <w:topLinePunct w:val="0"/>
                    <w:autoSpaceDE/>
                    <w:autoSpaceDN/>
                    <w:bidi w:val="0"/>
                    <w:adjustRightInd w:val="0"/>
                    <w:snapToGrid w:val="0"/>
                    <w:jc w:val="center"/>
                    <w:outlineLvl w:val="9"/>
                    <w:rPr>
                      <w:rFonts w:ascii="Times New Roman" w:hAnsi="Times New Roman"/>
                      <w:color w:val="000000"/>
                      <w:sz w:val="21"/>
                      <w:szCs w:val="21"/>
                    </w:rPr>
                  </w:pPr>
                  <w:r>
                    <w:rPr>
                      <w:rFonts w:ascii="Times New Roman" w:hAnsi="Times New Roman"/>
                      <w:color w:val="000000"/>
                      <w:sz w:val="21"/>
                      <w:szCs w:val="21"/>
                    </w:rPr>
                    <w:t>□自动</w:t>
                  </w:r>
                </w:p>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☑手工</w:t>
                  </w:r>
                </w:p>
              </w:tc>
              <w:tc>
                <w:tcPr>
                  <w:tcW w:w="77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rFonts w:hint="eastAsia"/>
                      <w:color w:val="000000"/>
                      <w:sz w:val="21"/>
                      <w:szCs w:val="21"/>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4" w:hRule="atLeast"/>
                <w:tblHeader/>
                <w:jc w:val="center"/>
              </w:trPr>
              <w:tc>
                <w:tcPr>
                  <w:tcW w:w="39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color w:val="000000"/>
                      <w:sz w:val="21"/>
                      <w:szCs w:val="21"/>
                    </w:rPr>
                  </w:pPr>
                  <w:r>
                    <w:rPr>
                      <w:rFonts w:hint="eastAsia"/>
                      <w:color w:val="000000"/>
                      <w:sz w:val="21"/>
                      <w:szCs w:val="21"/>
                    </w:rPr>
                    <w:t>2</w:t>
                  </w:r>
                </w:p>
              </w:tc>
              <w:tc>
                <w:tcPr>
                  <w:tcW w:w="57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color w:val="000000"/>
                      <w:sz w:val="21"/>
                      <w:szCs w:val="21"/>
                    </w:rPr>
                  </w:pPr>
                  <w:r>
                    <w:rPr>
                      <w:rFonts w:hint="eastAsia"/>
                      <w:color w:val="000000"/>
                      <w:sz w:val="21"/>
                      <w:szCs w:val="21"/>
                    </w:rPr>
                    <w:t>有组织</w:t>
                  </w:r>
                </w:p>
              </w:tc>
              <w:tc>
                <w:tcPr>
                  <w:tcW w:w="57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eastAsia="宋体"/>
                      <w:color w:val="000000"/>
                      <w:sz w:val="21"/>
                      <w:szCs w:val="21"/>
                      <w:lang w:val="en-US" w:eastAsia="zh-CN"/>
                    </w:rPr>
                  </w:pPr>
                  <w:r>
                    <w:rPr>
                      <w:rFonts w:hint="eastAsia"/>
                      <w:color w:val="000000"/>
                      <w:sz w:val="21"/>
                      <w:szCs w:val="21"/>
                    </w:rPr>
                    <w:t>DA00</w:t>
                  </w:r>
                  <w:r>
                    <w:rPr>
                      <w:rFonts w:hint="eastAsia"/>
                      <w:color w:val="000000"/>
                      <w:sz w:val="21"/>
                      <w:szCs w:val="21"/>
                      <w:lang w:val="en-US" w:eastAsia="zh-CN"/>
                    </w:rPr>
                    <w:t>5</w:t>
                  </w:r>
                </w:p>
              </w:tc>
              <w:tc>
                <w:tcPr>
                  <w:tcW w:w="114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排气筒</w:t>
                  </w:r>
                  <w:r>
                    <w:rPr>
                      <w:rFonts w:hint="eastAsia"/>
                      <w:color w:val="000000"/>
                      <w:sz w:val="21"/>
                      <w:szCs w:val="21"/>
                    </w:rPr>
                    <w:t>进出口</w:t>
                  </w:r>
                </w:p>
              </w:tc>
              <w:tc>
                <w:tcPr>
                  <w:tcW w:w="95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eastAsia="宋体"/>
                      <w:color w:val="000000"/>
                      <w:sz w:val="21"/>
                      <w:szCs w:val="21"/>
                      <w:lang w:eastAsia="zh-CN"/>
                    </w:rPr>
                  </w:pPr>
                  <w:r>
                    <w:rPr>
                      <w:rFonts w:hint="eastAsia" w:cs="Times New Roman"/>
                      <w:color w:val="000000"/>
                      <w:sz w:val="21"/>
                      <w:szCs w:val="21"/>
                      <w:lang w:val="en-US" w:eastAsia="zh-CN"/>
                    </w:rPr>
                    <w:t>非甲烷总烃</w:t>
                  </w:r>
                </w:p>
              </w:tc>
              <w:tc>
                <w:tcPr>
                  <w:tcW w:w="575" w:type="pct"/>
                  <w:tcBorders>
                    <w:tl2br w:val="nil"/>
                    <w:tr2bl w:val="nil"/>
                  </w:tcBorders>
                  <w:noWrap w:val="0"/>
                  <w:vAlign w:val="center"/>
                </w:tcPr>
                <w:p>
                  <w:pPr>
                    <w:pStyle w:val="43"/>
                    <w:keepNext w:val="0"/>
                    <w:keepLines w:val="0"/>
                    <w:pageBreakBefore w:val="0"/>
                    <w:widowControl w:val="0"/>
                    <w:kinsoku/>
                    <w:wordWrap/>
                    <w:topLinePunct w:val="0"/>
                    <w:autoSpaceDE/>
                    <w:autoSpaceDN/>
                    <w:bidi w:val="0"/>
                    <w:adjustRightInd w:val="0"/>
                    <w:snapToGrid w:val="0"/>
                    <w:jc w:val="center"/>
                    <w:outlineLvl w:val="9"/>
                    <w:rPr>
                      <w:rFonts w:ascii="Times New Roman" w:hAnsi="Times New Roman"/>
                      <w:color w:val="000000"/>
                      <w:sz w:val="21"/>
                      <w:szCs w:val="21"/>
                    </w:rPr>
                  </w:pPr>
                  <w:r>
                    <w:rPr>
                      <w:rFonts w:ascii="Times New Roman" w:hAnsi="Times New Roman"/>
                      <w:color w:val="000000"/>
                      <w:sz w:val="21"/>
                      <w:szCs w:val="21"/>
                    </w:rPr>
                    <w:t>□自动</w:t>
                  </w:r>
                </w:p>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☑手工</w:t>
                  </w:r>
                </w:p>
              </w:tc>
              <w:tc>
                <w:tcPr>
                  <w:tcW w:w="77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color w:val="000000"/>
                      <w:sz w:val="21"/>
                      <w:szCs w:val="21"/>
                    </w:rPr>
                  </w:pPr>
                  <w:r>
                    <w:rPr>
                      <w:rFonts w:hint="eastAsia"/>
                      <w:color w:val="000000"/>
                      <w:sz w:val="21"/>
                      <w:szCs w:val="21"/>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4" w:hRule="atLeast"/>
                <w:tblHeader/>
                <w:jc w:val="center"/>
              </w:trPr>
              <w:tc>
                <w:tcPr>
                  <w:tcW w:w="39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eastAsia="宋体"/>
                      <w:color w:val="000000"/>
                      <w:sz w:val="21"/>
                      <w:szCs w:val="21"/>
                      <w:lang w:val="en-US" w:eastAsia="zh-CN"/>
                    </w:rPr>
                  </w:pPr>
                  <w:r>
                    <w:rPr>
                      <w:rFonts w:hint="eastAsia"/>
                      <w:color w:val="000000"/>
                      <w:sz w:val="21"/>
                      <w:szCs w:val="21"/>
                      <w:lang w:val="en-US" w:eastAsia="zh-CN"/>
                    </w:rPr>
                    <w:t>3</w:t>
                  </w:r>
                </w:p>
              </w:tc>
              <w:tc>
                <w:tcPr>
                  <w:tcW w:w="57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color w:val="000000"/>
                      <w:sz w:val="21"/>
                      <w:szCs w:val="21"/>
                    </w:rPr>
                  </w:pPr>
                  <w:r>
                    <w:rPr>
                      <w:rFonts w:hint="eastAsia"/>
                      <w:color w:val="000000"/>
                      <w:sz w:val="21"/>
                      <w:szCs w:val="21"/>
                    </w:rPr>
                    <w:t>有组织</w:t>
                  </w:r>
                </w:p>
              </w:tc>
              <w:tc>
                <w:tcPr>
                  <w:tcW w:w="57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eastAsia="宋体"/>
                      <w:color w:val="000000"/>
                      <w:sz w:val="21"/>
                      <w:szCs w:val="21"/>
                      <w:lang w:val="en-US" w:eastAsia="zh-CN"/>
                    </w:rPr>
                  </w:pPr>
                  <w:r>
                    <w:rPr>
                      <w:rFonts w:hint="eastAsia"/>
                      <w:color w:val="000000"/>
                      <w:sz w:val="21"/>
                      <w:szCs w:val="21"/>
                    </w:rPr>
                    <w:t>DA00</w:t>
                  </w:r>
                  <w:r>
                    <w:rPr>
                      <w:rFonts w:hint="eastAsia"/>
                      <w:color w:val="000000"/>
                      <w:sz w:val="21"/>
                      <w:szCs w:val="21"/>
                      <w:lang w:val="en-US" w:eastAsia="zh-CN"/>
                    </w:rPr>
                    <w:t>6</w:t>
                  </w:r>
                </w:p>
              </w:tc>
              <w:tc>
                <w:tcPr>
                  <w:tcW w:w="114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排气筒</w:t>
                  </w:r>
                  <w:r>
                    <w:rPr>
                      <w:rFonts w:hint="eastAsia"/>
                      <w:color w:val="000000"/>
                      <w:sz w:val="21"/>
                      <w:szCs w:val="21"/>
                    </w:rPr>
                    <w:t>进出口</w:t>
                  </w:r>
                </w:p>
              </w:tc>
              <w:tc>
                <w:tcPr>
                  <w:tcW w:w="95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cs="Times New Roman"/>
                      <w:color w:val="000000"/>
                      <w:sz w:val="21"/>
                      <w:szCs w:val="21"/>
                      <w:lang w:val="en-US" w:eastAsia="zh-CN"/>
                    </w:rPr>
                  </w:pPr>
                  <w:r>
                    <w:rPr>
                      <w:rFonts w:hint="eastAsia" w:cs="Times New Roman"/>
                      <w:color w:val="000000"/>
                      <w:sz w:val="21"/>
                      <w:szCs w:val="21"/>
                      <w:lang w:val="en-US" w:eastAsia="zh-CN"/>
                    </w:rPr>
                    <w:t>非甲烷总烃</w:t>
                  </w:r>
                </w:p>
              </w:tc>
              <w:tc>
                <w:tcPr>
                  <w:tcW w:w="575" w:type="pct"/>
                  <w:tcBorders>
                    <w:tl2br w:val="nil"/>
                    <w:tr2bl w:val="nil"/>
                  </w:tcBorders>
                  <w:noWrap w:val="0"/>
                  <w:vAlign w:val="center"/>
                </w:tcPr>
                <w:p>
                  <w:pPr>
                    <w:pStyle w:val="43"/>
                    <w:keepNext w:val="0"/>
                    <w:keepLines w:val="0"/>
                    <w:pageBreakBefore w:val="0"/>
                    <w:widowControl w:val="0"/>
                    <w:kinsoku/>
                    <w:wordWrap/>
                    <w:topLinePunct w:val="0"/>
                    <w:autoSpaceDE/>
                    <w:autoSpaceDN/>
                    <w:bidi w:val="0"/>
                    <w:adjustRightInd w:val="0"/>
                    <w:snapToGrid w:val="0"/>
                    <w:jc w:val="center"/>
                    <w:outlineLvl w:val="9"/>
                    <w:rPr>
                      <w:rFonts w:ascii="Times New Roman" w:hAnsi="Times New Roman"/>
                      <w:color w:val="000000"/>
                      <w:sz w:val="21"/>
                      <w:szCs w:val="21"/>
                    </w:rPr>
                  </w:pPr>
                  <w:r>
                    <w:rPr>
                      <w:rFonts w:ascii="Times New Roman" w:hAnsi="Times New Roman"/>
                      <w:color w:val="000000"/>
                      <w:sz w:val="21"/>
                      <w:szCs w:val="21"/>
                    </w:rPr>
                    <w:t>□自动</w:t>
                  </w:r>
                </w:p>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☑手工</w:t>
                  </w:r>
                </w:p>
              </w:tc>
              <w:tc>
                <w:tcPr>
                  <w:tcW w:w="77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color w:val="000000"/>
                      <w:sz w:val="21"/>
                      <w:szCs w:val="21"/>
                    </w:rPr>
                  </w:pPr>
                  <w:r>
                    <w:rPr>
                      <w:rFonts w:hint="eastAsia"/>
                      <w:color w:val="000000"/>
                      <w:sz w:val="21"/>
                      <w:szCs w:val="21"/>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395"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eastAsia" w:eastAsia="宋体"/>
                      <w:color w:val="000000"/>
                      <w:sz w:val="21"/>
                      <w:szCs w:val="21"/>
                      <w:lang w:val="en-US" w:eastAsia="zh-CN"/>
                    </w:rPr>
                  </w:pPr>
                  <w:r>
                    <w:rPr>
                      <w:rFonts w:hint="eastAsia"/>
                      <w:color w:val="000000"/>
                      <w:sz w:val="21"/>
                      <w:szCs w:val="21"/>
                      <w:lang w:val="en-US" w:eastAsia="zh-CN"/>
                    </w:rPr>
                    <w:t>4</w:t>
                  </w:r>
                </w:p>
              </w:tc>
              <w:tc>
                <w:tcPr>
                  <w:tcW w:w="57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无组织</w:t>
                  </w:r>
                </w:p>
              </w:tc>
              <w:tc>
                <w:tcPr>
                  <w:tcW w:w="577"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w:t>
                  </w:r>
                </w:p>
              </w:tc>
              <w:tc>
                <w:tcPr>
                  <w:tcW w:w="114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厂界</w:t>
                  </w:r>
                </w:p>
              </w:tc>
              <w:tc>
                <w:tcPr>
                  <w:tcW w:w="953"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rFonts w:hint="default" w:eastAsia="宋体"/>
                      <w:color w:val="000000"/>
                      <w:sz w:val="21"/>
                      <w:szCs w:val="21"/>
                      <w:lang w:val="en-US" w:eastAsia="zh-CN"/>
                    </w:rPr>
                  </w:pPr>
                  <w:r>
                    <w:rPr>
                      <w:rFonts w:hint="eastAsia" w:cs="Times New Roman"/>
                      <w:color w:val="000000"/>
                      <w:sz w:val="21"/>
                      <w:szCs w:val="21"/>
                      <w:lang w:val="en-US" w:eastAsia="zh-CN"/>
                    </w:rPr>
                    <w:t>非甲烷总烃</w:t>
                  </w:r>
                </w:p>
              </w:tc>
              <w:tc>
                <w:tcPr>
                  <w:tcW w:w="575" w:type="pct"/>
                  <w:tcBorders>
                    <w:tl2br w:val="nil"/>
                    <w:tr2bl w:val="nil"/>
                  </w:tcBorders>
                  <w:noWrap w:val="0"/>
                  <w:vAlign w:val="center"/>
                </w:tcPr>
                <w:p>
                  <w:pPr>
                    <w:pStyle w:val="43"/>
                    <w:keepNext w:val="0"/>
                    <w:keepLines w:val="0"/>
                    <w:pageBreakBefore w:val="0"/>
                    <w:widowControl w:val="0"/>
                    <w:kinsoku/>
                    <w:wordWrap/>
                    <w:topLinePunct w:val="0"/>
                    <w:autoSpaceDE/>
                    <w:autoSpaceDN/>
                    <w:bidi w:val="0"/>
                    <w:adjustRightInd w:val="0"/>
                    <w:snapToGrid w:val="0"/>
                    <w:jc w:val="center"/>
                    <w:outlineLvl w:val="9"/>
                    <w:rPr>
                      <w:rFonts w:ascii="Times New Roman" w:hAnsi="Times New Roman"/>
                      <w:color w:val="000000"/>
                      <w:sz w:val="21"/>
                      <w:szCs w:val="21"/>
                    </w:rPr>
                  </w:pPr>
                  <w:r>
                    <w:rPr>
                      <w:rFonts w:ascii="Times New Roman" w:hAnsi="Times New Roman"/>
                      <w:color w:val="000000"/>
                      <w:sz w:val="21"/>
                      <w:szCs w:val="21"/>
                    </w:rPr>
                    <w:t>□自动</w:t>
                  </w:r>
                </w:p>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color w:val="000000"/>
                      <w:sz w:val="21"/>
                      <w:szCs w:val="21"/>
                    </w:rPr>
                    <w:t>☑手工</w:t>
                  </w:r>
                </w:p>
              </w:tc>
              <w:tc>
                <w:tcPr>
                  <w:tcW w:w="776" w:type="pct"/>
                  <w:tcBorders>
                    <w:tl2br w:val="nil"/>
                    <w:tr2bl w:val="nil"/>
                  </w:tcBorders>
                  <w:noWrap w:val="0"/>
                  <w:vAlign w:val="center"/>
                </w:tcPr>
                <w:p>
                  <w:pPr>
                    <w:keepNext w:val="0"/>
                    <w:keepLines w:val="0"/>
                    <w:pageBreakBefore w:val="0"/>
                    <w:widowControl w:val="0"/>
                    <w:kinsoku/>
                    <w:wordWrap/>
                    <w:topLinePunct w:val="0"/>
                    <w:autoSpaceDE/>
                    <w:autoSpaceDN/>
                    <w:bidi w:val="0"/>
                    <w:adjustRightInd w:val="0"/>
                    <w:snapToGrid w:val="0"/>
                    <w:jc w:val="center"/>
                    <w:outlineLvl w:val="9"/>
                    <w:rPr>
                      <w:color w:val="000000"/>
                      <w:sz w:val="21"/>
                      <w:szCs w:val="21"/>
                    </w:rPr>
                  </w:pPr>
                  <w:r>
                    <w:rPr>
                      <w:rFonts w:hint="eastAsia"/>
                      <w:color w:val="000000"/>
                      <w:sz w:val="21"/>
                      <w:szCs w:val="21"/>
                    </w:rPr>
                    <w:t>1次/年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rPr>
                <w:bCs/>
                <w:color w:val="000000"/>
                <w:kern w:val="0"/>
              </w:rPr>
            </w:pPr>
            <w:r>
              <w:rPr>
                <w:rFonts w:hint="eastAsia"/>
                <w:bCs/>
                <w:color w:val="000000"/>
                <w:kern w:val="0"/>
              </w:rPr>
              <w:t>1.4非正常工况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color w:val="000000"/>
                <w:kern w:val="0"/>
                <w:szCs w:val="20"/>
                <w:lang w:bidi="ar"/>
              </w:rPr>
            </w:pPr>
            <w:r>
              <w:rPr>
                <w:color w:val="000000"/>
                <w:kern w:val="0"/>
                <w:szCs w:val="20"/>
                <w:lang w:bidi="ar"/>
              </w:rPr>
              <w:t>非正常排放一般包括开停、检修、环保设施不达标三种情况。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color w:val="000000"/>
                <w:kern w:val="0"/>
                <w:szCs w:val="20"/>
                <w:lang w:bidi="ar"/>
              </w:rPr>
              <w:t>设备检修以及突发性故障，企业会事先调整生产计划。因此，</w:t>
            </w:r>
            <w:r>
              <w:rPr>
                <w:bCs/>
                <w:sz w:val="24"/>
              </w:rPr>
              <w:t>本项目非正常排放考虑污染物排放控制措施达不到应有效率从而发生非正常排放，一般事故的非正常排放效率约每年1-3次，为小概率事件</w:t>
            </w:r>
            <w:r>
              <w:rPr>
                <w:sz w:val="24"/>
              </w:rPr>
              <w:t>，本报告按最不利的情况考虑，即废气处理装置完全失效，处理效率下降至0%。发现</w:t>
            </w:r>
            <w:r>
              <w:rPr>
                <w:rFonts w:hint="eastAsia"/>
                <w:sz w:val="24"/>
                <w:lang w:val="en-US" w:eastAsia="zh-CN"/>
              </w:rPr>
              <w:t>注塑、吹塑</w:t>
            </w:r>
            <w:r>
              <w:rPr>
                <w:sz w:val="24"/>
              </w:rPr>
              <w:t>废气治理措施未正常运转时间为</w:t>
            </w:r>
            <w:r>
              <w:rPr>
                <w:rFonts w:hint="eastAsia"/>
                <w:sz w:val="24"/>
              </w:rPr>
              <w:t>3分钟，</w:t>
            </w:r>
            <w:r>
              <w:rPr>
                <w:sz w:val="24"/>
              </w:rPr>
              <w:t>发现其他废气处理设施异常并紧急停车时间取0.5h，则在非正常工况下，污染物排放情况如下表所示。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241" w:firstLineChars="100"/>
              <w:textAlignment w:val="auto"/>
              <w:outlineLvl w:val="9"/>
              <w:rPr>
                <w:rFonts w:hint="eastAsia"/>
                <w:bCs/>
              </w:rPr>
            </w:pPr>
            <w:r>
              <w:rPr>
                <w:b/>
                <w:bCs/>
              </w:rPr>
              <w:t>表4-</w:t>
            </w:r>
            <w:r>
              <w:rPr>
                <w:rFonts w:hint="eastAsia"/>
                <w:b/>
                <w:bCs/>
                <w:lang w:val="en-US" w:eastAsia="zh-CN"/>
              </w:rPr>
              <w:t>8</w:t>
            </w:r>
            <w:r>
              <w:rPr>
                <w:rFonts w:hint="eastAsia"/>
                <w:b/>
                <w:bCs/>
              </w:rPr>
              <w:t xml:space="preserve">  </w:t>
            </w:r>
            <w:r>
              <w:rPr>
                <w:b/>
                <w:bCs/>
              </w:rPr>
              <w:t>本项目</w:t>
            </w:r>
            <w:r>
              <w:rPr>
                <w:rFonts w:hint="eastAsia"/>
                <w:b/>
                <w:bCs/>
              </w:rPr>
              <w:t>有</w:t>
            </w:r>
            <w:r>
              <w:rPr>
                <w:b/>
                <w:bCs/>
              </w:rPr>
              <w:t>组织废气非正常工况下污染物产生、排放及污染物参数一览表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098"/>
              <w:gridCol w:w="1296"/>
              <w:gridCol w:w="826"/>
              <w:gridCol w:w="1272"/>
              <w:gridCol w:w="1350"/>
              <w:gridCol w:w="947"/>
              <w:gridCol w:w="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1"/>
                      <w:szCs w:val="21"/>
                    </w:rPr>
                  </w:pPr>
                  <w:r>
                    <w:rPr>
                      <w:b/>
                      <w:sz w:val="21"/>
                      <w:szCs w:val="21"/>
                    </w:rPr>
                    <w:t>非正常排放源</w:t>
                  </w:r>
                </w:p>
              </w:tc>
              <w:tc>
                <w:tcPr>
                  <w:tcW w:w="6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1"/>
                      <w:szCs w:val="21"/>
                    </w:rPr>
                  </w:pPr>
                  <w:r>
                    <w:rPr>
                      <w:b/>
                      <w:sz w:val="21"/>
                      <w:szCs w:val="21"/>
                    </w:rPr>
                    <w:t>非正常排放原因</w:t>
                  </w:r>
                </w:p>
              </w:tc>
              <w:tc>
                <w:tcPr>
                  <w:tcW w:w="7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1"/>
                      <w:szCs w:val="21"/>
                    </w:rPr>
                  </w:pPr>
                  <w:r>
                    <w:rPr>
                      <w:b/>
                      <w:sz w:val="21"/>
                      <w:szCs w:val="21"/>
                    </w:rPr>
                    <w:t>污染物</w:t>
                  </w:r>
                </w:p>
              </w:tc>
              <w:tc>
                <w:tcPr>
                  <w:tcW w:w="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1"/>
                      <w:szCs w:val="21"/>
                    </w:rPr>
                  </w:pPr>
                  <w:r>
                    <w:rPr>
                      <w:b/>
                      <w:sz w:val="21"/>
                      <w:szCs w:val="21"/>
                    </w:rPr>
                    <w:t>单次持续时间（h）</w:t>
                  </w:r>
                </w:p>
              </w:tc>
              <w:tc>
                <w:tcPr>
                  <w:tcW w:w="7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1"/>
                      <w:szCs w:val="21"/>
                    </w:rPr>
                  </w:pPr>
                  <w:r>
                    <w:rPr>
                      <w:b/>
                      <w:sz w:val="21"/>
                      <w:szCs w:val="21"/>
                    </w:rPr>
                    <w:t>非正常排放速率（kg/h）</w:t>
                  </w:r>
                </w:p>
              </w:tc>
              <w:tc>
                <w:tcPr>
                  <w:tcW w:w="7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1"/>
                      <w:szCs w:val="21"/>
                    </w:rPr>
                  </w:pPr>
                  <w:r>
                    <w:rPr>
                      <w:b/>
                      <w:sz w:val="21"/>
                      <w:szCs w:val="21"/>
                    </w:rPr>
                    <w:t>非正常排放浓度（mg/m</w:t>
                  </w:r>
                  <w:r>
                    <w:rPr>
                      <w:b/>
                      <w:sz w:val="21"/>
                      <w:szCs w:val="21"/>
                      <w:vertAlign w:val="superscript"/>
                    </w:rPr>
                    <w:t>3</w:t>
                  </w:r>
                  <w:r>
                    <w:rPr>
                      <w:b/>
                      <w:sz w:val="21"/>
                      <w:szCs w:val="21"/>
                    </w:rPr>
                    <w:t>）</w:t>
                  </w:r>
                </w:p>
              </w:tc>
              <w:tc>
                <w:tcPr>
                  <w:tcW w:w="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1"/>
                      <w:szCs w:val="21"/>
                    </w:rPr>
                  </w:pPr>
                  <w:r>
                    <w:rPr>
                      <w:b/>
                      <w:sz w:val="21"/>
                      <w:szCs w:val="21"/>
                    </w:rPr>
                    <w:t>非正常排放量（kg）</w:t>
                  </w:r>
                </w:p>
              </w:tc>
              <w:tc>
                <w:tcPr>
                  <w:tcW w:w="5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b/>
                      <w:sz w:val="21"/>
                      <w:szCs w:val="21"/>
                    </w:rPr>
                  </w:pPr>
                  <w:r>
                    <w:rPr>
                      <w:b/>
                      <w:sz w:val="21"/>
                      <w:szCs w:val="21"/>
                    </w:rPr>
                    <w:t>年发生频次（次）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sz w:val="21"/>
                      <w:szCs w:val="21"/>
                    </w:rPr>
                    <w:t>DA00</w:t>
                  </w:r>
                  <w:r>
                    <w:rPr>
                      <w:rFonts w:hint="eastAsia"/>
                      <w:sz w:val="21"/>
                      <w:szCs w:val="21"/>
                      <w:lang w:val="en-US" w:eastAsia="zh-CN"/>
                    </w:rPr>
                    <w:t>4</w:t>
                  </w:r>
                </w:p>
              </w:tc>
              <w:tc>
                <w:tcPr>
                  <w:tcW w:w="63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r>
                    <w:rPr>
                      <w:sz w:val="21"/>
                      <w:szCs w:val="21"/>
                    </w:rPr>
                    <w:t>废气治理设施故障</w:t>
                  </w:r>
                </w:p>
              </w:tc>
              <w:tc>
                <w:tcPr>
                  <w:tcW w:w="7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油烟</w:t>
                  </w:r>
                </w:p>
              </w:tc>
              <w:tc>
                <w:tcPr>
                  <w:tcW w:w="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r>
                    <w:rPr>
                      <w:sz w:val="21"/>
                      <w:szCs w:val="21"/>
                    </w:rPr>
                    <w:t>0.5</w:t>
                  </w:r>
                </w:p>
              </w:tc>
              <w:tc>
                <w:tcPr>
                  <w:tcW w:w="7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0.002</w:t>
                  </w:r>
                </w:p>
              </w:tc>
              <w:tc>
                <w:tcPr>
                  <w:tcW w:w="7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eastAsia="宋体"/>
                      <w:sz w:val="21"/>
                      <w:szCs w:val="21"/>
                      <w:lang w:val="en-US" w:eastAsia="zh-CN"/>
                    </w:rPr>
                    <w:t>1.25</w:t>
                  </w:r>
                </w:p>
              </w:tc>
              <w:tc>
                <w:tcPr>
                  <w:tcW w:w="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rPr>
                    <w:t>0.</w:t>
                  </w:r>
                  <w:r>
                    <w:rPr>
                      <w:rFonts w:hint="eastAsia"/>
                      <w:sz w:val="21"/>
                      <w:szCs w:val="21"/>
                      <w:lang w:val="en-US" w:eastAsia="zh-CN"/>
                    </w:rPr>
                    <w:t>001</w:t>
                  </w:r>
                </w:p>
              </w:tc>
              <w:tc>
                <w:tcPr>
                  <w:tcW w:w="5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sz w:val="21"/>
                      <w:szCs w:val="21"/>
                    </w:rPr>
                    <w:t>DA00</w:t>
                  </w:r>
                  <w:r>
                    <w:rPr>
                      <w:rFonts w:hint="eastAsia"/>
                      <w:sz w:val="21"/>
                      <w:szCs w:val="21"/>
                      <w:lang w:val="en-US" w:eastAsia="zh-CN"/>
                    </w:rPr>
                    <w:t>5、</w:t>
                  </w:r>
                  <w:r>
                    <w:rPr>
                      <w:sz w:val="21"/>
                      <w:szCs w:val="21"/>
                    </w:rPr>
                    <w:t>DA00</w:t>
                  </w:r>
                  <w:r>
                    <w:rPr>
                      <w:rFonts w:hint="eastAsia"/>
                      <w:sz w:val="21"/>
                      <w:szCs w:val="21"/>
                      <w:lang w:val="en-US" w:eastAsia="zh-CN"/>
                    </w:rPr>
                    <w:t>6</w:t>
                  </w:r>
                </w:p>
              </w:tc>
              <w:tc>
                <w:tcPr>
                  <w:tcW w:w="63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p>
              </w:tc>
              <w:tc>
                <w:tcPr>
                  <w:tcW w:w="7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非甲烷总烃</w:t>
                  </w:r>
                </w:p>
              </w:tc>
              <w:tc>
                <w:tcPr>
                  <w:tcW w:w="4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1"/>
                      <w:szCs w:val="21"/>
                    </w:rPr>
                  </w:pPr>
                  <w:r>
                    <w:rPr>
                      <w:sz w:val="21"/>
                      <w:szCs w:val="21"/>
                    </w:rPr>
                    <w:t>0.</w:t>
                  </w:r>
                  <w:r>
                    <w:rPr>
                      <w:rFonts w:hint="eastAsia"/>
                      <w:sz w:val="21"/>
                      <w:szCs w:val="21"/>
                      <w:lang w:val="en-US" w:eastAsia="zh-CN"/>
                    </w:rPr>
                    <w:t>0</w:t>
                  </w:r>
                  <w:r>
                    <w:rPr>
                      <w:sz w:val="21"/>
                      <w:szCs w:val="21"/>
                    </w:rPr>
                    <w:t>5</w:t>
                  </w:r>
                </w:p>
              </w:tc>
              <w:tc>
                <w:tcPr>
                  <w:tcW w:w="7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2.25</w:t>
                  </w:r>
                </w:p>
              </w:tc>
              <w:tc>
                <w:tcPr>
                  <w:tcW w:w="77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225</w:t>
                  </w:r>
                </w:p>
              </w:tc>
              <w:tc>
                <w:tcPr>
                  <w:tcW w:w="5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16.2</w:t>
                  </w:r>
                </w:p>
              </w:tc>
              <w:tc>
                <w:tcPr>
                  <w:tcW w:w="5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sz w:val="21"/>
                      <w:szCs w:val="21"/>
                      <w:lang w:val="en-US" w:eastAsia="zh-CN"/>
                    </w:rPr>
                  </w:pPr>
                  <w:r>
                    <w:rPr>
                      <w:rFonts w:hint="eastAsia"/>
                      <w:sz w:val="21"/>
                      <w:szCs w:val="21"/>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rPr>
                <w:b/>
              </w:rPr>
            </w:pPr>
            <w:r>
              <w:rPr>
                <w:rFonts w:hint="eastAsia"/>
                <w:bCs/>
              </w:rPr>
              <w:t>1.5</w:t>
            </w:r>
            <w:r>
              <w:rPr>
                <w:bCs/>
              </w:rPr>
              <w:t>非正常工况防范措施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bCs/>
                <w:color w:val="0000FF"/>
              </w:rPr>
            </w:pPr>
            <w:r>
              <w:rPr>
                <w:bCs/>
                <w:color w:val="000000"/>
              </w:rPr>
              <w:t>为防止生产废气非正常工况排放，企业必须加强废气处理设施的管理，定期检修，确保废气处理设施正常运行，在废气处理设施停止运行或出现故障时，产生废气的各工序也必须相应停止生产。为杜绝废气非正常排放，应采取以下措施确保废气达标排放：</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bCs/>
                <w:color w:val="000000"/>
              </w:rPr>
            </w:pPr>
            <w:r>
              <w:rPr>
                <w:bCs/>
                <w:color w:val="000000"/>
              </w:rPr>
              <w:fldChar w:fldCharType="begin"/>
            </w:r>
            <w:r>
              <w:rPr>
                <w:bCs/>
                <w:color w:val="000000"/>
              </w:rPr>
              <w:instrText xml:space="preserve"> = 1 \* GB3 </w:instrText>
            </w:r>
            <w:r>
              <w:rPr>
                <w:bCs/>
                <w:color w:val="000000"/>
              </w:rPr>
              <w:fldChar w:fldCharType="separate"/>
            </w:r>
            <w:r>
              <w:rPr>
                <w:bCs/>
                <w:color w:val="000000"/>
              </w:rPr>
              <w:t>①</w:t>
            </w:r>
            <w:r>
              <w:rPr>
                <w:bCs/>
                <w:color w:val="000000"/>
              </w:rPr>
              <w:fldChar w:fldCharType="end"/>
            </w:r>
            <w:r>
              <w:rPr>
                <w:bCs/>
                <w:color w:val="000000"/>
              </w:rPr>
              <w:t>安排专人负责环保设备的日常维护和管理，每隔固定时间检查、汇报情况，及时发现废气处理设备的隐患，确保废气处理系统正常运行；</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bCs/>
                <w:color w:val="000000"/>
              </w:rPr>
            </w:pPr>
            <w:r>
              <w:rPr>
                <w:bCs/>
                <w:color w:val="000000"/>
              </w:rPr>
              <w:fldChar w:fldCharType="begin"/>
            </w:r>
            <w:r>
              <w:rPr>
                <w:bCs/>
                <w:color w:val="000000"/>
              </w:rPr>
              <w:instrText xml:space="preserve"> = 2 \* GB3 </w:instrText>
            </w:r>
            <w:r>
              <w:rPr>
                <w:bCs/>
                <w:color w:val="000000"/>
              </w:rPr>
              <w:fldChar w:fldCharType="separate"/>
            </w:r>
            <w:r>
              <w:rPr>
                <w:bCs/>
                <w:color w:val="000000"/>
              </w:rPr>
              <w:t>②</w:t>
            </w:r>
            <w:r>
              <w:rPr>
                <w:bCs/>
                <w:color w:val="000000"/>
              </w:rPr>
              <w:fldChar w:fldCharType="end"/>
            </w:r>
            <w:r>
              <w:rPr>
                <w:bCs/>
                <w:color w:val="000000"/>
              </w:rPr>
              <w:t>建立健全的环保管理机构，对环保管理人员和技术人员进行岗位培训，委托具有专业资质的环境检测单位对项目排放的各类污染物进行定期检测；</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bCs/>
                <w:color w:val="000000"/>
              </w:rPr>
            </w:pPr>
            <w:r>
              <w:rPr>
                <w:bCs/>
                <w:color w:val="000000"/>
              </w:rPr>
              <w:fldChar w:fldCharType="begin"/>
            </w:r>
            <w:r>
              <w:rPr>
                <w:bCs/>
                <w:color w:val="000000"/>
              </w:rPr>
              <w:instrText xml:space="preserve"> = 3 \* GB3 </w:instrText>
            </w:r>
            <w:r>
              <w:rPr>
                <w:bCs/>
                <w:color w:val="000000"/>
              </w:rPr>
              <w:fldChar w:fldCharType="separate"/>
            </w:r>
            <w:r>
              <w:rPr>
                <w:bCs/>
                <w:color w:val="000000"/>
              </w:rPr>
              <w:t>③</w:t>
            </w:r>
            <w:r>
              <w:rPr>
                <w:bCs/>
                <w:color w:val="000000"/>
              </w:rPr>
              <w:fldChar w:fldCharType="end"/>
            </w:r>
            <w:r>
              <w:rPr>
                <w:bCs/>
                <w:color w:val="000000"/>
              </w:rPr>
              <w:t>应定期维修、检修废气净化装置，以保持废气处理装置的净化能力和净化容量；</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bCs/>
                <w:color w:val="000000"/>
              </w:rPr>
            </w:pPr>
            <w:r>
              <w:rPr>
                <w:bCs/>
                <w:color w:val="000000"/>
              </w:rPr>
              <w:fldChar w:fldCharType="begin"/>
            </w:r>
            <w:r>
              <w:rPr>
                <w:bCs/>
                <w:color w:val="000000"/>
              </w:rPr>
              <w:instrText xml:space="preserve"> = 4 \* GB3 </w:instrText>
            </w:r>
            <w:r>
              <w:rPr>
                <w:bCs/>
                <w:color w:val="000000"/>
              </w:rPr>
              <w:fldChar w:fldCharType="separate"/>
            </w:r>
            <w:r>
              <w:rPr>
                <w:bCs/>
                <w:color w:val="000000"/>
              </w:rPr>
              <w:t>④</w:t>
            </w:r>
            <w:r>
              <w:rPr>
                <w:bCs/>
                <w:color w:val="000000"/>
              </w:rPr>
              <w:fldChar w:fldCharType="end"/>
            </w:r>
            <w:r>
              <w:rPr>
                <w:bCs/>
                <w:color w:val="000000"/>
              </w:rPr>
              <w:t>生产加工前开启相应的废气处理设备，生产停止一段时间后再关闭相应废气处理设施，杜绝废气突然排放的情况。</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color w:val="000000"/>
              </w:rPr>
            </w:pPr>
            <w:r>
              <w:rPr>
                <w:rFonts w:hint="eastAsia"/>
                <w:color w:val="000000"/>
              </w:rPr>
              <w:t>1.</w:t>
            </w:r>
            <w:r>
              <w:rPr>
                <w:rFonts w:hint="eastAsia"/>
                <w:color w:val="000000"/>
                <w:lang w:val="en-US" w:eastAsia="zh-CN"/>
              </w:rPr>
              <w:t>6</w:t>
            </w:r>
            <w:r>
              <w:rPr>
                <w:color w:val="000000"/>
              </w:rPr>
              <w:t>大气环境影响分析结论</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color w:val="000000"/>
              </w:rPr>
            </w:pPr>
            <w:r>
              <w:rPr>
                <w:color w:val="000000"/>
              </w:rPr>
              <w:t>（</w:t>
            </w:r>
            <w:r>
              <w:rPr>
                <w:rFonts w:hint="eastAsia"/>
                <w:color w:val="000000"/>
              </w:rPr>
              <w:t>1</w:t>
            </w:r>
            <w:r>
              <w:rPr>
                <w:color w:val="000000"/>
              </w:rPr>
              <w:t>）</w:t>
            </w:r>
            <w:r>
              <w:rPr>
                <w:rFonts w:hint="eastAsia"/>
                <w:color w:val="000000"/>
                <w:lang w:val="en-US" w:eastAsia="zh-CN"/>
              </w:rPr>
              <w:t>本</w:t>
            </w:r>
            <w:r>
              <w:rPr>
                <w:color w:val="000000"/>
              </w:rPr>
              <w:t>项目区厂界外500m范围内分布环境空气敏感目标。</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color w:val="0000FF"/>
              </w:rPr>
            </w:pPr>
            <w:r>
              <w:rPr>
                <w:color w:val="000000"/>
              </w:rPr>
              <w:t>（</w:t>
            </w:r>
            <w:r>
              <w:rPr>
                <w:rFonts w:hint="eastAsia"/>
                <w:color w:val="000000"/>
              </w:rPr>
              <w:t>2</w:t>
            </w:r>
            <w:r>
              <w:rPr>
                <w:color w:val="000000"/>
              </w:rPr>
              <w:t>）</w:t>
            </w:r>
            <w:r>
              <w:rPr>
                <w:rFonts w:hint="eastAsia"/>
              </w:rPr>
              <w:t>本项目</w:t>
            </w:r>
            <w:r>
              <w:rPr>
                <w:rFonts w:hint="eastAsia"/>
                <w:lang w:val="en-US" w:eastAsia="zh-CN"/>
              </w:rPr>
              <w:t>熔塑、注塑</w:t>
            </w:r>
            <w:r>
              <w:rPr>
                <w:rFonts w:hint="eastAsia"/>
              </w:rPr>
              <w:t>加工工序产生的</w:t>
            </w:r>
            <w:r>
              <w:rPr>
                <w:rFonts w:hint="eastAsia"/>
                <w:lang w:val="en-US" w:eastAsia="zh-CN"/>
              </w:rPr>
              <w:t>非甲烷总烃</w:t>
            </w:r>
            <w:r>
              <w:rPr>
                <w:rFonts w:hint="eastAsia"/>
              </w:rPr>
              <w:t>通过集</w:t>
            </w:r>
            <w:r>
              <w:rPr>
                <w:rFonts w:hint="eastAsia"/>
                <w:lang w:val="en-US" w:eastAsia="zh-CN"/>
              </w:rPr>
              <w:t>气</w:t>
            </w:r>
            <w:r>
              <w:rPr>
                <w:rFonts w:hint="eastAsia"/>
              </w:rPr>
              <w:t>罩收集后，经</w:t>
            </w:r>
            <w:r>
              <w:rPr>
                <w:rFonts w:hint="eastAsia"/>
                <w:lang w:val="en-US" w:eastAsia="zh-CN"/>
              </w:rPr>
              <w:t>催化燃烧装置</w:t>
            </w:r>
            <w:r>
              <w:rPr>
                <w:rFonts w:hint="eastAsia"/>
                <w:kern w:val="0"/>
              </w:rPr>
              <w:t>处理后通过1根</w:t>
            </w:r>
            <w:r>
              <w:rPr>
                <w:rFonts w:hint="eastAsia"/>
                <w:kern w:val="0"/>
                <w:lang w:val="en-US" w:eastAsia="zh-CN"/>
              </w:rPr>
              <w:t>20</w:t>
            </w:r>
            <w:r>
              <w:rPr>
                <w:rFonts w:hint="eastAsia"/>
                <w:kern w:val="0"/>
              </w:rPr>
              <w:t>m高的（DA00</w:t>
            </w:r>
            <w:r>
              <w:rPr>
                <w:rFonts w:hint="eastAsia"/>
                <w:kern w:val="0"/>
                <w:lang w:val="en-US" w:eastAsia="zh-CN"/>
              </w:rPr>
              <w:t>5</w:t>
            </w:r>
            <w:r>
              <w:rPr>
                <w:rFonts w:hint="eastAsia"/>
                <w:kern w:val="0"/>
              </w:rPr>
              <w:t>）排气筒排放。</w:t>
            </w:r>
            <w:r>
              <w:rPr>
                <w:rFonts w:hint="eastAsia"/>
                <w:kern w:val="0"/>
                <w:lang w:val="en-US" w:eastAsia="zh-CN"/>
              </w:rPr>
              <w:t>吹</w:t>
            </w:r>
            <w:r>
              <w:rPr>
                <w:rFonts w:hint="eastAsia"/>
                <w:lang w:val="en-US" w:eastAsia="zh-CN"/>
              </w:rPr>
              <w:t>塑</w:t>
            </w:r>
            <w:r>
              <w:rPr>
                <w:rFonts w:hint="eastAsia"/>
              </w:rPr>
              <w:t>加工工序产生的</w:t>
            </w:r>
            <w:r>
              <w:rPr>
                <w:rFonts w:hint="eastAsia"/>
                <w:lang w:val="en-US" w:eastAsia="zh-CN"/>
              </w:rPr>
              <w:t>非甲烷总烃</w:t>
            </w:r>
            <w:r>
              <w:rPr>
                <w:rFonts w:hint="eastAsia"/>
              </w:rPr>
              <w:t>通过集</w:t>
            </w:r>
            <w:r>
              <w:rPr>
                <w:rFonts w:hint="eastAsia"/>
                <w:lang w:val="en-US" w:eastAsia="zh-CN"/>
              </w:rPr>
              <w:t>气</w:t>
            </w:r>
            <w:r>
              <w:rPr>
                <w:rFonts w:hint="eastAsia"/>
              </w:rPr>
              <w:t>罩收集后，经</w:t>
            </w:r>
            <w:r>
              <w:rPr>
                <w:rFonts w:hint="eastAsia"/>
                <w:lang w:val="en-US" w:eastAsia="zh-CN"/>
              </w:rPr>
              <w:t>催化燃烧装置</w:t>
            </w:r>
            <w:r>
              <w:rPr>
                <w:rFonts w:hint="eastAsia"/>
                <w:kern w:val="0"/>
              </w:rPr>
              <w:t>处理后通过1根</w:t>
            </w:r>
            <w:r>
              <w:rPr>
                <w:rFonts w:hint="eastAsia"/>
                <w:kern w:val="0"/>
                <w:lang w:val="en-US" w:eastAsia="zh-CN"/>
              </w:rPr>
              <w:t>20</w:t>
            </w:r>
            <w:r>
              <w:rPr>
                <w:rFonts w:hint="eastAsia"/>
                <w:kern w:val="0"/>
              </w:rPr>
              <w:t>m高的（DA00</w:t>
            </w:r>
            <w:r>
              <w:rPr>
                <w:rFonts w:hint="eastAsia"/>
                <w:kern w:val="0"/>
                <w:lang w:val="en-US" w:eastAsia="zh-CN"/>
              </w:rPr>
              <w:t>6</w:t>
            </w:r>
            <w:r>
              <w:rPr>
                <w:rFonts w:hint="eastAsia"/>
                <w:kern w:val="0"/>
              </w:rPr>
              <w:t>）排气筒排放。</w:t>
            </w:r>
            <w:r>
              <w:rPr>
                <w:rFonts w:hint="eastAsia"/>
                <w:kern w:val="0"/>
                <w:lang w:val="en-US" w:eastAsia="zh-CN"/>
              </w:rPr>
              <w:t>食堂</w:t>
            </w:r>
            <w:r>
              <w:rPr>
                <w:rFonts w:hint="eastAsia"/>
                <w:kern w:val="0"/>
              </w:rPr>
              <w:t>烹饪</w:t>
            </w:r>
            <w:r>
              <w:rPr>
                <w:rFonts w:hint="eastAsia"/>
              </w:rPr>
              <w:t>产生的油烟通过集油烟罩收集后，经油烟</w:t>
            </w:r>
            <w:r>
              <w:rPr>
                <w:rFonts w:hint="eastAsia"/>
                <w:lang w:val="en-US" w:eastAsia="zh-CN"/>
              </w:rPr>
              <w:t>净</w:t>
            </w:r>
            <w:r>
              <w:rPr>
                <w:rFonts w:hint="eastAsia"/>
              </w:rPr>
              <w:t>化器</w:t>
            </w:r>
            <w:r>
              <w:rPr>
                <w:rFonts w:hint="eastAsia"/>
                <w:kern w:val="0"/>
              </w:rPr>
              <w:t>处理后通过1根</w:t>
            </w:r>
            <w:r>
              <w:rPr>
                <w:rFonts w:hint="eastAsia"/>
                <w:kern w:val="0"/>
                <w:lang w:val="en-US" w:eastAsia="zh-CN"/>
              </w:rPr>
              <w:t>20</w:t>
            </w:r>
            <w:r>
              <w:rPr>
                <w:rFonts w:hint="eastAsia"/>
                <w:kern w:val="0"/>
              </w:rPr>
              <w:t>m高的（DA00</w:t>
            </w:r>
            <w:r>
              <w:rPr>
                <w:rFonts w:hint="eastAsia"/>
                <w:kern w:val="0"/>
                <w:lang w:val="en-US" w:eastAsia="zh-CN"/>
              </w:rPr>
              <w:t>4</w:t>
            </w:r>
            <w:r>
              <w:rPr>
                <w:rFonts w:hint="eastAsia"/>
                <w:kern w:val="0"/>
              </w:rPr>
              <w:t>）排气筒排放，</w:t>
            </w:r>
            <w:r>
              <w:rPr>
                <w:color w:val="000000"/>
              </w:rPr>
              <w:t>废气经收集处理后能够达到相关标准要求，对周边环境影响较小。</w:t>
            </w:r>
          </w:p>
          <w:p>
            <w:pPr>
              <w:keepNext w:val="0"/>
              <w:keepLines w:val="0"/>
              <w:pageBreakBefore w:val="0"/>
              <w:widowControl w:val="0"/>
              <w:kinsoku/>
              <w:wordWrap/>
              <w:topLinePunct w:val="0"/>
              <w:autoSpaceDE/>
              <w:autoSpaceDN/>
              <w:bidi w:val="0"/>
              <w:adjustRightInd w:val="0"/>
              <w:snapToGrid w:val="0"/>
              <w:spacing w:line="360" w:lineRule="auto"/>
              <w:outlineLvl w:val="9"/>
              <w:rPr>
                <w:b/>
                <w:bCs/>
              </w:rPr>
            </w:pPr>
            <w:r>
              <w:rPr>
                <w:rFonts w:hint="eastAsia"/>
                <w:b/>
                <w:bCs/>
              </w:rPr>
              <w:t>2、废水污染物影响及防治措施分析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rPr>
            </w:pPr>
            <w:r>
              <w:rPr>
                <w:rFonts w:hint="eastAsia"/>
              </w:rPr>
              <w:t>2.1本项目废水源强核算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rPr>
            </w:pPr>
            <w:r>
              <w:rPr>
                <w:rFonts w:hint="eastAsia"/>
              </w:rPr>
              <w:t>根据工程分析，本项目废水产生主要为新增员工生活污水、</w:t>
            </w:r>
            <w:r>
              <w:rPr>
                <w:rFonts w:hint="eastAsia"/>
                <w:lang w:val="en-US" w:eastAsia="zh-CN"/>
              </w:rPr>
              <w:t>凉白开纯净水生产废水</w:t>
            </w:r>
            <w:r>
              <w:rPr>
                <w:rFonts w:hint="eastAsia"/>
              </w:rPr>
              <w:t>、</w:t>
            </w:r>
            <w:r>
              <w:rPr>
                <w:rFonts w:hint="eastAsia"/>
                <w:lang w:val="en-US" w:eastAsia="zh-CN"/>
              </w:rPr>
              <w:t>软化纯净水生产废水、水处理工艺系统反冲洗</w:t>
            </w:r>
            <w:r>
              <w:rPr>
                <w:rFonts w:hint="eastAsia"/>
              </w:rPr>
              <w:t>废水、</w:t>
            </w:r>
            <w:r>
              <w:rPr>
                <w:rFonts w:hint="eastAsia"/>
                <w:lang w:val="en-US" w:eastAsia="zh-CN"/>
              </w:rPr>
              <w:t>循环冷却水排水、设备清洗废水、食堂</w:t>
            </w:r>
            <w:r>
              <w:rPr>
                <w:rFonts w:hint="eastAsia"/>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lang w:val="en-US" w:eastAsia="zh-CN"/>
              </w:rPr>
            </w:pPr>
            <w:r>
              <w:rPr>
                <w:rFonts w:hint="eastAsia"/>
                <w:lang w:val="en-US" w:eastAsia="zh-CN"/>
              </w:rPr>
              <w:t>1</w:t>
            </w:r>
            <w:r>
              <w:rPr>
                <w:rFonts w:hint="eastAsia"/>
                <w:lang w:eastAsia="zh-CN"/>
              </w:rPr>
              <w:t>）</w:t>
            </w:r>
            <w:r>
              <w:rPr>
                <w:rFonts w:hint="eastAsia"/>
                <w:lang w:val="en-US" w:eastAsia="zh-CN"/>
              </w:rPr>
              <w:t>凉白开纯净水生产废水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rPr>
              <w:t>根据工程分析</w:t>
            </w:r>
            <w:r>
              <w:rPr>
                <w:rFonts w:hint="eastAsia"/>
                <w:lang w:eastAsia="zh-CN"/>
              </w:rPr>
              <w:t>，</w:t>
            </w:r>
            <w:r>
              <w:rPr>
                <w:rFonts w:hint="eastAsia"/>
                <w:lang w:val="en-US" w:eastAsia="zh-CN"/>
              </w:rPr>
              <w:t>本项目凉白开纯净水生产废水为81822</w:t>
            </w:r>
            <w:r>
              <w:t>m</w:t>
            </w:r>
            <w:r>
              <w:rPr>
                <w:vertAlign w:val="superscript"/>
              </w:rPr>
              <w:t>3</w:t>
            </w:r>
            <w:r>
              <w:rPr>
                <w:rFonts w:hint="eastAsia"/>
              </w:rPr>
              <w:t>/a（</w:t>
            </w:r>
            <w:r>
              <w:rPr>
                <w:rFonts w:hint="eastAsia"/>
                <w:lang w:val="en-US" w:eastAsia="zh-CN"/>
              </w:rPr>
              <w:t>272.74</w:t>
            </w:r>
            <w:r>
              <w:t>m</w:t>
            </w:r>
            <w:r>
              <w:rPr>
                <w:vertAlign w:val="superscript"/>
              </w:rPr>
              <w:t>3</w:t>
            </w:r>
            <w:r>
              <w:t>/</w:t>
            </w:r>
            <w:r>
              <w:rPr>
                <w:rFonts w:hint="eastAsia"/>
              </w:rPr>
              <w:t>d）</w:t>
            </w:r>
            <w:r>
              <w:rPr>
                <w:rFonts w:hint="eastAsia"/>
                <w:lang w:eastAsia="zh-CN"/>
              </w:rPr>
              <w:t>，</w:t>
            </w:r>
            <w:r>
              <w:rPr>
                <w:rFonts w:hint="eastAsia"/>
                <w:lang w:val="en-US" w:eastAsia="zh-CN"/>
              </w:rPr>
              <w:t>根据同行业类比，该部分</w:t>
            </w:r>
            <w:r>
              <w:rPr>
                <w:rFonts w:hint="eastAsia"/>
              </w:rPr>
              <w:t>废水中主要污染物</w:t>
            </w:r>
            <w:r>
              <w:rPr>
                <w:rFonts w:hint="eastAsia"/>
                <w:lang w:val="en-US" w:eastAsia="zh-CN"/>
              </w:rPr>
              <w:t>浓度分别为</w:t>
            </w:r>
            <w:r>
              <w:rPr>
                <w:rFonts w:hint="default" w:eastAsia="宋体"/>
                <w:lang w:val="en-US" w:eastAsia="zh-CN"/>
              </w:rPr>
              <w:t>COD</w:t>
            </w:r>
            <w:r>
              <w:rPr>
                <w:rFonts w:hint="default" w:eastAsia="宋体"/>
                <w:vertAlign w:val="subscript"/>
                <w:lang w:val="en-US" w:eastAsia="zh-CN"/>
              </w:rPr>
              <w:t>Cr</w:t>
            </w:r>
            <w:r>
              <w:rPr>
                <w:rFonts w:hint="eastAsia"/>
                <w:lang w:eastAsia="zh-CN"/>
              </w:rPr>
              <w:t>：</w:t>
            </w:r>
            <w:r>
              <w:rPr>
                <w:rFonts w:hint="eastAsia"/>
                <w:lang w:val="en-US" w:eastAsia="zh-CN"/>
              </w:rPr>
              <w:t>60mg/L</w:t>
            </w:r>
            <w:r>
              <w:rPr>
                <w:rFonts w:hint="eastAsia"/>
              </w:rPr>
              <w:t>、</w:t>
            </w:r>
            <w:r>
              <w:rPr>
                <w:rFonts w:hint="eastAsia"/>
                <w:lang w:val="en-US" w:eastAsia="zh-CN"/>
              </w:rPr>
              <w:t>BOD</w:t>
            </w:r>
            <w:r>
              <w:rPr>
                <w:rFonts w:hint="eastAsia"/>
                <w:vertAlign w:val="subscript"/>
                <w:lang w:val="en-US" w:eastAsia="zh-CN"/>
              </w:rPr>
              <w:t>5</w:t>
            </w:r>
            <w:r>
              <w:rPr>
                <w:rFonts w:hint="eastAsia"/>
                <w:vertAlign w:val="baseline"/>
                <w:lang w:val="en-US" w:eastAsia="zh-CN"/>
              </w:rPr>
              <w:t>：40</w:t>
            </w:r>
            <w:r>
              <w:rPr>
                <w:rFonts w:hint="eastAsia"/>
                <w:lang w:val="en-US" w:eastAsia="zh-CN"/>
              </w:rPr>
              <w:t>mg/L、</w:t>
            </w:r>
            <w:r>
              <w:rPr>
                <w:rFonts w:hint="eastAsia"/>
              </w:rPr>
              <w:t>SS</w:t>
            </w:r>
            <w:r>
              <w:rPr>
                <w:rFonts w:hint="eastAsia"/>
                <w:lang w:eastAsia="zh-CN"/>
              </w:rPr>
              <w:t>：</w:t>
            </w:r>
            <w:r>
              <w:rPr>
                <w:rFonts w:hint="eastAsia"/>
                <w:lang w:val="en-US" w:eastAsia="zh-CN"/>
              </w:rPr>
              <w:t>100mg/L、NH</w:t>
            </w:r>
            <w:r>
              <w:rPr>
                <w:rFonts w:hint="eastAsia"/>
                <w:vertAlign w:val="subscript"/>
                <w:lang w:val="en-US" w:eastAsia="zh-CN"/>
              </w:rPr>
              <w:t>3</w:t>
            </w:r>
            <w:r>
              <w:rPr>
                <w:rFonts w:hint="eastAsia"/>
                <w:lang w:val="en-US" w:eastAsia="zh-CN"/>
              </w:rPr>
              <w:t>-N：10mg/L。</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lang w:val="en-US" w:eastAsia="zh-CN"/>
              </w:rPr>
            </w:pPr>
            <w:r>
              <w:rPr>
                <w:rFonts w:hint="eastAsia"/>
                <w:lang w:val="en-US" w:eastAsia="zh-CN"/>
              </w:rPr>
              <w:t>2）软化纯净水生产废水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rPr>
              <w:t>根据工程分析</w:t>
            </w:r>
            <w:r>
              <w:rPr>
                <w:rFonts w:hint="eastAsia"/>
                <w:lang w:eastAsia="zh-CN"/>
              </w:rPr>
              <w:t>，</w:t>
            </w:r>
            <w:r>
              <w:rPr>
                <w:rFonts w:hint="eastAsia"/>
                <w:lang w:val="en-US" w:eastAsia="zh-CN"/>
              </w:rPr>
              <w:t>本项目软化纯净水生产废水为82500</w:t>
            </w:r>
            <w:r>
              <w:t>m</w:t>
            </w:r>
            <w:r>
              <w:rPr>
                <w:vertAlign w:val="superscript"/>
              </w:rPr>
              <w:t>3</w:t>
            </w:r>
            <w:r>
              <w:rPr>
                <w:rFonts w:hint="eastAsia"/>
              </w:rPr>
              <w:t>/a（</w:t>
            </w:r>
            <w:r>
              <w:rPr>
                <w:rFonts w:hint="eastAsia"/>
                <w:lang w:val="en-US" w:eastAsia="zh-CN"/>
              </w:rPr>
              <w:t>275.00</w:t>
            </w:r>
            <w:r>
              <w:t>m</w:t>
            </w:r>
            <w:r>
              <w:rPr>
                <w:vertAlign w:val="superscript"/>
              </w:rPr>
              <w:t>3</w:t>
            </w:r>
            <w:r>
              <w:t>/</w:t>
            </w:r>
            <w:r>
              <w:rPr>
                <w:rFonts w:hint="eastAsia"/>
              </w:rPr>
              <w:t>d）</w:t>
            </w:r>
            <w:r>
              <w:rPr>
                <w:rFonts w:hint="eastAsia"/>
                <w:lang w:eastAsia="zh-CN"/>
              </w:rPr>
              <w:t>，</w:t>
            </w:r>
            <w:r>
              <w:rPr>
                <w:rFonts w:hint="eastAsia"/>
                <w:lang w:val="en-US" w:eastAsia="zh-CN"/>
              </w:rPr>
              <w:t>根据同行业类比，该部分</w:t>
            </w:r>
            <w:r>
              <w:rPr>
                <w:rFonts w:hint="eastAsia"/>
              </w:rPr>
              <w:t>废水中主要污染物</w:t>
            </w:r>
            <w:r>
              <w:rPr>
                <w:rFonts w:hint="eastAsia"/>
                <w:lang w:val="en-US" w:eastAsia="zh-CN"/>
              </w:rPr>
              <w:t>浓度分别为</w:t>
            </w:r>
            <w:r>
              <w:rPr>
                <w:rFonts w:hint="default" w:eastAsia="宋体"/>
                <w:lang w:val="en-US" w:eastAsia="zh-CN"/>
              </w:rPr>
              <w:t>COD</w:t>
            </w:r>
            <w:r>
              <w:rPr>
                <w:rFonts w:hint="default" w:eastAsia="宋体"/>
                <w:vertAlign w:val="subscript"/>
                <w:lang w:val="en-US" w:eastAsia="zh-CN"/>
              </w:rPr>
              <w:t>Cr</w:t>
            </w:r>
            <w:r>
              <w:rPr>
                <w:rFonts w:hint="eastAsia"/>
                <w:lang w:eastAsia="zh-CN"/>
              </w:rPr>
              <w:t>：</w:t>
            </w:r>
            <w:r>
              <w:rPr>
                <w:rFonts w:hint="eastAsia"/>
                <w:lang w:val="en-US" w:eastAsia="zh-CN"/>
              </w:rPr>
              <w:t>60mg/L</w:t>
            </w:r>
            <w:r>
              <w:rPr>
                <w:rFonts w:hint="eastAsia"/>
              </w:rPr>
              <w:t>、</w:t>
            </w:r>
            <w:r>
              <w:rPr>
                <w:rFonts w:hint="eastAsia"/>
                <w:lang w:val="en-US" w:eastAsia="zh-CN"/>
              </w:rPr>
              <w:t>BOD</w:t>
            </w:r>
            <w:r>
              <w:rPr>
                <w:rFonts w:hint="eastAsia"/>
                <w:vertAlign w:val="subscript"/>
                <w:lang w:val="en-US" w:eastAsia="zh-CN"/>
              </w:rPr>
              <w:t>5</w:t>
            </w:r>
            <w:r>
              <w:rPr>
                <w:rFonts w:hint="eastAsia"/>
                <w:vertAlign w:val="baseline"/>
                <w:lang w:val="en-US" w:eastAsia="zh-CN"/>
              </w:rPr>
              <w:t>：40</w:t>
            </w:r>
            <w:r>
              <w:rPr>
                <w:rFonts w:hint="eastAsia"/>
                <w:lang w:val="en-US" w:eastAsia="zh-CN"/>
              </w:rPr>
              <w:t>mg/L、</w:t>
            </w:r>
            <w:r>
              <w:rPr>
                <w:rFonts w:hint="eastAsia"/>
              </w:rPr>
              <w:t>SS</w:t>
            </w:r>
            <w:r>
              <w:rPr>
                <w:rFonts w:hint="eastAsia"/>
                <w:lang w:eastAsia="zh-CN"/>
              </w:rPr>
              <w:t>：</w:t>
            </w:r>
            <w:r>
              <w:rPr>
                <w:rFonts w:hint="eastAsia"/>
                <w:lang w:val="en-US" w:eastAsia="zh-CN"/>
              </w:rPr>
              <w:t>100mg/L、NH</w:t>
            </w:r>
            <w:r>
              <w:rPr>
                <w:rFonts w:hint="eastAsia"/>
                <w:vertAlign w:val="subscript"/>
                <w:lang w:val="en-US" w:eastAsia="zh-CN"/>
              </w:rPr>
              <w:t>3</w:t>
            </w:r>
            <w:r>
              <w:rPr>
                <w:rFonts w:hint="eastAsia"/>
                <w:lang w:val="en-US" w:eastAsia="zh-CN"/>
              </w:rPr>
              <w:t>-N：10mg/L。</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lang w:val="en-US" w:eastAsia="zh-CN"/>
              </w:rPr>
            </w:pPr>
            <w:r>
              <w:rPr>
                <w:rFonts w:hint="eastAsia"/>
                <w:lang w:val="en-US" w:eastAsia="zh-CN"/>
              </w:rPr>
              <w:t>3）水处理工艺系统反冲洗废水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rPr>
              <w:t>根据工程分析</w:t>
            </w:r>
            <w:r>
              <w:rPr>
                <w:rFonts w:hint="eastAsia"/>
                <w:lang w:eastAsia="zh-CN"/>
              </w:rPr>
              <w:t>，</w:t>
            </w:r>
            <w:r>
              <w:rPr>
                <w:rFonts w:hint="eastAsia"/>
                <w:lang w:val="en-US" w:eastAsia="zh-CN"/>
              </w:rPr>
              <w:t>本项目水处理工艺系统反冲洗废水为7200</w:t>
            </w:r>
            <w:r>
              <w:t>m</w:t>
            </w:r>
            <w:r>
              <w:rPr>
                <w:vertAlign w:val="superscript"/>
              </w:rPr>
              <w:t>3</w:t>
            </w:r>
            <w:r>
              <w:rPr>
                <w:rFonts w:hint="eastAsia"/>
              </w:rPr>
              <w:t>/a（</w:t>
            </w:r>
            <w:r>
              <w:rPr>
                <w:rFonts w:hint="eastAsia"/>
                <w:lang w:val="en-US" w:eastAsia="zh-CN"/>
              </w:rPr>
              <w:t>24.0</w:t>
            </w:r>
            <w:r>
              <w:t>m</w:t>
            </w:r>
            <w:r>
              <w:rPr>
                <w:vertAlign w:val="superscript"/>
              </w:rPr>
              <w:t>3</w:t>
            </w:r>
            <w:r>
              <w:t>/</w:t>
            </w:r>
            <w:r>
              <w:rPr>
                <w:rFonts w:hint="eastAsia"/>
              </w:rPr>
              <w:t>d）</w:t>
            </w:r>
            <w:r>
              <w:rPr>
                <w:rFonts w:hint="eastAsia"/>
                <w:lang w:eastAsia="zh-CN"/>
              </w:rPr>
              <w:t>，</w:t>
            </w:r>
            <w:r>
              <w:rPr>
                <w:rFonts w:hint="eastAsia"/>
                <w:lang w:val="en-US" w:eastAsia="zh-CN"/>
              </w:rPr>
              <w:t>根据同行业类比，该部分</w:t>
            </w:r>
            <w:r>
              <w:rPr>
                <w:rFonts w:hint="eastAsia"/>
              </w:rPr>
              <w:t>废水中主要污染物</w:t>
            </w:r>
            <w:r>
              <w:rPr>
                <w:rFonts w:hint="eastAsia"/>
                <w:lang w:val="en-US" w:eastAsia="zh-CN"/>
              </w:rPr>
              <w:t>浓度分别为</w:t>
            </w:r>
            <w:r>
              <w:rPr>
                <w:rFonts w:hint="default" w:eastAsia="宋体"/>
                <w:lang w:val="en-US" w:eastAsia="zh-CN"/>
              </w:rPr>
              <w:t>COD</w:t>
            </w:r>
            <w:r>
              <w:rPr>
                <w:rFonts w:hint="default" w:eastAsia="宋体"/>
                <w:vertAlign w:val="subscript"/>
                <w:lang w:val="en-US" w:eastAsia="zh-CN"/>
              </w:rPr>
              <w:t>Cr</w:t>
            </w:r>
            <w:r>
              <w:rPr>
                <w:rFonts w:hint="eastAsia"/>
                <w:lang w:eastAsia="zh-CN"/>
              </w:rPr>
              <w:t>：</w:t>
            </w:r>
            <w:r>
              <w:rPr>
                <w:rFonts w:hint="eastAsia"/>
                <w:lang w:val="en-US" w:eastAsia="zh-CN"/>
              </w:rPr>
              <w:t>60mg/L</w:t>
            </w:r>
            <w:r>
              <w:rPr>
                <w:rFonts w:hint="eastAsia"/>
              </w:rPr>
              <w:t>、</w:t>
            </w:r>
            <w:r>
              <w:rPr>
                <w:rFonts w:hint="eastAsia"/>
                <w:lang w:val="en-US" w:eastAsia="zh-CN"/>
              </w:rPr>
              <w:t>BOD</w:t>
            </w:r>
            <w:r>
              <w:rPr>
                <w:rFonts w:hint="eastAsia"/>
                <w:vertAlign w:val="subscript"/>
                <w:lang w:val="en-US" w:eastAsia="zh-CN"/>
              </w:rPr>
              <w:t>5</w:t>
            </w:r>
            <w:r>
              <w:rPr>
                <w:rFonts w:hint="eastAsia"/>
                <w:vertAlign w:val="baseline"/>
                <w:lang w:val="en-US" w:eastAsia="zh-CN"/>
              </w:rPr>
              <w:t>：40</w:t>
            </w:r>
            <w:r>
              <w:rPr>
                <w:rFonts w:hint="eastAsia"/>
                <w:lang w:val="en-US" w:eastAsia="zh-CN"/>
              </w:rPr>
              <w:t>mg/L、</w:t>
            </w:r>
            <w:r>
              <w:rPr>
                <w:rFonts w:hint="eastAsia"/>
              </w:rPr>
              <w:t>SS</w:t>
            </w:r>
            <w:r>
              <w:rPr>
                <w:rFonts w:hint="eastAsia"/>
                <w:lang w:eastAsia="zh-CN"/>
              </w:rPr>
              <w:t>：</w:t>
            </w:r>
            <w:r>
              <w:rPr>
                <w:rFonts w:hint="eastAsia"/>
                <w:lang w:val="en-US" w:eastAsia="zh-CN"/>
              </w:rPr>
              <w:t>100mg/L、NH</w:t>
            </w:r>
            <w:r>
              <w:rPr>
                <w:rFonts w:hint="eastAsia"/>
                <w:vertAlign w:val="subscript"/>
                <w:lang w:val="en-US" w:eastAsia="zh-CN"/>
              </w:rPr>
              <w:t>3</w:t>
            </w:r>
            <w:r>
              <w:rPr>
                <w:rFonts w:hint="eastAsia"/>
                <w:lang w:val="en-US" w:eastAsia="zh-CN"/>
              </w:rPr>
              <w:t>-N：10mg/L。</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lang w:val="en-US" w:eastAsia="zh-CN"/>
              </w:rPr>
            </w:pPr>
            <w:r>
              <w:rPr>
                <w:rFonts w:hint="eastAsia"/>
                <w:lang w:val="en-US" w:eastAsia="zh-CN"/>
              </w:rPr>
              <w:t>4）设备清洗废水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rPr>
              <w:t>根据工程分析</w:t>
            </w:r>
            <w:r>
              <w:rPr>
                <w:rFonts w:hint="eastAsia"/>
                <w:lang w:eastAsia="zh-CN"/>
              </w:rPr>
              <w:t>，</w:t>
            </w:r>
            <w:r>
              <w:rPr>
                <w:rFonts w:hint="eastAsia"/>
                <w:lang w:val="en-US" w:eastAsia="zh-CN"/>
              </w:rPr>
              <w:t>本项目设备清洗主要为罐装机进行消毒杀菌后的清洗，先用碱性清洗剂对罐装机进行消毒杀菌，再用水对其冲洗，清洗结束后用酸性清洗剂对罐装机残留的碱性物质进行中和，最后用水进行冲洗。该过程废水产生量为2142</w:t>
            </w:r>
            <w:r>
              <w:t>m</w:t>
            </w:r>
            <w:r>
              <w:rPr>
                <w:vertAlign w:val="superscript"/>
              </w:rPr>
              <w:t>3</w:t>
            </w:r>
            <w:r>
              <w:rPr>
                <w:rFonts w:hint="eastAsia"/>
              </w:rPr>
              <w:t>/a（</w:t>
            </w:r>
            <w:r>
              <w:rPr>
                <w:rFonts w:hint="eastAsia"/>
                <w:lang w:val="en-US" w:eastAsia="zh-CN"/>
              </w:rPr>
              <w:t>7.14</w:t>
            </w:r>
            <w:r>
              <w:t>m</w:t>
            </w:r>
            <w:r>
              <w:rPr>
                <w:vertAlign w:val="superscript"/>
              </w:rPr>
              <w:t>3</w:t>
            </w:r>
            <w:r>
              <w:t>/</w:t>
            </w:r>
            <w:r>
              <w:rPr>
                <w:rFonts w:hint="eastAsia"/>
              </w:rPr>
              <w:t>d）</w:t>
            </w:r>
            <w:r>
              <w:rPr>
                <w:rFonts w:hint="eastAsia"/>
                <w:lang w:eastAsia="zh-CN"/>
              </w:rPr>
              <w:t>，</w:t>
            </w:r>
            <w:r>
              <w:rPr>
                <w:rFonts w:hint="eastAsia"/>
                <w:lang w:val="en-US" w:eastAsia="zh-CN"/>
              </w:rPr>
              <w:t>根据物料平衡估算，该部分</w:t>
            </w:r>
            <w:r>
              <w:rPr>
                <w:rFonts w:hint="eastAsia"/>
              </w:rPr>
              <w:t>废水中主要污染物</w:t>
            </w:r>
            <w:r>
              <w:rPr>
                <w:rFonts w:hint="eastAsia"/>
                <w:lang w:val="en-US" w:eastAsia="zh-CN"/>
              </w:rPr>
              <w:t>浓度分别为</w:t>
            </w:r>
            <w:r>
              <w:rPr>
                <w:rFonts w:hint="eastAsia"/>
              </w:rPr>
              <w:t>SS</w:t>
            </w:r>
            <w:r>
              <w:rPr>
                <w:rFonts w:hint="eastAsia"/>
                <w:lang w:eastAsia="zh-CN"/>
              </w:rPr>
              <w:t>：</w:t>
            </w:r>
            <w:r>
              <w:rPr>
                <w:rFonts w:hint="eastAsia"/>
                <w:lang w:val="en-US" w:eastAsia="zh-CN"/>
              </w:rPr>
              <w:t>100mg/L、：TN：20mg/L。</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rFonts w:hint="default"/>
                <w:lang w:val="en-US" w:eastAsia="zh-CN"/>
              </w:rPr>
            </w:pPr>
            <w:r>
              <w:rPr>
                <w:rFonts w:hint="eastAsia"/>
                <w:lang w:val="en-US" w:eastAsia="zh-CN"/>
              </w:rPr>
              <w:t>5）循环冷却水排水</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rFonts w:hint="default"/>
                <w:lang w:val="en-US" w:eastAsia="zh-CN"/>
              </w:rPr>
            </w:pPr>
            <w:r>
              <w:rPr>
                <w:rFonts w:hint="eastAsia"/>
              </w:rPr>
              <w:t>根据工程分析</w:t>
            </w:r>
            <w:r>
              <w:rPr>
                <w:rFonts w:hint="eastAsia"/>
                <w:lang w:eastAsia="zh-CN"/>
              </w:rPr>
              <w:t>，</w:t>
            </w:r>
            <w:r>
              <w:rPr>
                <w:rFonts w:hint="eastAsia"/>
                <w:lang w:val="en-US" w:eastAsia="zh-CN"/>
              </w:rPr>
              <w:t>本项目循环冷却水排水量1200</w:t>
            </w:r>
            <w:r>
              <w:t>m</w:t>
            </w:r>
            <w:r>
              <w:rPr>
                <w:vertAlign w:val="superscript"/>
              </w:rPr>
              <w:t>3</w:t>
            </w:r>
            <w:r>
              <w:rPr>
                <w:rFonts w:hint="eastAsia"/>
              </w:rPr>
              <w:t>/a</w:t>
            </w:r>
            <w:r>
              <w:rPr>
                <w:rFonts w:hint="eastAsia"/>
                <w:color w:val="auto"/>
              </w:rPr>
              <w:t>（</w:t>
            </w:r>
            <w:r>
              <w:rPr>
                <w:rFonts w:hint="eastAsia"/>
                <w:color w:val="auto"/>
                <w:lang w:val="en-US" w:eastAsia="zh-CN"/>
              </w:rPr>
              <w:t>4.0</w:t>
            </w:r>
            <w:r>
              <w:rPr>
                <w:color w:val="auto"/>
              </w:rPr>
              <w:t>m</w:t>
            </w:r>
            <w:r>
              <w:rPr>
                <w:color w:val="auto"/>
                <w:vertAlign w:val="superscript"/>
              </w:rPr>
              <w:t>3</w:t>
            </w:r>
            <w:r>
              <w:rPr>
                <w:color w:val="auto"/>
              </w:rPr>
              <w:t>/</w:t>
            </w:r>
            <w:r>
              <w:rPr>
                <w:rFonts w:hint="eastAsia"/>
                <w:color w:val="auto"/>
              </w:rPr>
              <w:t>d）</w:t>
            </w:r>
            <w:r>
              <w:rPr>
                <w:rFonts w:hint="eastAsia"/>
                <w:color w:val="auto"/>
                <w:lang w:eastAsia="zh-CN"/>
              </w:rPr>
              <w:t>，</w:t>
            </w:r>
            <w:r>
              <w:rPr>
                <w:rFonts w:hint="eastAsia"/>
                <w:color w:val="auto"/>
                <w:lang w:val="en-US" w:eastAsia="zh-CN"/>
              </w:rPr>
              <w:t>根据</w:t>
            </w:r>
            <w:r>
              <w:rPr>
                <w:rFonts w:hint="eastAsia"/>
                <w:lang w:val="en-US" w:eastAsia="zh-CN"/>
              </w:rPr>
              <w:t>同行业类比</w:t>
            </w:r>
            <w:r>
              <w:rPr>
                <w:rFonts w:hint="eastAsia"/>
                <w:color w:val="auto"/>
                <w:lang w:val="en-US" w:eastAsia="zh-CN"/>
              </w:rPr>
              <w:t>，该部分</w:t>
            </w:r>
            <w:r>
              <w:rPr>
                <w:rFonts w:hint="eastAsia"/>
                <w:color w:val="auto"/>
              </w:rPr>
              <w:t>废水中主要污染物</w:t>
            </w:r>
            <w:r>
              <w:rPr>
                <w:rFonts w:hint="eastAsia"/>
                <w:color w:val="auto"/>
                <w:lang w:val="en-US" w:eastAsia="zh-CN"/>
              </w:rPr>
              <w:t>浓度分别为</w:t>
            </w:r>
            <w:r>
              <w:rPr>
                <w:rFonts w:hint="default" w:eastAsia="宋体"/>
                <w:color w:val="auto"/>
                <w:lang w:val="en-US" w:eastAsia="zh-CN"/>
              </w:rPr>
              <w:t>COD</w:t>
            </w:r>
            <w:r>
              <w:rPr>
                <w:rFonts w:hint="default" w:eastAsia="宋体"/>
                <w:color w:val="auto"/>
                <w:vertAlign w:val="subscript"/>
                <w:lang w:val="en-US" w:eastAsia="zh-CN"/>
              </w:rPr>
              <w:t>Cr</w:t>
            </w:r>
            <w:r>
              <w:rPr>
                <w:rFonts w:hint="eastAsia"/>
                <w:color w:val="auto"/>
                <w:lang w:eastAsia="zh-CN"/>
              </w:rPr>
              <w:t>：</w:t>
            </w:r>
            <w:r>
              <w:rPr>
                <w:rFonts w:hint="eastAsia"/>
                <w:color w:val="auto"/>
                <w:lang w:val="en-US" w:eastAsia="zh-CN"/>
              </w:rPr>
              <w:t>60mg/L</w:t>
            </w:r>
            <w:r>
              <w:rPr>
                <w:rFonts w:hint="eastAsia"/>
                <w:color w:val="auto"/>
              </w:rPr>
              <w:t>、</w:t>
            </w:r>
            <w:r>
              <w:rPr>
                <w:rFonts w:hint="eastAsia"/>
                <w:color w:val="auto"/>
                <w:lang w:val="en-US" w:eastAsia="zh-CN"/>
              </w:rPr>
              <w:t>BOD</w:t>
            </w:r>
            <w:r>
              <w:rPr>
                <w:rFonts w:hint="eastAsia"/>
                <w:color w:val="auto"/>
                <w:vertAlign w:val="subscript"/>
                <w:lang w:val="en-US" w:eastAsia="zh-CN"/>
              </w:rPr>
              <w:t>5</w:t>
            </w:r>
            <w:r>
              <w:rPr>
                <w:rFonts w:hint="eastAsia"/>
                <w:color w:val="auto"/>
                <w:vertAlign w:val="baseline"/>
                <w:lang w:val="en-US" w:eastAsia="zh-CN"/>
              </w:rPr>
              <w:t>：30</w:t>
            </w:r>
            <w:r>
              <w:rPr>
                <w:rFonts w:hint="eastAsia"/>
                <w:color w:val="auto"/>
                <w:lang w:val="en-US" w:eastAsia="zh-CN"/>
              </w:rPr>
              <w:t>mg/L。</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rFonts w:hint="default"/>
                <w:lang w:val="en-US" w:eastAsia="zh-CN"/>
              </w:rPr>
            </w:pPr>
            <w:r>
              <w:rPr>
                <w:rFonts w:hint="eastAsia"/>
                <w:lang w:val="en-US" w:eastAsia="zh-CN"/>
              </w:rPr>
              <w:t>6）食堂废水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rPr>
              <w:t>根据工程分析</w:t>
            </w:r>
            <w:r>
              <w:rPr>
                <w:rFonts w:hint="eastAsia"/>
                <w:lang w:eastAsia="zh-CN"/>
              </w:rPr>
              <w:t>，</w:t>
            </w:r>
            <w:r>
              <w:rPr>
                <w:rFonts w:hint="eastAsia"/>
                <w:lang w:val="en-US" w:eastAsia="zh-CN"/>
              </w:rPr>
              <w:t>本项目食堂废水为129.60</w:t>
            </w:r>
            <w:r>
              <w:t>m</w:t>
            </w:r>
            <w:r>
              <w:rPr>
                <w:vertAlign w:val="superscript"/>
              </w:rPr>
              <w:t>3</w:t>
            </w:r>
            <w:r>
              <w:rPr>
                <w:rFonts w:hint="eastAsia"/>
              </w:rPr>
              <w:t>/a（</w:t>
            </w:r>
            <w:r>
              <w:rPr>
                <w:rFonts w:hint="eastAsia"/>
                <w:lang w:val="en-US" w:eastAsia="zh-CN"/>
              </w:rPr>
              <w:t>0.43</w:t>
            </w:r>
            <w:r>
              <w:t>m</w:t>
            </w:r>
            <w:r>
              <w:rPr>
                <w:vertAlign w:val="superscript"/>
              </w:rPr>
              <w:t>3</w:t>
            </w:r>
            <w:r>
              <w:t>/</w:t>
            </w:r>
            <w:r>
              <w:rPr>
                <w:rFonts w:hint="eastAsia"/>
              </w:rPr>
              <w:t>d）</w:t>
            </w:r>
            <w:r>
              <w:rPr>
                <w:rFonts w:hint="eastAsia"/>
                <w:lang w:eastAsia="zh-CN"/>
              </w:rPr>
              <w:t>，</w:t>
            </w:r>
            <w:r>
              <w:rPr>
                <w:rFonts w:hint="eastAsia"/>
                <w:lang w:val="en-US" w:eastAsia="zh-CN"/>
              </w:rPr>
              <w:t>根据同行业类比，该部分</w:t>
            </w:r>
            <w:r>
              <w:rPr>
                <w:rFonts w:hint="eastAsia"/>
              </w:rPr>
              <w:t>废水中主要污染物</w:t>
            </w:r>
            <w:r>
              <w:rPr>
                <w:rFonts w:hint="eastAsia"/>
                <w:lang w:val="en-US" w:eastAsia="zh-CN"/>
              </w:rPr>
              <w:t>浓度分别为</w:t>
            </w:r>
            <w:r>
              <w:rPr>
                <w:rFonts w:hint="default" w:eastAsia="宋体"/>
                <w:lang w:val="en-US" w:eastAsia="zh-CN"/>
              </w:rPr>
              <w:t>COD</w:t>
            </w:r>
            <w:r>
              <w:rPr>
                <w:rFonts w:hint="default" w:eastAsia="宋体"/>
                <w:vertAlign w:val="subscript"/>
                <w:lang w:val="en-US" w:eastAsia="zh-CN"/>
              </w:rPr>
              <w:t>Cr</w:t>
            </w:r>
            <w:r>
              <w:rPr>
                <w:rFonts w:hint="eastAsia"/>
                <w:lang w:eastAsia="zh-CN"/>
              </w:rPr>
              <w:t>：</w:t>
            </w:r>
            <w:r>
              <w:rPr>
                <w:rFonts w:hint="eastAsia"/>
                <w:lang w:val="en-US" w:eastAsia="zh-CN"/>
              </w:rPr>
              <w:t>300mg/L</w:t>
            </w:r>
            <w:r>
              <w:rPr>
                <w:rFonts w:hint="eastAsia"/>
              </w:rPr>
              <w:t>、</w:t>
            </w:r>
            <w:r>
              <w:rPr>
                <w:rFonts w:hint="eastAsia"/>
                <w:lang w:val="en-US" w:eastAsia="zh-CN"/>
              </w:rPr>
              <w:t>BOD</w:t>
            </w:r>
            <w:r>
              <w:rPr>
                <w:rFonts w:hint="eastAsia"/>
                <w:vertAlign w:val="subscript"/>
                <w:lang w:val="en-US" w:eastAsia="zh-CN"/>
              </w:rPr>
              <w:t>5</w:t>
            </w:r>
            <w:r>
              <w:rPr>
                <w:rFonts w:hint="eastAsia"/>
                <w:vertAlign w:val="baseline"/>
                <w:lang w:val="en-US" w:eastAsia="zh-CN"/>
              </w:rPr>
              <w:t>：150</w:t>
            </w:r>
            <w:r>
              <w:rPr>
                <w:rFonts w:hint="eastAsia"/>
                <w:lang w:val="en-US" w:eastAsia="zh-CN"/>
              </w:rPr>
              <w:t>mg/L、</w:t>
            </w:r>
            <w:r>
              <w:rPr>
                <w:rFonts w:hint="eastAsia"/>
              </w:rPr>
              <w:t>SS</w:t>
            </w:r>
            <w:r>
              <w:rPr>
                <w:rFonts w:hint="eastAsia"/>
                <w:lang w:eastAsia="zh-CN"/>
              </w:rPr>
              <w:t>：</w:t>
            </w:r>
            <w:r>
              <w:rPr>
                <w:rFonts w:hint="eastAsia"/>
                <w:lang w:val="en-US" w:eastAsia="zh-CN"/>
              </w:rPr>
              <w:t>200mg/L、NH</w:t>
            </w:r>
            <w:r>
              <w:rPr>
                <w:rFonts w:hint="eastAsia"/>
                <w:vertAlign w:val="subscript"/>
                <w:lang w:val="en-US" w:eastAsia="zh-CN"/>
              </w:rPr>
              <w:t>3</w:t>
            </w:r>
            <w:r>
              <w:rPr>
                <w:rFonts w:hint="eastAsia"/>
                <w:lang w:val="en-US" w:eastAsia="zh-CN"/>
              </w:rPr>
              <w:t>-N：35mg/L、动植物油：200mg/L。</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rFonts w:hint="default" w:eastAsia="宋体"/>
                <w:lang w:val="en-US" w:eastAsia="zh-CN"/>
              </w:rPr>
            </w:pPr>
            <w:r>
              <w:rPr>
                <w:rFonts w:hint="eastAsia"/>
                <w:lang w:val="en-US" w:eastAsia="zh-CN"/>
              </w:rPr>
              <w:t>7）生活污水</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rPr>
                <w:rFonts w:hint="eastAsia"/>
              </w:rPr>
            </w:pPr>
            <w:r>
              <w:rPr>
                <w:rFonts w:hint="eastAsia"/>
              </w:rPr>
              <w:t>根据水平衡，本项目生活污水量</w:t>
            </w:r>
            <w:r>
              <w:rPr>
                <w:rFonts w:hint="eastAsia"/>
                <w:lang w:val="en-US" w:eastAsia="zh-CN"/>
              </w:rPr>
              <w:t>194.40</w:t>
            </w:r>
            <w:r>
              <w:rPr>
                <w:rFonts w:hint="eastAsia"/>
              </w:rPr>
              <w:t>m</w:t>
            </w:r>
            <w:r>
              <w:rPr>
                <w:rFonts w:hint="eastAsia"/>
                <w:vertAlign w:val="superscript"/>
              </w:rPr>
              <w:t>3</w:t>
            </w:r>
            <w:r>
              <w:rPr>
                <w:rFonts w:hint="eastAsia"/>
              </w:rPr>
              <w:t>/a</w:t>
            </w:r>
            <w:r>
              <w:rPr>
                <w:rFonts w:hint="eastAsia"/>
                <w:lang w:eastAsia="zh-CN"/>
              </w:rPr>
              <w:t>（</w:t>
            </w:r>
            <w:r>
              <w:rPr>
                <w:rFonts w:hint="eastAsia"/>
                <w:lang w:val="en-US" w:eastAsia="zh-CN"/>
              </w:rPr>
              <w:t>0.65</w:t>
            </w:r>
            <w:r>
              <w:rPr>
                <w:rFonts w:hint="eastAsia"/>
              </w:rPr>
              <w:t>m</w:t>
            </w:r>
            <w:r>
              <w:rPr>
                <w:rFonts w:hint="eastAsia"/>
                <w:vertAlign w:val="superscript"/>
              </w:rPr>
              <w:t>3</w:t>
            </w:r>
            <w:r>
              <w:rPr>
                <w:rFonts w:hint="eastAsia"/>
              </w:rPr>
              <w:t>/d</w:t>
            </w:r>
            <w:r>
              <w:rPr>
                <w:rFonts w:hint="eastAsia"/>
                <w:lang w:eastAsia="zh-CN"/>
              </w:rPr>
              <w:t>）</w:t>
            </w:r>
            <w:r>
              <w:rPr>
                <w:rFonts w:hint="eastAsia"/>
              </w:rPr>
              <w:t>。根据《排放源统计调查产排污核算方法和系数手册》 （2021年6月11日）中附表1生活污染源产排污系数手册中第一部分城镇生活源水污染物产生系数（四区），生活污水中主要污染物为</w:t>
            </w:r>
            <w:r>
              <w:t>pH</w:t>
            </w:r>
            <w:r>
              <w:rPr>
                <w:rFonts w:hint="eastAsia"/>
              </w:rPr>
              <w:t>、COD、氨氮、总磷、总氮、SS、BOD</w:t>
            </w:r>
            <w:r>
              <w:rPr>
                <w:rFonts w:hint="eastAsia"/>
                <w:vertAlign w:val="subscript"/>
              </w:rPr>
              <w:t>5</w:t>
            </w:r>
            <w:r>
              <w:rPr>
                <w:rFonts w:hint="eastAsia"/>
              </w:rPr>
              <w:t>，产生浓度为</w:t>
            </w:r>
            <w:r>
              <w:t>pH6-9（无量纲）</w:t>
            </w:r>
            <w:r>
              <w:rPr>
                <w:rFonts w:hint="eastAsia"/>
              </w:rPr>
              <w:t>、COD为325mg/L、氨氮37.7mg/L、总磷4.28mg/L、总氮49.8mg/L。SS、BOD</w:t>
            </w:r>
            <w:r>
              <w:rPr>
                <w:rFonts w:hint="eastAsia"/>
                <w:vertAlign w:val="subscript"/>
              </w:rPr>
              <w:t>5</w:t>
            </w:r>
            <w:r>
              <w:rPr>
                <w:rFonts w:hint="eastAsia"/>
              </w:rPr>
              <w:t>类比城市生活污水产生浓度，SS156mg/L，BOD</w:t>
            </w:r>
            <w:r>
              <w:rPr>
                <w:rFonts w:hint="eastAsia"/>
                <w:vertAlign w:val="subscript"/>
              </w:rPr>
              <w:t>5</w:t>
            </w:r>
            <w:r>
              <w:rPr>
                <w:rFonts w:hint="eastAsia"/>
              </w:rPr>
              <w:t>300mg/L。</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pPr>
            <w:r>
              <w:rPr>
                <w:rFonts w:hint="eastAsia"/>
                <w:lang w:val="en-US" w:eastAsia="zh-CN"/>
              </w:rPr>
              <w:t>本</w:t>
            </w:r>
            <w:r>
              <w:rPr>
                <w:rFonts w:hint="eastAsia"/>
              </w:rPr>
              <w:t>项目</w:t>
            </w:r>
            <w:r>
              <w:rPr>
                <w:rFonts w:hint="eastAsia"/>
                <w:lang w:val="en-US" w:eastAsia="zh-CN"/>
              </w:rPr>
              <w:t>废水</w:t>
            </w:r>
            <w:r>
              <w:rPr>
                <w:rFonts w:hint="eastAsia"/>
              </w:rPr>
              <w:t>各污染物产</w:t>
            </w:r>
            <w:r>
              <w:rPr>
                <w:rFonts w:hint="eastAsia"/>
                <w:lang w:val="en-US" w:eastAsia="zh-CN"/>
              </w:rPr>
              <w:t>排</w:t>
            </w:r>
            <w:r>
              <w:rPr>
                <w:rFonts w:hint="eastAsia"/>
              </w:rPr>
              <w:t>情况见</w:t>
            </w:r>
            <w:r>
              <w:rPr>
                <w:rFonts w:hint="eastAsia"/>
                <w:lang w:val="en-US" w:eastAsia="zh-CN"/>
              </w:rPr>
              <w:t>下</w:t>
            </w:r>
            <w:r>
              <w:rPr>
                <w:rFonts w:hint="eastAsia"/>
              </w:rPr>
              <w:t>表所示。</w:t>
            </w:r>
          </w:p>
        </w:tc>
      </w:tr>
    </w:tbl>
    <w:p>
      <w:pPr>
        <w:sectPr>
          <w:pgSz w:w="11906" w:h="16838"/>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eastAsia" w:ascii="Times New Roman" w:hAnsi="Times New Roman" w:eastAsia="宋体" w:cs="Times New Roman"/>
                <w:b/>
                <w:bCs/>
                <w:sz w:val="24"/>
                <w:lang w:val="en-US" w:eastAsia="zh-CN"/>
              </w:rPr>
              <w:t>4-</w:t>
            </w:r>
            <w:r>
              <w:rPr>
                <w:rFonts w:hint="eastAsia" w:cs="Times New Roman"/>
                <w:b/>
                <w:bCs/>
                <w:sz w:val="24"/>
                <w:lang w:val="en-US" w:eastAsia="zh-CN"/>
              </w:rPr>
              <w:t>9</w:t>
            </w:r>
            <w:r>
              <w:rPr>
                <w:rFonts w:hint="default" w:ascii="Times New Roman" w:hAnsi="Times New Roman" w:eastAsia="宋体" w:cs="Times New Roman"/>
                <w:b/>
                <w:bCs/>
                <w:sz w:val="24"/>
              </w:rPr>
              <w:t xml:space="preserve"> </w:t>
            </w:r>
            <w:r>
              <w:rPr>
                <w:rFonts w:hint="eastAsia" w:cs="Times New Roman"/>
                <w:b/>
                <w:bCs/>
                <w:sz w:val="24"/>
                <w:lang w:val="en-US" w:eastAsia="zh-CN"/>
              </w:rPr>
              <w:t>本</w:t>
            </w:r>
            <w:r>
              <w:rPr>
                <w:rFonts w:hint="default" w:ascii="Times New Roman" w:hAnsi="Times New Roman" w:eastAsia="宋体" w:cs="Times New Roman"/>
                <w:b/>
                <w:bCs/>
                <w:sz w:val="24"/>
              </w:rPr>
              <w:t>项目运营期水污染产排情况一览表</w:t>
            </w:r>
          </w:p>
          <w:tbl>
            <w:tblPr>
              <w:tblStyle w:val="22"/>
              <w:tblW w:w="4994"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09"/>
              <w:gridCol w:w="1240"/>
              <w:gridCol w:w="854"/>
              <w:gridCol w:w="822"/>
              <w:gridCol w:w="1083"/>
              <w:gridCol w:w="953"/>
              <w:gridCol w:w="1687"/>
              <w:gridCol w:w="1320"/>
              <w:gridCol w:w="1756"/>
              <w:gridCol w:w="1357"/>
              <w:gridCol w:w="1632"/>
              <w:gridCol w:w="104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2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b/>
                      <w:bCs w:val="0"/>
                      <w:snapToGrid w:val="0"/>
                      <w:kern w:val="2"/>
                      <w:sz w:val="21"/>
                      <w:szCs w:val="21"/>
                    </w:rPr>
                  </w:pPr>
                  <w:r>
                    <w:rPr>
                      <w:rFonts w:hAnsi="宋体"/>
                      <w:b/>
                      <w:bCs w:val="0"/>
                      <w:snapToGrid w:val="0"/>
                      <w:kern w:val="2"/>
                      <w:sz w:val="21"/>
                      <w:szCs w:val="21"/>
                    </w:rPr>
                    <w:t>污染源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名称</w:t>
                  </w:r>
                </w:p>
              </w:tc>
              <w:tc>
                <w:tcPr>
                  <w:tcW w:w="42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污染物</w:t>
                  </w:r>
                </w:p>
              </w:tc>
              <w:tc>
                <w:tcPr>
                  <w:tcW w:w="127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污染物产生</w:t>
                  </w:r>
                </w:p>
              </w:tc>
              <w:tc>
                <w:tcPr>
                  <w:tcW w:w="5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拟采取的治理措施</w:t>
                  </w:r>
                </w:p>
              </w:tc>
              <w:tc>
                <w:tcPr>
                  <w:tcW w:w="45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b/>
                      <w:bCs w:val="0"/>
                      <w:snapToGrid w:val="0"/>
                      <w:kern w:val="2"/>
                      <w:sz w:val="21"/>
                      <w:szCs w:val="21"/>
                    </w:rPr>
                  </w:pPr>
                  <w:r>
                    <w:rPr>
                      <w:rFonts w:hAnsi="宋体"/>
                      <w:b/>
                      <w:bCs w:val="0"/>
                      <w:snapToGrid w:val="0"/>
                      <w:sz w:val="21"/>
                      <w:szCs w:val="21"/>
                    </w:rPr>
                    <w:t>污染物</w:t>
                  </w:r>
                </w:p>
              </w:tc>
              <w:tc>
                <w:tcPr>
                  <w:tcW w:w="106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b/>
                      <w:bCs w:val="0"/>
                      <w:snapToGrid w:val="0"/>
                      <w:kern w:val="2"/>
                      <w:sz w:val="21"/>
                      <w:szCs w:val="21"/>
                      <w:lang w:val="en-US" w:eastAsia="zh-CN"/>
                    </w:rPr>
                  </w:pPr>
                  <w:r>
                    <w:rPr>
                      <w:rFonts w:hint="eastAsia" w:hAnsi="宋体"/>
                      <w:b/>
                      <w:bCs w:val="0"/>
                      <w:snapToGrid w:val="0"/>
                      <w:kern w:val="2"/>
                      <w:sz w:val="21"/>
                      <w:szCs w:val="21"/>
                      <w:lang w:val="en-US" w:eastAsia="zh-CN"/>
                    </w:rPr>
                    <w:t>园区污水处理厂接管情况</w:t>
                  </w:r>
                </w:p>
              </w:tc>
              <w:tc>
                <w:tcPr>
                  <w:tcW w:w="91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污染物排放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17"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p>
              </w:tc>
              <w:tc>
                <w:tcPr>
                  <w:tcW w:w="4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p>
              </w:tc>
              <w:tc>
                <w:tcPr>
                  <w:tcW w:w="2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废水产生量</w:t>
                  </w:r>
                  <w:r>
                    <w:rPr>
                      <w:b/>
                      <w:bCs w:val="0"/>
                      <w:snapToGrid w:val="0"/>
                      <w:kern w:val="2"/>
                      <w:sz w:val="21"/>
                      <w:szCs w:val="21"/>
                    </w:rPr>
                    <w:t>m</w:t>
                  </w:r>
                  <w:r>
                    <w:rPr>
                      <w:b/>
                      <w:bCs w:val="0"/>
                      <w:snapToGrid w:val="0"/>
                      <w:kern w:val="2"/>
                      <w:sz w:val="21"/>
                      <w:szCs w:val="21"/>
                      <w:vertAlign w:val="superscript"/>
                    </w:rPr>
                    <w:t>3</w:t>
                  </w:r>
                  <w:r>
                    <w:rPr>
                      <w:b/>
                      <w:bCs w:val="0"/>
                      <w:snapToGrid w:val="0"/>
                      <w:kern w:val="2"/>
                      <w:sz w:val="21"/>
                      <w:szCs w:val="21"/>
                    </w:rPr>
                    <w:t>/d</w:t>
                  </w:r>
                </w:p>
              </w:tc>
              <w:tc>
                <w:tcPr>
                  <w:tcW w:w="2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废水产生量</w:t>
                  </w:r>
                  <w:r>
                    <w:rPr>
                      <w:b/>
                      <w:bCs w:val="0"/>
                      <w:snapToGrid w:val="0"/>
                      <w:kern w:val="2"/>
                      <w:sz w:val="21"/>
                      <w:szCs w:val="21"/>
                    </w:rPr>
                    <w:t>m</w:t>
                  </w:r>
                  <w:r>
                    <w:rPr>
                      <w:b/>
                      <w:bCs w:val="0"/>
                      <w:snapToGrid w:val="0"/>
                      <w:kern w:val="2"/>
                      <w:sz w:val="21"/>
                      <w:szCs w:val="21"/>
                      <w:vertAlign w:val="superscript"/>
                    </w:rPr>
                    <w:t>3</w:t>
                  </w:r>
                  <w:r>
                    <w:rPr>
                      <w:b/>
                      <w:bCs w:val="0"/>
                      <w:snapToGrid w:val="0"/>
                      <w:kern w:val="2"/>
                      <w:sz w:val="21"/>
                      <w:szCs w:val="21"/>
                    </w:rPr>
                    <w:t>/a</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产生浓度</w:t>
                  </w:r>
                  <w:r>
                    <w:rPr>
                      <w:b/>
                      <w:bCs w:val="0"/>
                      <w:snapToGrid w:val="0"/>
                      <w:kern w:val="2"/>
                      <w:sz w:val="21"/>
                      <w:szCs w:val="21"/>
                    </w:rPr>
                    <w:t>mg/L</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产生量</w:t>
                  </w:r>
                  <w:r>
                    <w:rPr>
                      <w:b/>
                      <w:bCs w:val="0"/>
                      <w:snapToGrid w:val="0"/>
                      <w:kern w:val="2"/>
                      <w:sz w:val="21"/>
                      <w:szCs w:val="21"/>
                    </w:rPr>
                    <w:t>t/a</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p>
              </w:tc>
              <w:tc>
                <w:tcPr>
                  <w:tcW w:w="4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p>
              </w:tc>
              <w:tc>
                <w:tcPr>
                  <w:tcW w:w="603" w:type="pct"/>
                  <w:tcBorders>
                    <w:right w:val="single" w:color="auto" w:sz="4" w:space="0"/>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kern w:val="2"/>
                      <w:sz w:val="21"/>
                      <w:szCs w:val="21"/>
                      <w:u w:val="none"/>
                      <w:lang w:val="en-US" w:eastAsia="zh-CN" w:bidi="ar-SA"/>
                    </w:rPr>
                  </w:pPr>
                  <w:r>
                    <w:rPr>
                      <w:rStyle w:val="49"/>
                      <w:b/>
                      <w:bCs w:val="0"/>
                      <w:lang w:val="en-US" w:eastAsia="zh-CN" w:bidi="ar"/>
                    </w:rPr>
                    <w:t>接管标准</w:t>
                  </w:r>
                  <w:r>
                    <w:rPr>
                      <w:rStyle w:val="50"/>
                      <w:rFonts w:eastAsia="宋体"/>
                      <w:b/>
                      <w:bCs w:val="0"/>
                      <w:lang w:val="en-US" w:eastAsia="zh-CN" w:bidi="ar"/>
                    </w:rPr>
                    <w:t>mg/L</w:t>
                  </w:r>
                </w:p>
              </w:tc>
              <w:tc>
                <w:tcPr>
                  <w:tcW w:w="466"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接管量</w:t>
                  </w:r>
                  <w:r>
                    <w:rPr>
                      <w:rFonts w:hint="default" w:ascii="Times New Roman" w:hAnsi="Times New Roman" w:eastAsia="宋体" w:cs="Times New Roman"/>
                      <w:b/>
                      <w:bCs/>
                      <w:i w:val="0"/>
                      <w:iCs w:val="0"/>
                      <w:color w:val="000000"/>
                      <w:kern w:val="0"/>
                      <w:sz w:val="21"/>
                      <w:szCs w:val="21"/>
                      <w:u w:val="none"/>
                      <w:lang w:val="en-US" w:eastAsia="zh-CN" w:bidi="ar"/>
                    </w:rPr>
                    <w:t>t/a</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排放</w:t>
                  </w:r>
                  <w:r>
                    <w:rPr>
                      <w:rFonts w:hint="eastAsia" w:hAnsi="宋体"/>
                      <w:b/>
                      <w:bCs w:val="0"/>
                      <w:snapToGrid w:val="0"/>
                      <w:kern w:val="2"/>
                      <w:sz w:val="21"/>
                      <w:szCs w:val="21"/>
                      <w:lang w:val="en-US" w:eastAsia="zh-CN"/>
                    </w:rPr>
                    <w:t>标准</w:t>
                  </w:r>
                  <w:r>
                    <w:rPr>
                      <w:b/>
                      <w:bCs w:val="0"/>
                      <w:snapToGrid w:val="0"/>
                      <w:kern w:val="2"/>
                      <w:sz w:val="21"/>
                      <w:szCs w:val="21"/>
                    </w:rPr>
                    <w:t>mg/L</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val="0"/>
                      <w:snapToGrid w:val="0"/>
                      <w:kern w:val="2"/>
                      <w:sz w:val="21"/>
                      <w:szCs w:val="21"/>
                    </w:rPr>
                  </w:pPr>
                  <w:r>
                    <w:rPr>
                      <w:rFonts w:hAnsi="宋体"/>
                      <w:b/>
                      <w:bCs w:val="0"/>
                      <w:snapToGrid w:val="0"/>
                      <w:kern w:val="2"/>
                      <w:sz w:val="21"/>
                      <w:szCs w:val="21"/>
                    </w:rPr>
                    <w:t>排放量</w:t>
                  </w:r>
                  <w:r>
                    <w:rPr>
                      <w:b/>
                      <w:bCs w:val="0"/>
                      <w:snapToGrid w:val="0"/>
                      <w:kern w:val="2"/>
                      <w:sz w:val="21"/>
                      <w:szCs w:val="21"/>
                    </w:rPr>
                    <w:t>t/a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凉白开纯净水生产废水</w:t>
                  </w: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snapToGrid w:val="0"/>
                      <w:kern w:val="2"/>
                      <w:sz w:val="21"/>
                      <w:szCs w:val="21"/>
                    </w:rPr>
                    <w:t>pH</w:t>
                  </w:r>
                </w:p>
              </w:tc>
              <w:tc>
                <w:tcPr>
                  <w:tcW w:w="2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272.74</w:t>
                  </w:r>
                </w:p>
              </w:tc>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81822</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rPr>
                    <w:t>6-9</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rPr>
                    <w:t>--</w:t>
                  </w:r>
                </w:p>
              </w:tc>
              <w:tc>
                <w:tcPr>
                  <w:tcW w:w="5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z w:val="21"/>
                      <w:szCs w:val="21"/>
                    </w:rPr>
                    <w:t>废水</w:t>
                  </w:r>
                  <w:r>
                    <w:rPr>
                      <w:snapToGrid w:val="0"/>
                      <w:kern w:val="2"/>
                      <w:sz w:val="21"/>
                      <w:szCs w:val="21"/>
                    </w:rPr>
                    <w:t>通过厂区总排口进入</w:t>
                  </w:r>
                  <w:r>
                    <w:rPr>
                      <w:rFonts w:hint="eastAsia"/>
                      <w:snapToGrid w:val="0"/>
                      <w:kern w:val="2"/>
                      <w:sz w:val="21"/>
                      <w:szCs w:val="21"/>
                      <w:lang w:val="en-US" w:eastAsia="zh-CN"/>
                    </w:rPr>
                    <w:t>园区</w:t>
                  </w:r>
                  <w:r>
                    <w:rPr>
                      <w:snapToGrid w:val="0"/>
                      <w:kern w:val="2"/>
                      <w:sz w:val="21"/>
                      <w:szCs w:val="21"/>
                    </w:rPr>
                    <w:t>污水处理厂集中</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napToGrid w:val="0"/>
                      <w:kern w:val="2"/>
                      <w:sz w:val="21"/>
                      <w:szCs w:val="21"/>
                    </w:rPr>
                    <w:t>处理</w:t>
                  </w:r>
                </w:p>
              </w:tc>
              <w:tc>
                <w:tcPr>
                  <w:tcW w:w="45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rPr>
                  </w:pPr>
                  <w:r>
                    <w:rPr>
                      <w:rFonts w:hint="eastAsia"/>
                      <w:sz w:val="21"/>
                      <w:szCs w:val="21"/>
                    </w:rPr>
                    <w:t>pH</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napToGrid w:val="0"/>
                      <w:kern w:val="2"/>
                      <w:sz w:val="21"/>
                      <w:szCs w:val="21"/>
                      <w:lang w:val="en-US" w:eastAsia="zh-CN"/>
                    </w:rPr>
                  </w:pPr>
                  <w:r>
                    <w:rPr>
                      <w:rFonts w:hint="eastAsia"/>
                      <w:sz w:val="21"/>
                      <w:szCs w:val="21"/>
                    </w:rPr>
                    <w:t>6-9</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rPr>
                    <w:t>--</w:t>
                  </w: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rFonts w:hint="eastAsia"/>
                      <w:sz w:val="21"/>
                      <w:szCs w:val="21"/>
                    </w:rPr>
                    <w:t>6-9</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3"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default" w:ascii="Times New Roman" w:hAnsi="Times New Roman" w:eastAsia="宋体" w:cs="Times New Roman"/>
                      <w:i w:val="0"/>
                      <w:iCs w:val="0"/>
                      <w:color w:val="auto"/>
                      <w:kern w:val="0"/>
                      <w:sz w:val="21"/>
                      <w:szCs w:val="21"/>
                      <w:u w:val="none"/>
                      <w:lang w:val="en-US" w:eastAsia="zh-CN" w:bidi="ar"/>
                    </w:rPr>
                    <w:t>COD</w:t>
                  </w:r>
                  <w:r>
                    <w:rPr>
                      <w:rFonts w:hint="default" w:ascii="Times New Roman" w:hAnsi="Times New Roman" w:eastAsia="宋体" w:cs="Times New Roman"/>
                      <w:i w:val="0"/>
                      <w:iCs w:val="0"/>
                      <w:color w:val="auto"/>
                      <w:kern w:val="0"/>
                      <w:sz w:val="21"/>
                      <w:szCs w:val="21"/>
                      <w:u w:val="none"/>
                      <w:vertAlign w:val="subscript"/>
                      <w:lang w:val="en-US" w:eastAsia="zh-CN" w:bidi="ar"/>
                    </w:rPr>
                    <w:t>Cr</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60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 xml:space="preserve">4.91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c>
                <w:tcPr>
                  <w:tcW w:w="45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z w:val="21"/>
                      <w:szCs w:val="21"/>
                    </w:rPr>
                  </w:pPr>
                  <w:r>
                    <w:rPr>
                      <w:rFonts w:hint="default" w:ascii="Times New Roman" w:hAnsi="Times New Roman" w:eastAsia="宋体" w:cs="Times New Roman"/>
                      <w:i w:val="0"/>
                      <w:iCs w:val="0"/>
                      <w:color w:val="auto"/>
                      <w:kern w:val="0"/>
                      <w:sz w:val="21"/>
                      <w:szCs w:val="21"/>
                      <w:u w:val="none"/>
                      <w:lang w:val="en-US" w:eastAsia="zh-CN" w:bidi="ar"/>
                    </w:rPr>
                    <w:t>COD</w:t>
                  </w:r>
                  <w:r>
                    <w:rPr>
                      <w:rFonts w:hint="default" w:ascii="Times New Roman" w:hAnsi="Times New Roman" w:eastAsia="宋体" w:cs="Times New Roman"/>
                      <w:i w:val="0"/>
                      <w:iCs w:val="0"/>
                      <w:color w:val="auto"/>
                      <w:kern w:val="0"/>
                      <w:sz w:val="21"/>
                      <w:szCs w:val="21"/>
                      <w:u w:val="none"/>
                      <w:vertAlign w:val="subscript"/>
                      <w:lang w:val="en-US" w:eastAsia="zh-CN" w:bidi="ar"/>
                    </w:rPr>
                    <w:t>Cr</w:t>
                  </w:r>
                </w:p>
              </w:tc>
              <w:tc>
                <w:tcPr>
                  <w:tcW w:w="60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napToGrid w:val="0"/>
                      <w:kern w:val="2"/>
                      <w:sz w:val="21"/>
                      <w:szCs w:val="21"/>
                      <w:lang w:val="en-US" w:eastAsia="zh-CN"/>
                    </w:rPr>
                  </w:pPr>
                  <w:r>
                    <w:rPr>
                      <w:rFonts w:hint="eastAsia"/>
                      <w:sz w:val="21"/>
                      <w:szCs w:val="21"/>
                      <w:lang w:val="en-US" w:eastAsia="zh-CN"/>
                    </w:rPr>
                    <w:t>250</w:t>
                  </w:r>
                </w:p>
              </w:tc>
              <w:tc>
                <w:tcPr>
                  <w:tcW w:w="1357" w:type="dxa"/>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0.62 </w:t>
                  </w: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rFonts w:hint="eastAsia"/>
                      <w:sz w:val="21"/>
                      <w:szCs w:val="21"/>
                      <w:lang w:val="en-US" w:eastAsia="zh-CN"/>
                    </w:rPr>
                    <w:t>50</w:t>
                  </w:r>
                </w:p>
              </w:tc>
              <w:tc>
                <w:tcPr>
                  <w:tcW w:w="10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0.123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BOD</w:t>
                  </w:r>
                  <w:r>
                    <w:rPr>
                      <w:sz w:val="21"/>
                      <w:szCs w:val="21"/>
                      <w:vertAlign w:val="subscript"/>
                    </w:rPr>
                    <w:t>5</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40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 xml:space="preserve">3.27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c>
                <w:tcPr>
                  <w:tcW w:w="45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z w:val="21"/>
                      <w:szCs w:val="21"/>
                    </w:rPr>
                  </w:pPr>
                  <w:r>
                    <w:rPr>
                      <w:rFonts w:hint="eastAsia"/>
                      <w:sz w:val="21"/>
                      <w:szCs w:val="21"/>
                    </w:rPr>
                    <w:t>BOD</w:t>
                  </w:r>
                  <w:r>
                    <w:rPr>
                      <w:rFonts w:hint="eastAsia"/>
                      <w:sz w:val="21"/>
                      <w:szCs w:val="21"/>
                      <w:vertAlign w:val="subscript"/>
                    </w:rPr>
                    <w:t>5</w:t>
                  </w:r>
                </w:p>
              </w:tc>
              <w:tc>
                <w:tcPr>
                  <w:tcW w:w="60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napToGrid w:val="0"/>
                      <w:kern w:val="2"/>
                      <w:sz w:val="21"/>
                      <w:szCs w:val="21"/>
                      <w:lang w:val="en-US" w:eastAsia="zh-CN"/>
                    </w:rPr>
                  </w:pPr>
                  <w:r>
                    <w:rPr>
                      <w:rFonts w:hint="eastAsia"/>
                      <w:sz w:val="21"/>
                      <w:szCs w:val="21"/>
                      <w:lang w:val="en-US" w:eastAsia="zh-CN"/>
                    </w:rPr>
                    <w:t>150</w:t>
                  </w:r>
                </w:p>
              </w:tc>
              <w:tc>
                <w:tcPr>
                  <w:tcW w:w="1357" w:type="dxa"/>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0.37 </w:t>
                  </w: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rFonts w:hint="eastAsia"/>
                      <w:sz w:val="21"/>
                      <w:szCs w:val="21"/>
                      <w:lang w:val="en-US" w:eastAsia="zh-CN"/>
                    </w:rPr>
                    <w:t>10</w:t>
                  </w:r>
                </w:p>
              </w:tc>
              <w:tc>
                <w:tcPr>
                  <w:tcW w:w="10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0.025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SS</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100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 xml:space="preserve">8.18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c>
                <w:tcPr>
                  <w:tcW w:w="45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z w:val="21"/>
                      <w:szCs w:val="21"/>
                    </w:rPr>
                  </w:pPr>
                  <w:r>
                    <w:rPr>
                      <w:rFonts w:hint="eastAsia"/>
                      <w:sz w:val="21"/>
                      <w:szCs w:val="21"/>
                    </w:rPr>
                    <w:t>SS</w:t>
                  </w:r>
                </w:p>
              </w:tc>
              <w:tc>
                <w:tcPr>
                  <w:tcW w:w="60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napToGrid w:val="0"/>
                      <w:kern w:val="2"/>
                      <w:sz w:val="21"/>
                      <w:szCs w:val="21"/>
                      <w:lang w:val="en-US" w:eastAsia="zh-CN"/>
                    </w:rPr>
                  </w:pPr>
                  <w:r>
                    <w:rPr>
                      <w:rFonts w:hint="eastAsia"/>
                      <w:sz w:val="21"/>
                      <w:szCs w:val="21"/>
                      <w:lang w:val="en-US" w:eastAsia="zh-CN"/>
                    </w:rPr>
                    <w:t>200</w:t>
                  </w:r>
                </w:p>
              </w:tc>
              <w:tc>
                <w:tcPr>
                  <w:tcW w:w="1357" w:type="dxa"/>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0.49 </w:t>
                  </w: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rFonts w:hint="eastAsia"/>
                      <w:sz w:val="21"/>
                      <w:szCs w:val="21"/>
                      <w:lang w:val="en-US" w:eastAsia="zh-CN"/>
                    </w:rPr>
                    <w:t>10</w:t>
                  </w:r>
                </w:p>
              </w:tc>
              <w:tc>
                <w:tcPr>
                  <w:tcW w:w="10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0.025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NH</w:t>
                  </w:r>
                  <w:r>
                    <w:rPr>
                      <w:rFonts w:hint="eastAsia"/>
                      <w:sz w:val="21"/>
                      <w:szCs w:val="21"/>
                      <w:vertAlign w:val="subscript"/>
                    </w:rPr>
                    <w:t>3</w:t>
                  </w:r>
                  <w:r>
                    <w:rPr>
                      <w:rFonts w:hint="eastAsia"/>
                      <w:sz w:val="21"/>
                      <w:szCs w:val="21"/>
                    </w:rPr>
                    <w:t>-N</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10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 xml:space="preserve">0.82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c>
                <w:tcPr>
                  <w:tcW w:w="45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z w:val="21"/>
                      <w:szCs w:val="21"/>
                    </w:rPr>
                  </w:pPr>
                  <w:r>
                    <w:rPr>
                      <w:rFonts w:hint="eastAsia"/>
                      <w:sz w:val="21"/>
                      <w:szCs w:val="21"/>
                    </w:rPr>
                    <w:t>NH</w:t>
                  </w:r>
                  <w:r>
                    <w:rPr>
                      <w:rFonts w:hint="eastAsia"/>
                      <w:sz w:val="21"/>
                      <w:szCs w:val="21"/>
                      <w:vertAlign w:val="subscript"/>
                    </w:rPr>
                    <w:t>3</w:t>
                  </w:r>
                  <w:r>
                    <w:rPr>
                      <w:rFonts w:hint="eastAsia"/>
                      <w:sz w:val="21"/>
                      <w:szCs w:val="21"/>
                    </w:rPr>
                    <w:t>-N</w:t>
                  </w:r>
                </w:p>
              </w:tc>
              <w:tc>
                <w:tcPr>
                  <w:tcW w:w="60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napToGrid w:val="0"/>
                      <w:kern w:val="2"/>
                      <w:sz w:val="21"/>
                      <w:szCs w:val="21"/>
                      <w:lang w:val="en-US" w:eastAsia="zh-CN"/>
                    </w:rPr>
                  </w:pPr>
                  <w:r>
                    <w:rPr>
                      <w:rFonts w:hint="eastAsia"/>
                      <w:sz w:val="21"/>
                      <w:szCs w:val="21"/>
                      <w:lang w:val="en-US" w:eastAsia="zh-CN"/>
                    </w:rPr>
                    <w:t>35</w:t>
                  </w:r>
                </w:p>
              </w:tc>
              <w:tc>
                <w:tcPr>
                  <w:tcW w:w="1357" w:type="dxa"/>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0.09 </w:t>
                  </w: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rFonts w:hint="eastAsia"/>
                      <w:sz w:val="21"/>
                      <w:szCs w:val="21"/>
                      <w:lang w:val="en-US" w:eastAsia="zh-CN"/>
                    </w:rPr>
                    <w:t>5</w:t>
                  </w:r>
                </w:p>
              </w:tc>
              <w:tc>
                <w:tcPr>
                  <w:tcW w:w="10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0.012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2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软化纯净水生产废水</w:t>
                  </w: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snapToGrid w:val="0"/>
                      <w:kern w:val="2"/>
                      <w:sz w:val="21"/>
                      <w:szCs w:val="21"/>
                    </w:rPr>
                    <w:t>pH</w:t>
                  </w:r>
                </w:p>
              </w:tc>
              <w:tc>
                <w:tcPr>
                  <w:tcW w:w="2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275.00</w:t>
                  </w:r>
                </w:p>
              </w:tc>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82500</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rPr>
                    <w:t>6-9</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rPr>
                    <w:t>--</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sz w:val="21"/>
                      <w:szCs w:val="21"/>
                    </w:rPr>
                    <w:t>动植物油</w:t>
                  </w:r>
                </w:p>
              </w:tc>
              <w:tc>
                <w:tcPr>
                  <w:tcW w:w="60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napToGrid w:val="0"/>
                      <w:kern w:val="2"/>
                      <w:sz w:val="21"/>
                      <w:szCs w:val="21"/>
                    </w:rPr>
                  </w:pPr>
                  <w:r>
                    <w:rPr>
                      <w:rFonts w:hint="eastAsia"/>
                      <w:sz w:val="21"/>
                      <w:szCs w:val="21"/>
                      <w:lang w:val="en-US" w:eastAsia="zh-CN"/>
                    </w:rPr>
                    <w:t>100</w:t>
                  </w:r>
                </w:p>
              </w:tc>
              <w:tc>
                <w:tcPr>
                  <w:tcW w:w="1357" w:type="dxa"/>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0.25 </w:t>
                  </w: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rFonts w:hint="eastAsia"/>
                      <w:sz w:val="21"/>
                      <w:szCs w:val="21"/>
                      <w:lang w:val="en-US" w:eastAsia="zh-CN"/>
                    </w:rPr>
                    <w:t>1.0</w:t>
                  </w:r>
                </w:p>
              </w:tc>
              <w:tc>
                <w:tcPr>
                  <w:tcW w:w="10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0.002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4"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rFonts w:hint="default" w:ascii="Times New Roman" w:hAnsi="Times New Roman" w:eastAsia="宋体" w:cs="Times New Roman"/>
                      <w:i w:val="0"/>
                      <w:iCs w:val="0"/>
                      <w:color w:val="auto"/>
                      <w:kern w:val="0"/>
                      <w:sz w:val="21"/>
                      <w:szCs w:val="21"/>
                      <w:u w:val="none"/>
                      <w:lang w:val="en-US" w:eastAsia="zh-CN" w:bidi="ar"/>
                    </w:rPr>
                    <w:t>COD</w:t>
                  </w:r>
                  <w:r>
                    <w:rPr>
                      <w:rFonts w:hint="default" w:ascii="Times New Roman" w:hAnsi="Times New Roman" w:eastAsia="宋体" w:cs="Times New Roman"/>
                      <w:i w:val="0"/>
                      <w:iCs w:val="0"/>
                      <w:color w:val="auto"/>
                      <w:kern w:val="0"/>
                      <w:sz w:val="21"/>
                      <w:szCs w:val="21"/>
                      <w:u w:val="none"/>
                      <w:vertAlign w:val="subscript"/>
                      <w:lang w:val="en-US" w:eastAsia="zh-CN" w:bidi="ar"/>
                    </w:rPr>
                    <w:t>Cr</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napToGrid w:val="0"/>
                      <w:kern w:val="2"/>
                      <w:sz w:val="21"/>
                      <w:szCs w:val="21"/>
                      <w:lang w:val="en-US" w:eastAsia="zh-CN"/>
                    </w:rPr>
                    <w:t>60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ascii="Times New Roman" w:hAnsi="Times New Roman" w:eastAsia="宋体" w:cs="Times New Roman"/>
                      <w:snapToGrid w:val="0"/>
                      <w:kern w:val="2"/>
                      <w:sz w:val="21"/>
                      <w:szCs w:val="21"/>
                      <w:lang w:val="en-US" w:eastAsia="zh-CN"/>
                    </w:rPr>
                    <w:t xml:space="preserve">4.95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sz w:val="21"/>
                      <w:szCs w:val="21"/>
                    </w:rPr>
                    <w:t>TP</w:t>
                  </w:r>
                </w:p>
              </w:tc>
              <w:tc>
                <w:tcPr>
                  <w:tcW w:w="60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napToGrid w:val="0"/>
                      <w:kern w:val="2"/>
                      <w:sz w:val="21"/>
                      <w:szCs w:val="21"/>
                      <w:lang w:val="en-US" w:eastAsia="zh-CN"/>
                    </w:rPr>
                  </w:pPr>
                  <w:r>
                    <w:rPr>
                      <w:rFonts w:hint="eastAsia"/>
                      <w:sz w:val="21"/>
                      <w:szCs w:val="21"/>
                      <w:lang w:val="en-US" w:eastAsia="zh-CN"/>
                    </w:rPr>
                    <w:t>8</w:t>
                  </w:r>
                </w:p>
              </w:tc>
              <w:tc>
                <w:tcPr>
                  <w:tcW w:w="1357" w:type="dxa"/>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0.02 </w:t>
                  </w: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rFonts w:hint="eastAsia"/>
                      <w:sz w:val="21"/>
                      <w:szCs w:val="21"/>
                      <w:lang w:val="en-US" w:eastAsia="zh-CN"/>
                    </w:rPr>
                    <w:t>0.5</w:t>
                  </w:r>
                </w:p>
              </w:tc>
              <w:tc>
                <w:tcPr>
                  <w:tcW w:w="10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0.001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9"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sz w:val="21"/>
                      <w:szCs w:val="21"/>
                    </w:rPr>
                    <w:t>BOD</w:t>
                  </w:r>
                  <w:r>
                    <w:rPr>
                      <w:sz w:val="21"/>
                      <w:szCs w:val="21"/>
                      <w:vertAlign w:val="subscript"/>
                    </w:rPr>
                    <w:t>5</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napToGrid w:val="0"/>
                      <w:kern w:val="2"/>
                      <w:sz w:val="21"/>
                      <w:szCs w:val="21"/>
                      <w:lang w:val="en-US" w:eastAsia="zh-CN"/>
                    </w:rPr>
                    <w:t>40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ascii="Times New Roman" w:hAnsi="Times New Roman" w:eastAsia="宋体" w:cs="Times New Roman"/>
                      <w:snapToGrid w:val="0"/>
                      <w:kern w:val="2"/>
                      <w:sz w:val="21"/>
                      <w:szCs w:val="21"/>
                      <w:lang w:val="en-US" w:eastAsia="zh-CN"/>
                    </w:rPr>
                    <w:t xml:space="preserve">3.30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rFonts w:hint="eastAsia"/>
                      <w:sz w:val="21"/>
                      <w:szCs w:val="21"/>
                    </w:rPr>
                    <w:t>TN</w:t>
                  </w:r>
                </w:p>
              </w:tc>
              <w:tc>
                <w:tcPr>
                  <w:tcW w:w="603" w:type="pct"/>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napToGrid w:val="0"/>
                      <w:kern w:val="2"/>
                      <w:sz w:val="21"/>
                      <w:szCs w:val="21"/>
                      <w:lang w:val="en-US" w:eastAsia="zh-CN"/>
                    </w:rPr>
                  </w:pPr>
                  <w:r>
                    <w:rPr>
                      <w:rFonts w:hint="eastAsia"/>
                      <w:sz w:val="21"/>
                      <w:szCs w:val="21"/>
                      <w:lang w:val="en-US" w:eastAsia="zh-CN"/>
                    </w:rPr>
                    <w:t>70</w:t>
                  </w:r>
                </w:p>
              </w:tc>
              <w:tc>
                <w:tcPr>
                  <w:tcW w:w="1357" w:type="dxa"/>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0.17 </w:t>
                  </w:r>
                </w:p>
              </w:tc>
              <w:tc>
                <w:tcPr>
                  <w:tcW w:w="5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snapToGrid w:val="0"/>
                      <w:kern w:val="2"/>
                      <w:sz w:val="21"/>
                      <w:szCs w:val="21"/>
                    </w:rPr>
                  </w:pPr>
                  <w:r>
                    <w:rPr>
                      <w:rFonts w:hint="eastAsia"/>
                      <w:sz w:val="21"/>
                      <w:szCs w:val="21"/>
                      <w:lang w:val="en-US" w:eastAsia="zh-CN"/>
                    </w:rPr>
                    <w:t>15</w:t>
                  </w:r>
                </w:p>
              </w:tc>
              <w:tc>
                <w:tcPr>
                  <w:tcW w:w="10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eastAsia"/>
                      <w:sz w:val="21"/>
                      <w:szCs w:val="21"/>
                      <w:lang w:val="en-US" w:eastAsia="zh-CN"/>
                    </w:rPr>
                  </w:pPr>
                  <w:r>
                    <w:rPr>
                      <w:rFonts w:hint="eastAsia"/>
                      <w:sz w:val="21"/>
                      <w:szCs w:val="21"/>
                      <w:lang w:val="en-US" w:eastAsia="zh-CN"/>
                    </w:rPr>
                    <w:t xml:space="preserve">0.037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SS</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100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ascii="Times New Roman" w:hAnsi="Times New Roman" w:eastAsia="宋体" w:cs="Times New Roman"/>
                      <w:snapToGrid w:val="0"/>
                      <w:kern w:val="2"/>
                      <w:sz w:val="21"/>
                      <w:szCs w:val="21"/>
                      <w:lang w:val="en-US" w:eastAsia="zh-CN"/>
                    </w:rPr>
                    <w:t xml:space="preserve">8.25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napToGrid w:val="0"/>
                      <w:kern w:val="2"/>
                      <w:sz w:val="21"/>
                      <w:szCs w:val="21"/>
                      <w:lang w:val="en-US" w:eastAsia="zh-CN"/>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NH</w:t>
                  </w:r>
                  <w:r>
                    <w:rPr>
                      <w:rFonts w:hint="eastAsia"/>
                      <w:sz w:val="21"/>
                      <w:szCs w:val="21"/>
                      <w:vertAlign w:val="subscript"/>
                    </w:rPr>
                    <w:t>3</w:t>
                  </w:r>
                  <w:r>
                    <w:rPr>
                      <w:rFonts w:hint="eastAsia"/>
                      <w:sz w:val="21"/>
                      <w:szCs w:val="21"/>
                    </w:rPr>
                    <w:t>-N</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10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ascii="Times New Roman" w:hAnsi="Times New Roman" w:eastAsia="宋体" w:cs="Times New Roman"/>
                      <w:snapToGrid w:val="0"/>
                      <w:kern w:val="2"/>
                      <w:sz w:val="21"/>
                      <w:szCs w:val="21"/>
                      <w:lang w:val="en-US" w:eastAsia="zh-CN"/>
                    </w:rPr>
                    <w:t xml:space="preserve">0.83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水处理工艺系统反冲洗废水</w:t>
                  </w: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snapToGrid w:val="0"/>
                      <w:kern w:val="2"/>
                      <w:sz w:val="21"/>
                      <w:szCs w:val="21"/>
                    </w:rPr>
                    <w:t>pH</w:t>
                  </w:r>
                </w:p>
              </w:tc>
              <w:tc>
                <w:tcPr>
                  <w:tcW w:w="2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24.0</w:t>
                  </w:r>
                </w:p>
              </w:tc>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7200</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napToGrid w:val="0"/>
                      <w:kern w:val="2"/>
                      <w:sz w:val="21"/>
                      <w:szCs w:val="21"/>
                    </w:rPr>
                    <w:t>6-9</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rFonts w:hint="default" w:ascii="Times New Roman" w:hAnsi="Times New Roman" w:eastAsia="宋体" w:cs="Times New Roman"/>
                      <w:i w:val="0"/>
                      <w:iCs w:val="0"/>
                      <w:color w:val="auto"/>
                      <w:kern w:val="0"/>
                      <w:sz w:val="21"/>
                      <w:szCs w:val="21"/>
                      <w:u w:val="none"/>
                      <w:lang w:val="en-US" w:eastAsia="zh-CN" w:bidi="ar"/>
                    </w:rPr>
                    <w:t>COD</w:t>
                  </w:r>
                  <w:r>
                    <w:rPr>
                      <w:rFonts w:hint="default" w:ascii="Times New Roman" w:hAnsi="Times New Roman" w:eastAsia="宋体" w:cs="Times New Roman"/>
                      <w:i w:val="0"/>
                      <w:iCs w:val="0"/>
                      <w:color w:val="auto"/>
                      <w:kern w:val="0"/>
                      <w:sz w:val="21"/>
                      <w:szCs w:val="21"/>
                      <w:u w:val="none"/>
                      <w:vertAlign w:val="subscript"/>
                      <w:lang w:val="en-US" w:eastAsia="zh-CN" w:bidi="ar"/>
                    </w:rPr>
                    <w:t>Cr</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napToGrid w:val="0"/>
                      <w:kern w:val="2"/>
                      <w:sz w:val="21"/>
                      <w:szCs w:val="21"/>
                      <w:lang w:val="en-US" w:eastAsia="zh-CN"/>
                    </w:rPr>
                    <w:t>60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ascii="Times New Roman" w:hAnsi="Times New Roman" w:eastAsia="宋体" w:cs="Times New Roman"/>
                      <w:snapToGrid w:val="0"/>
                      <w:kern w:val="2"/>
                      <w:sz w:val="21"/>
                      <w:szCs w:val="21"/>
                      <w:lang w:val="en-US" w:eastAsia="zh-CN"/>
                    </w:rPr>
                    <w:t xml:space="preserve">0.43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sz w:val="21"/>
                      <w:szCs w:val="21"/>
                    </w:rPr>
                    <w:t>BOD</w:t>
                  </w:r>
                  <w:r>
                    <w:rPr>
                      <w:sz w:val="21"/>
                      <w:szCs w:val="21"/>
                      <w:vertAlign w:val="subscript"/>
                    </w:rPr>
                    <w:t>5</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napToGrid w:val="0"/>
                      <w:kern w:val="2"/>
                      <w:sz w:val="21"/>
                      <w:szCs w:val="21"/>
                      <w:lang w:val="en-US" w:eastAsia="zh-CN"/>
                    </w:rPr>
                    <w:t>40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ascii="Times New Roman" w:hAnsi="Times New Roman" w:eastAsia="宋体" w:cs="Times New Roman"/>
                      <w:snapToGrid w:val="0"/>
                      <w:kern w:val="2"/>
                      <w:sz w:val="21"/>
                      <w:szCs w:val="21"/>
                      <w:lang w:val="en-US" w:eastAsia="zh-CN"/>
                    </w:rPr>
                    <w:t xml:space="preserve">0.29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sz w:val="21"/>
                      <w:szCs w:val="21"/>
                    </w:rPr>
                    <w:t>SS</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napToGrid w:val="0"/>
                      <w:kern w:val="2"/>
                      <w:sz w:val="21"/>
                      <w:szCs w:val="21"/>
                      <w:lang w:val="en-US" w:eastAsia="zh-CN"/>
                    </w:rPr>
                    <w:t>100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ascii="Times New Roman" w:hAnsi="Times New Roman" w:eastAsia="宋体" w:cs="Times New Roman"/>
                      <w:snapToGrid w:val="0"/>
                      <w:kern w:val="2"/>
                      <w:sz w:val="21"/>
                      <w:szCs w:val="21"/>
                      <w:lang w:val="en-US" w:eastAsia="zh-CN"/>
                    </w:rPr>
                    <w:t xml:space="preserve">0.72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sz w:val="21"/>
                      <w:szCs w:val="21"/>
                    </w:rPr>
                    <w:t>NH</w:t>
                  </w:r>
                  <w:r>
                    <w:rPr>
                      <w:rFonts w:hint="eastAsia"/>
                      <w:sz w:val="21"/>
                      <w:szCs w:val="21"/>
                      <w:vertAlign w:val="subscript"/>
                    </w:rPr>
                    <w:t>3</w:t>
                  </w:r>
                  <w:r>
                    <w:rPr>
                      <w:rFonts w:hint="eastAsia"/>
                      <w:sz w:val="21"/>
                      <w:szCs w:val="21"/>
                    </w:rPr>
                    <w:t>-N</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napToGrid w:val="0"/>
                      <w:kern w:val="2"/>
                      <w:sz w:val="21"/>
                      <w:szCs w:val="21"/>
                      <w:lang w:val="en-US" w:eastAsia="zh-CN"/>
                    </w:rPr>
                    <w:t>10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ascii="Times New Roman" w:hAnsi="Times New Roman" w:eastAsia="宋体" w:cs="Times New Roman"/>
                      <w:snapToGrid w:val="0"/>
                      <w:kern w:val="2"/>
                      <w:sz w:val="21"/>
                      <w:szCs w:val="21"/>
                      <w:lang w:val="en-US" w:eastAsia="zh-CN"/>
                    </w:rPr>
                    <w:t xml:space="preserve">0.07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2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设备清洗废水</w:t>
                  </w: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napToGrid w:val="0"/>
                      <w:kern w:val="2"/>
                      <w:sz w:val="21"/>
                      <w:szCs w:val="21"/>
                    </w:rPr>
                    <w:t>pH</w:t>
                  </w:r>
                </w:p>
              </w:tc>
              <w:tc>
                <w:tcPr>
                  <w:tcW w:w="2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7.14</w:t>
                  </w:r>
                </w:p>
              </w:tc>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2142</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rPr>
                    <w:t>6-9</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sz w:val="21"/>
                      <w:szCs w:val="21"/>
                    </w:rPr>
                    <w:t>--</w:t>
                  </w:r>
                  <w:r>
                    <w:rPr>
                      <w:rFonts w:hint="eastAsia" w:ascii="Times New Roman" w:hAnsi="Times New Roman" w:eastAsia="宋体" w:cs="Times New Roman"/>
                      <w:snapToGrid w:val="0"/>
                      <w:kern w:val="2"/>
                      <w:sz w:val="21"/>
                      <w:szCs w:val="21"/>
                      <w:lang w:val="en-US" w:eastAsia="zh-CN"/>
                    </w:rPr>
                    <w:t xml:space="preserve">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SS</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100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ascii="Times New Roman" w:hAnsi="Times New Roman" w:eastAsia="宋体" w:cs="Times New Roman"/>
                      <w:snapToGrid w:val="0"/>
                      <w:kern w:val="2"/>
                      <w:sz w:val="21"/>
                      <w:szCs w:val="21"/>
                      <w:lang w:val="en-US" w:eastAsia="zh-CN"/>
                    </w:rPr>
                    <w:t>0.</w:t>
                  </w:r>
                  <w:r>
                    <w:rPr>
                      <w:rFonts w:hint="eastAsia" w:cs="Times New Roman"/>
                      <w:snapToGrid w:val="0"/>
                      <w:kern w:val="2"/>
                      <w:sz w:val="21"/>
                      <w:szCs w:val="21"/>
                      <w:lang w:val="en-US" w:eastAsia="zh-CN"/>
                    </w:rPr>
                    <w:t>21</w:t>
                  </w:r>
                  <w:r>
                    <w:rPr>
                      <w:rFonts w:hint="eastAsia" w:ascii="Times New Roman" w:hAnsi="Times New Roman" w:eastAsia="宋体" w:cs="Times New Roman"/>
                      <w:snapToGrid w:val="0"/>
                      <w:kern w:val="2"/>
                      <w:sz w:val="21"/>
                      <w:szCs w:val="21"/>
                      <w:lang w:val="en-US" w:eastAsia="zh-CN"/>
                    </w:rPr>
                    <w:t xml:space="preserve">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TN</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20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kern w:val="2"/>
                      <w:sz w:val="21"/>
                      <w:szCs w:val="21"/>
                      <w:lang w:val="en-US" w:eastAsia="zh-CN"/>
                    </w:rPr>
                  </w:pPr>
                  <w:r>
                    <w:rPr>
                      <w:rFonts w:hint="eastAsia" w:ascii="Times New Roman" w:hAnsi="Times New Roman" w:eastAsia="宋体" w:cs="Times New Roman"/>
                      <w:snapToGrid w:val="0"/>
                      <w:kern w:val="2"/>
                      <w:sz w:val="21"/>
                      <w:szCs w:val="21"/>
                      <w:lang w:val="en-US" w:eastAsia="zh-CN"/>
                    </w:rPr>
                    <w:t>0.0</w:t>
                  </w:r>
                  <w:r>
                    <w:rPr>
                      <w:rFonts w:hint="eastAsia" w:cs="Times New Roman"/>
                      <w:snapToGrid w:val="0"/>
                      <w:kern w:val="2"/>
                      <w:sz w:val="21"/>
                      <w:szCs w:val="21"/>
                      <w:lang w:val="en-US" w:eastAsia="zh-CN"/>
                    </w:rPr>
                    <w:t>4</w:t>
                  </w:r>
                  <w:r>
                    <w:rPr>
                      <w:rFonts w:hint="eastAsia" w:ascii="Times New Roman" w:hAnsi="Times New Roman" w:eastAsia="宋体" w:cs="Times New Roman"/>
                      <w:snapToGrid w:val="0"/>
                      <w:kern w:val="2"/>
                      <w:sz w:val="21"/>
                      <w:szCs w:val="21"/>
                      <w:lang w:val="en-US" w:eastAsia="zh-CN"/>
                    </w:rPr>
                    <w:t xml:space="preserve">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循环冷却水排水</w:t>
                  </w: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rFonts w:hAnsi="宋体"/>
                      <w:sz w:val="21"/>
                      <w:szCs w:val="21"/>
                    </w:rPr>
                    <w:t>pH</w:t>
                  </w:r>
                </w:p>
              </w:tc>
              <w:tc>
                <w:tcPr>
                  <w:tcW w:w="2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both"/>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4.0</w:t>
                  </w:r>
                </w:p>
              </w:tc>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1200</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6-9</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rFonts w:hint="default" w:ascii="Times New Roman" w:hAnsi="Times New Roman" w:eastAsia="宋体" w:cs="Times New Roman"/>
                      <w:i w:val="0"/>
                      <w:iCs w:val="0"/>
                      <w:color w:val="auto"/>
                      <w:kern w:val="0"/>
                      <w:sz w:val="21"/>
                      <w:szCs w:val="21"/>
                      <w:u w:val="none"/>
                      <w:lang w:val="en-US" w:eastAsia="zh-CN" w:bidi="ar"/>
                    </w:rPr>
                    <w:t>COD</w:t>
                  </w:r>
                  <w:r>
                    <w:rPr>
                      <w:rFonts w:hint="default" w:ascii="Times New Roman" w:hAnsi="Times New Roman" w:eastAsia="宋体" w:cs="Times New Roman"/>
                      <w:i w:val="0"/>
                      <w:iCs w:val="0"/>
                      <w:color w:val="auto"/>
                      <w:kern w:val="0"/>
                      <w:sz w:val="21"/>
                      <w:szCs w:val="21"/>
                      <w:u w:val="none"/>
                      <w:vertAlign w:val="subscript"/>
                      <w:lang w:val="en-US" w:eastAsia="zh-CN" w:bidi="ar"/>
                    </w:rPr>
                    <w:t>Cr</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6</w:t>
                  </w:r>
                  <w:r>
                    <w:rPr>
                      <w:rFonts w:hint="eastAsia"/>
                      <w:sz w:val="21"/>
                      <w:szCs w:val="21"/>
                    </w:rPr>
                    <w:t>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0.</w:t>
                  </w:r>
                  <w:r>
                    <w:rPr>
                      <w:rFonts w:hint="eastAsia" w:cs="Times New Roman"/>
                      <w:sz w:val="21"/>
                      <w:szCs w:val="21"/>
                      <w:lang w:val="en-US" w:eastAsia="zh-CN"/>
                    </w:rPr>
                    <w:t>06</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15"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sz w:val="21"/>
                      <w:szCs w:val="21"/>
                    </w:rPr>
                  </w:pPr>
                  <w:r>
                    <w:rPr>
                      <w:rFonts w:hAnsi="宋体"/>
                      <w:sz w:val="21"/>
                      <w:szCs w:val="21"/>
                    </w:rPr>
                    <w:t>BOD</w:t>
                  </w:r>
                  <w:r>
                    <w:rPr>
                      <w:rFonts w:hint="eastAsia" w:hAnsi="宋体"/>
                      <w:sz w:val="21"/>
                      <w:szCs w:val="21"/>
                      <w:vertAlign w:val="subscript"/>
                    </w:rPr>
                    <w:t>5</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30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0.</w:t>
                  </w:r>
                  <w:r>
                    <w:rPr>
                      <w:rFonts w:hint="eastAsia" w:cs="Times New Roman"/>
                      <w:sz w:val="21"/>
                      <w:szCs w:val="21"/>
                      <w:lang w:val="en-US" w:eastAsia="zh-CN"/>
                    </w:rPr>
                    <w:t>03</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snapToGrid w:val="0"/>
                      <w:kern w:val="2"/>
                      <w:sz w:val="21"/>
                      <w:szCs w:val="21"/>
                      <w:lang w:val="en-US" w:eastAsia="zh-CN"/>
                    </w:rPr>
                  </w:pPr>
                  <w:r>
                    <w:rPr>
                      <w:rFonts w:hint="eastAsia" w:hAnsi="宋体"/>
                      <w:snapToGrid w:val="0"/>
                      <w:kern w:val="2"/>
                      <w:sz w:val="21"/>
                      <w:szCs w:val="21"/>
                      <w:lang w:val="en-US" w:eastAsia="zh-CN"/>
                    </w:rPr>
                    <w:t>食堂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Ansi="宋体"/>
                      <w:snapToGrid w:val="0"/>
                      <w:kern w:val="2"/>
                      <w:sz w:val="21"/>
                      <w:szCs w:val="21"/>
                    </w:rPr>
                    <w:t>废水</w:t>
                  </w: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snapToGrid w:val="0"/>
                      <w:kern w:val="2"/>
                      <w:sz w:val="21"/>
                      <w:szCs w:val="21"/>
                    </w:rPr>
                    <w:t>pH</w:t>
                  </w:r>
                </w:p>
              </w:tc>
              <w:tc>
                <w:tcPr>
                  <w:tcW w:w="2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0.43</w:t>
                  </w:r>
                </w:p>
              </w:tc>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129.60</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rPr>
                    <w:t>6-9</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snapToGrid w:val="0"/>
                      <w:kern w:val="2"/>
                      <w:sz w:val="21"/>
                      <w:szCs w:val="21"/>
                    </w:rPr>
                    <w:t>--</w:t>
                  </w:r>
                </w:p>
              </w:tc>
              <w:tc>
                <w:tcPr>
                  <w:tcW w:w="5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snapToGrid w:val="0"/>
                      <w:kern w:val="2"/>
                      <w:sz w:val="21"/>
                      <w:szCs w:val="21"/>
                    </w:rPr>
                    <w:t>经</w:t>
                  </w:r>
                  <w:r>
                    <w:rPr>
                      <w:rFonts w:hint="eastAsia"/>
                      <w:snapToGrid w:val="0"/>
                      <w:kern w:val="2"/>
                      <w:sz w:val="21"/>
                      <w:szCs w:val="21"/>
                      <w:lang w:val="en-US" w:eastAsia="zh-CN"/>
                    </w:rPr>
                    <w:t>隔油</w:t>
                  </w:r>
                  <w:r>
                    <w:rPr>
                      <w:snapToGrid w:val="0"/>
                      <w:kern w:val="2"/>
                      <w:sz w:val="21"/>
                      <w:szCs w:val="21"/>
                    </w:rPr>
                    <w:t>池预处理后，通过厂区总排口进入</w:t>
                  </w:r>
                  <w:r>
                    <w:rPr>
                      <w:rFonts w:hint="eastAsia"/>
                      <w:snapToGrid w:val="0"/>
                      <w:kern w:val="2"/>
                      <w:sz w:val="21"/>
                      <w:szCs w:val="21"/>
                      <w:lang w:val="en-US" w:eastAsia="zh-CN"/>
                    </w:rPr>
                    <w:t>园区</w:t>
                  </w:r>
                  <w:r>
                    <w:rPr>
                      <w:snapToGrid w:val="0"/>
                      <w:kern w:val="2"/>
                      <w:sz w:val="21"/>
                      <w:szCs w:val="21"/>
                    </w:rPr>
                    <w:t>污水处理厂集中</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snapToGrid w:val="0"/>
                      <w:kern w:val="2"/>
                      <w:sz w:val="21"/>
                      <w:szCs w:val="21"/>
                    </w:rPr>
                    <w:t>处理</w:t>
                  </w: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kern w:val="2"/>
                      <w:sz w:val="21"/>
                      <w:szCs w:val="21"/>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4"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default" w:ascii="Times New Roman" w:hAnsi="Times New Roman" w:eastAsia="宋体" w:cs="Times New Roman"/>
                      <w:i w:val="0"/>
                      <w:iCs w:val="0"/>
                      <w:color w:val="auto"/>
                      <w:kern w:val="0"/>
                      <w:sz w:val="21"/>
                      <w:szCs w:val="21"/>
                      <w:u w:val="none"/>
                      <w:lang w:val="en-US" w:eastAsia="zh-CN" w:bidi="ar"/>
                    </w:rPr>
                    <w:t>COD</w:t>
                  </w:r>
                  <w:r>
                    <w:rPr>
                      <w:rFonts w:hint="default" w:ascii="Times New Roman" w:hAnsi="Times New Roman" w:eastAsia="宋体" w:cs="Times New Roman"/>
                      <w:i w:val="0"/>
                      <w:iCs w:val="0"/>
                      <w:color w:val="auto"/>
                      <w:kern w:val="0"/>
                      <w:sz w:val="21"/>
                      <w:szCs w:val="21"/>
                      <w:u w:val="none"/>
                      <w:vertAlign w:val="subscript"/>
                      <w:lang w:val="en-US" w:eastAsia="zh-CN" w:bidi="ar"/>
                    </w:rPr>
                    <w:t>Cr</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300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0.04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0"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BOD</w:t>
                  </w:r>
                  <w:r>
                    <w:rPr>
                      <w:sz w:val="21"/>
                      <w:szCs w:val="21"/>
                      <w:vertAlign w:val="subscript"/>
                    </w:rPr>
                    <w:t>5</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150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0.02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SS</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200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0.03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NH</w:t>
                  </w:r>
                  <w:r>
                    <w:rPr>
                      <w:rFonts w:hint="eastAsia"/>
                      <w:sz w:val="21"/>
                      <w:szCs w:val="21"/>
                      <w:vertAlign w:val="subscript"/>
                    </w:rPr>
                    <w:t>3</w:t>
                  </w:r>
                  <w:r>
                    <w:rPr>
                      <w:rFonts w:hint="eastAsia"/>
                      <w:sz w:val="21"/>
                      <w:szCs w:val="21"/>
                    </w:rPr>
                    <w:t>-N</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35</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0.005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动植物油</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200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0.03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2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生活</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污水</w:t>
                  </w: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pH</w:t>
                  </w:r>
                </w:p>
              </w:tc>
              <w:tc>
                <w:tcPr>
                  <w:tcW w:w="2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0.65</w:t>
                  </w:r>
                </w:p>
              </w:tc>
              <w:tc>
                <w:tcPr>
                  <w:tcW w:w="2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kern w:val="2"/>
                      <w:sz w:val="21"/>
                      <w:szCs w:val="21"/>
                      <w:lang w:val="en-US" w:eastAsia="zh-CN"/>
                    </w:rPr>
                  </w:pPr>
                  <w:r>
                    <w:rPr>
                      <w:rFonts w:hint="eastAsia"/>
                      <w:snapToGrid w:val="0"/>
                      <w:kern w:val="2"/>
                      <w:sz w:val="21"/>
                      <w:szCs w:val="21"/>
                      <w:lang w:val="en-US" w:eastAsia="zh-CN"/>
                    </w:rPr>
                    <w:t>194.40</w:t>
                  </w: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6-9</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rPr>
                    <w:t>--</w:t>
                  </w:r>
                </w:p>
              </w:tc>
              <w:tc>
                <w:tcPr>
                  <w:tcW w:w="5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snapToGrid w:val="0"/>
                      <w:kern w:val="2"/>
                      <w:sz w:val="21"/>
                      <w:szCs w:val="21"/>
                    </w:rPr>
                    <w:t>通过厂区总排口进入</w:t>
                  </w:r>
                  <w:r>
                    <w:rPr>
                      <w:rFonts w:hint="eastAsia"/>
                      <w:snapToGrid w:val="0"/>
                      <w:kern w:val="2"/>
                      <w:sz w:val="21"/>
                      <w:szCs w:val="21"/>
                      <w:lang w:val="en-US" w:eastAsia="zh-CN"/>
                    </w:rPr>
                    <w:t>园区</w:t>
                  </w:r>
                  <w:r>
                    <w:rPr>
                      <w:snapToGrid w:val="0"/>
                      <w:kern w:val="2"/>
                      <w:sz w:val="21"/>
                      <w:szCs w:val="21"/>
                    </w:rPr>
                    <w:t>污水处理厂集中处理</w:t>
                  </w: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16"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default" w:ascii="Times New Roman" w:hAnsi="Times New Roman" w:eastAsia="宋体" w:cs="Times New Roman"/>
                      <w:i w:val="0"/>
                      <w:iCs w:val="0"/>
                      <w:color w:val="auto"/>
                      <w:kern w:val="0"/>
                      <w:sz w:val="21"/>
                      <w:szCs w:val="21"/>
                      <w:u w:val="none"/>
                      <w:lang w:val="en-US" w:eastAsia="zh-CN" w:bidi="ar"/>
                    </w:rPr>
                    <w:t>COD</w:t>
                  </w:r>
                  <w:r>
                    <w:rPr>
                      <w:rFonts w:hint="default" w:ascii="Times New Roman" w:hAnsi="Times New Roman" w:eastAsia="宋体" w:cs="Times New Roman"/>
                      <w:i w:val="0"/>
                      <w:iCs w:val="0"/>
                      <w:color w:val="auto"/>
                      <w:kern w:val="0"/>
                      <w:sz w:val="21"/>
                      <w:szCs w:val="21"/>
                      <w:u w:val="none"/>
                      <w:vertAlign w:val="subscript"/>
                      <w:lang w:val="en-US" w:eastAsia="zh-CN" w:bidi="ar"/>
                    </w:rPr>
                    <w:t>Cr</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rPr>
                    <w:t>3</w:t>
                  </w:r>
                  <w:r>
                    <w:rPr>
                      <w:rFonts w:hint="eastAsia"/>
                      <w:sz w:val="21"/>
                      <w:szCs w:val="21"/>
                      <w:lang w:val="en-US" w:eastAsia="zh-CN"/>
                    </w:rPr>
                    <w:t>25</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0.063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4"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BOD</w:t>
                  </w:r>
                  <w:r>
                    <w:rPr>
                      <w:sz w:val="21"/>
                      <w:szCs w:val="21"/>
                      <w:vertAlign w:val="subscript"/>
                    </w:rPr>
                    <w:t>5</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300</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0.058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9"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SS</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156</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0.030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NH</w:t>
                  </w:r>
                  <w:r>
                    <w:rPr>
                      <w:sz w:val="21"/>
                      <w:szCs w:val="21"/>
                      <w:vertAlign w:val="subscript"/>
                    </w:rPr>
                    <w:t>3</w:t>
                  </w:r>
                  <w:r>
                    <w:rPr>
                      <w:sz w:val="21"/>
                      <w:szCs w:val="21"/>
                    </w:rPr>
                    <w:t>-N</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rPr>
                    <w:t>3</w:t>
                  </w:r>
                  <w:r>
                    <w:rPr>
                      <w:rFonts w:hint="eastAsia"/>
                      <w:sz w:val="21"/>
                      <w:szCs w:val="21"/>
                      <w:lang w:val="en-US" w:eastAsia="zh-CN"/>
                    </w:rPr>
                    <w:t>7.7</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0.007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TP</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4.28</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0.001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1" w:hRule="atLeast"/>
                <w:jc w:val="center"/>
              </w:trPr>
              <w:tc>
                <w:tcPr>
                  <w:tcW w:w="2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TN</w:t>
                  </w:r>
                </w:p>
              </w:tc>
              <w:tc>
                <w:tcPr>
                  <w:tcW w:w="2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2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3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49.8</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0.010 </w:t>
                  </w:r>
                </w:p>
              </w:tc>
              <w:tc>
                <w:tcPr>
                  <w:tcW w:w="5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p>
              </w:tc>
              <w:tc>
                <w:tcPr>
                  <w:tcW w:w="45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kern w:val="2"/>
                      <w:sz w:val="21"/>
                      <w:szCs w:val="21"/>
                    </w:rPr>
                  </w:pPr>
                  <w:r>
                    <w:rPr>
                      <w:rFonts w:hint="eastAsia"/>
                      <w:snapToGrid w:val="0"/>
                      <w:kern w:val="2"/>
                      <w:sz w:val="21"/>
                      <w:szCs w:val="21"/>
                      <w:lang w:val="en-US" w:eastAsia="zh-CN"/>
                    </w:rPr>
                    <w:t>/</w:t>
                  </w:r>
                </w:p>
              </w:tc>
              <w:tc>
                <w:tcPr>
                  <w:tcW w:w="603"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466"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lang w:val="en-US" w:eastAsia="zh-CN"/>
                    </w:rPr>
                  </w:pPr>
                  <w:r>
                    <w:rPr>
                      <w:rFonts w:hint="eastAsia"/>
                      <w:snapToGrid w:val="0"/>
                      <w:kern w:val="2"/>
                      <w:sz w:val="21"/>
                      <w:szCs w:val="21"/>
                      <w:lang w:val="en-US" w:eastAsia="zh-CN"/>
                    </w:rPr>
                    <w:t>/</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napToGrid w:val="0"/>
                      <w:kern w:val="2"/>
                      <w:sz w:val="21"/>
                      <w:szCs w:val="21"/>
                      <w:lang w:val="en-US" w:eastAsia="zh-CN"/>
                    </w:rPr>
                    <w:t>/</w:t>
                  </w:r>
                </w:p>
              </w:tc>
              <w:tc>
                <w:tcPr>
                  <w:tcW w:w="3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snapToGrid w:val="0"/>
                      <w:kern w:val="2"/>
                      <w:sz w:val="21"/>
                      <w:szCs w:val="21"/>
                      <w:lang w:val="en-US" w:eastAsia="zh-CN"/>
                    </w:rPr>
                    <w:t>/</w:t>
                  </w:r>
                </w:p>
              </w:tc>
            </w:tr>
          </w:tbl>
          <w:p>
            <w:pPr>
              <w:keepNext w:val="0"/>
              <w:keepLines w:val="0"/>
              <w:pageBreakBefore w:val="0"/>
              <w:widowControl w:val="0"/>
              <w:kinsoku/>
              <w:wordWrap/>
              <w:overflowPunct/>
              <w:topLinePunct w:val="0"/>
              <w:autoSpaceDE/>
              <w:autoSpaceDN/>
              <w:bidi w:val="0"/>
              <w:snapToGrid/>
              <w:spacing w:line="240" w:lineRule="auto"/>
              <w:textAlignment w:val="auto"/>
              <w:rPr>
                <w:sz w:val="20"/>
              </w:rPr>
            </w:pPr>
          </w:p>
        </w:tc>
      </w:tr>
    </w:tbl>
    <w:p>
      <w:pPr>
        <w:pStyle w:val="6"/>
        <w:ind w:left="0" w:leftChars="0" w:firstLine="0" w:firstLineChars="0"/>
        <w:rPr>
          <w:rFonts w:hint="default" w:eastAsia="宋体"/>
          <w:b/>
          <w:bCs/>
          <w:sz w:val="18"/>
          <w:szCs w:val="16"/>
          <w:lang w:val="en-US" w:eastAsia="zh-CN"/>
        </w:rPr>
        <w:sectPr>
          <w:pgSz w:w="16838" w:h="11906" w:orient="landscape"/>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sz w:val="18"/>
          <w:szCs w:val="16"/>
          <w:lang w:val="en-US" w:eastAsia="zh-CN"/>
        </w:rPr>
        <w:t>注：本项目计算废水污染物排放量，废水量不包括制备软化纯净水和凉白开纯净水所产生的清净下水</w:t>
      </w:r>
    </w:p>
    <w:tbl>
      <w:tblPr>
        <w:tblStyle w:val="21"/>
        <w:tblpPr w:leftFromText="180" w:rightFromText="180" w:vertAnchor="text" w:horzAnchor="page" w:tblpX="1063" w:tblpY="75"/>
        <w:tblOverlap w:val="never"/>
        <w:tblW w:w="97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9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56" w:hRule="atLeast"/>
        </w:trPr>
        <w:tc>
          <w:tcPr>
            <w:tcW w:w="731" w:type="dxa"/>
            <w:noWrap w:val="0"/>
            <w:tcMar>
              <w:left w:w="28" w:type="dxa"/>
              <w:right w:w="28" w:type="dxa"/>
            </w:tcMar>
            <w:vAlign w:val="center"/>
          </w:tcPr>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运营</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期环</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境影</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响和</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保护</w:t>
            </w:r>
          </w:p>
          <w:p>
            <w:pPr>
              <w:keepNext w:val="0"/>
              <w:keepLines w:val="0"/>
              <w:pageBreakBefore w:val="0"/>
              <w:widowControl w:val="0"/>
              <w:kinsoku/>
              <w:wordWrap/>
              <w:topLinePunct w:val="0"/>
              <w:autoSpaceDE/>
              <w:autoSpaceDN/>
              <w:bidi w:val="0"/>
              <w:adjustRightInd w:val="0"/>
              <w:snapToGrid w:val="0"/>
              <w:jc w:val="center"/>
              <w:outlineLvl w:val="9"/>
              <w:rPr>
                <w:b/>
                <w:bCs/>
                <w:color w:val="000000"/>
                <w:szCs w:val="21"/>
              </w:rPr>
            </w:pPr>
            <w:r>
              <w:rPr>
                <w:b/>
                <w:bCs/>
                <w:color w:val="000000"/>
              </w:rPr>
              <w:t>措施</w:t>
            </w:r>
          </w:p>
        </w:tc>
        <w:tc>
          <w:tcPr>
            <w:tcW w:w="904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rPr>
              <w:t>2.</w:t>
            </w:r>
            <w:r>
              <w:rPr>
                <w:rFonts w:hint="eastAsia"/>
                <w:lang w:val="en-US" w:eastAsia="zh-CN"/>
              </w:rPr>
              <w:t>2</w:t>
            </w:r>
            <w:r>
              <w:rPr>
                <w:rFonts w:hint="eastAsia"/>
              </w:rPr>
              <w:t>废水污染治理设施及达标分析</w:t>
            </w:r>
          </w:p>
          <w:p>
            <w:pPr>
              <w:adjustRightInd w:val="0"/>
              <w:snapToGrid w:val="0"/>
              <w:spacing w:line="360" w:lineRule="auto"/>
              <w:ind w:firstLine="480" w:firstLineChars="200"/>
              <w:rPr>
                <w:rFonts w:hint="default" w:eastAsia="宋体"/>
                <w:lang w:val="en-US" w:eastAsia="zh-CN"/>
              </w:rPr>
            </w:pPr>
            <w:r>
              <w:rPr>
                <w:rFonts w:hint="eastAsia"/>
                <w:lang w:val="en-US" w:eastAsia="zh-CN"/>
              </w:rPr>
              <w:t>项目生活污水、经隔油池预处理后的食堂废水、生产废水一起由厂区总排口排入园区污水管网，进入园区污水处理厂处理后，流入新濉河。</w:t>
            </w:r>
          </w:p>
          <w:p>
            <w:pPr>
              <w:adjustRightInd w:val="0"/>
              <w:snapToGrid w:val="0"/>
              <w:spacing w:line="360" w:lineRule="auto"/>
              <w:ind w:firstLine="480" w:firstLineChars="200"/>
            </w:pPr>
            <w:r>
              <w:rPr>
                <w:rFonts w:hint="eastAsia"/>
              </w:rPr>
              <w:t>项目全厂产生的废水各污染物排放可以满足</w:t>
            </w:r>
            <w:r>
              <w:t>《污水综合排放标准》（GB8978-1996）三级标准及</w:t>
            </w:r>
            <w:r>
              <w:rPr>
                <w:rFonts w:hint="eastAsia"/>
              </w:rPr>
              <w:t>信息产业园</w:t>
            </w:r>
            <w:r>
              <w:t>污水处理</w:t>
            </w:r>
            <w:r>
              <w:rPr>
                <w:rFonts w:hint="eastAsia"/>
              </w:rPr>
              <w:t>厂</w:t>
            </w:r>
            <w:r>
              <w:t>接管标准，其中总磷、总氮指标参照执行GB/T31962-2015《污水排入城镇下水道水质标准》表1中B等级标准</w:t>
            </w:r>
            <w:r>
              <w:rPr>
                <w:rFonts w:hint="eastAsia"/>
              </w:rPr>
              <w:t>。故项目废水污染治理措施是可行的。</w:t>
            </w:r>
          </w:p>
          <w:p>
            <w:pPr>
              <w:adjustRightInd w:val="0"/>
              <w:snapToGrid w:val="0"/>
              <w:spacing w:line="360" w:lineRule="auto"/>
              <w:ind w:firstLine="480" w:firstLineChars="200"/>
            </w:pPr>
            <w:r>
              <w:rPr>
                <w:rFonts w:hint="eastAsia"/>
              </w:rPr>
              <w:t>2.</w:t>
            </w:r>
            <w:r>
              <w:rPr>
                <w:rFonts w:hint="eastAsia"/>
                <w:lang w:val="en-US" w:eastAsia="zh-CN"/>
              </w:rPr>
              <w:t>3</w:t>
            </w:r>
            <w:r>
              <w:rPr>
                <w:rFonts w:hint="eastAsia"/>
              </w:rPr>
              <w:t>污水处理依托</w:t>
            </w:r>
            <w:r>
              <w:t>可行性分析</w:t>
            </w:r>
          </w:p>
          <w:p>
            <w:pPr>
              <w:adjustRightInd w:val="0"/>
              <w:snapToGrid w:val="0"/>
              <w:spacing w:line="360" w:lineRule="auto"/>
              <w:ind w:firstLine="480" w:firstLineChars="200"/>
            </w:pPr>
            <w:r>
              <w:rPr>
                <w:rFonts w:hint="eastAsia"/>
              </w:rPr>
              <w:t>（1）信息产业污水处理厂</w:t>
            </w:r>
            <w:r>
              <w:t>概况</w:t>
            </w:r>
          </w:p>
          <w:p>
            <w:pPr>
              <w:adjustRightInd w:val="0"/>
              <w:snapToGrid w:val="0"/>
              <w:spacing w:line="360" w:lineRule="auto"/>
              <w:ind w:firstLine="480" w:firstLineChars="200"/>
            </w:pPr>
            <w:r>
              <w:rPr>
                <w:rFonts w:hint="eastAsia"/>
              </w:rPr>
              <w:t>企业</w:t>
            </w:r>
            <w:r>
              <w:t>所在地属于</w:t>
            </w:r>
            <w:r>
              <w:rPr>
                <w:rFonts w:hint="eastAsia"/>
              </w:rPr>
              <w:t>淮北相山经济开发区信息产业园，</w:t>
            </w:r>
            <w:r>
              <w:t>属于</w:t>
            </w:r>
            <w:r>
              <w:rPr>
                <w:rFonts w:hint="eastAsia"/>
              </w:rPr>
              <w:t>信息产业污水</w:t>
            </w:r>
            <w:r>
              <w:t>处理厂收水范围之内，总设计处理规模为</w:t>
            </w:r>
            <w:r>
              <w:rPr>
                <w:rFonts w:hint="eastAsia"/>
              </w:rPr>
              <w:t>2</w:t>
            </w:r>
            <w:r>
              <w:t>万m</w:t>
            </w:r>
            <w:r>
              <w:rPr>
                <w:vertAlign w:val="superscript"/>
              </w:rPr>
              <w:t>3</w:t>
            </w:r>
            <w:r>
              <w:t>/d，一期规模</w:t>
            </w:r>
            <w:r>
              <w:rPr>
                <w:rFonts w:hint="eastAsia"/>
              </w:rPr>
              <w:t>1</w:t>
            </w:r>
            <w:r>
              <w:t>万m</w:t>
            </w:r>
            <w:r>
              <w:rPr>
                <w:vertAlign w:val="superscript"/>
              </w:rPr>
              <w:t>3</w:t>
            </w:r>
            <w:r>
              <w:t>/d。</w:t>
            </w:r>
            <w:r>
              <w:rPr>
                <w:rStyle w:val="25"/>
                <w:rFonts w:hint="eastAsia"/>
                <w:kern w:val="0"/>
                <w:sz w:val="24"/>
                <w:szCs w:val="22"/>
                <w:lang w:val="en-US" w:eastAsia="zh-CN"/>
              </w:rPr>
              <w:t>目前已经处理6000</w:t>
            </w:r>
            <w:r>
              <w:t>m</w:t>
            </w:r>
            <w:r>
              <w:rPr>
                <w:vertAlign w:val="superscript"/>
              </w:rPr>
              <w:t>3</w:t>
            </w:r>
            <w:r>
              <w:t>/d</w:t>
            </w:r>
            <w:r>
              <w:rPr>
                <w:rFonts w:hint="eastAsia"/>
                <w:lang w:eastAsia="zh-CN"/>
              </w:rPr>
              <w:t>，</w:t>
            </w:r>
            <w:r>
              <w:t>项目废水可以进入</w:t>
            </w:r>
            <w:r>
              <w:rPr>
                <w:rFonts w:hint="eastAsia"/>
              </w:rPr>
              <w:t>淮北信息产业污水</w:t>
            </w:r>
            <w:r>
              <w:t>处理厂处理。</w:t>
            </w:r>
            <w:r>
              <w:rPr>
                <w:rFonts w:hint="eastAsia"/>
              </w:rPr>
              <w:t>信息产业污水</w:t>
            </w:r>
            <w:r>
              <w:t>处理厂处理工艺如下：</w:t>
            </w:r>
          </w:p>
          <w:p>
            <w:pPr>
              <w:tabs>
                <w:tab w:val="center" w:pos="4758"/>
              </w:tabs>
              <w:adjustRightInd w:val="0"/>
              <w:snapToGrid w:val="0"/>
              <w:spacing w:line="360" w:lineRule="auto"/>
              <w:ind w:firstLine="480" w:firstLineChars="200"/>
              <w:rPr>
                <w:rFonts w:hint="eastAsia" w:cs="宋体"/>
                <w:color w:val="000000"/>
              </w:rPr>
            </w:pPr>
            <w:r>
              <w:drawing>
                <wp:anchor distT="0" distB="0" distL="114300" distR="114300" simplePos="0" relativeHeight="251666432" behindDoc="1" locked="0" layoutInCell="1" allowOverlap="1">
                  <wp:simplePos x="0" y="0"/>
                  <wp:positionH relativeFrom="column">
                    <wp:posOffset>220980</wp:posOffset>
                  </wp:positionH>
                  <wp:positionV relativeFrom="paragraph">
                    <wp:posOffset>46990</wp:posOffset>
                  </wp:positionV>
                  <wp:extent cx="5038725" cy="705485"/>
                  <wp:effectExtent l="0" t="0" r="9525" b="18415"/>
                  <wp:wrapNone/>
                  <wp:docPr id="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
                          <pic:cNvPicPr>
                            <a:picLocks noChangeAspect="1"/>
                          </pic:cNvPicPr>
                        </pic:nvPicPr>
                        <pic:blipFill>
                          <a:blip r:embed="rId21"/>
                          <a:stretch>
                            <a:fillRect/>
                          </a:stretch>
                        </pic:blipFill>
                        <pic:spPr>
                          <a:xfrm>
                            <a:off x="0" y="0"/>
                            <a:ext cx="5038725" cy="705485"/>
                          </a:xfrm>
                          <a:prstGeom prst="rect">
                            <a:avLst/>
                          </a:prstGeom>
                          <a:noFill/>
                          <a:ln>
                            <a:noFill/>
                          </a:ln>
                        </pic:spPr>
                      </pic:pic>
                    </a:graphicData>
                  </a:graphic>
                </wp:anchor>
              </w:drawing>
            </w:r>
          </w:p>
          <w:p>
            <w:pPr>
              <w:tabs>
                <w:tab w:val="center" w:pos="4758"/>
              </w:tabs>
              <w:adjustRightInd w:val="0"/>
              <w:snapToGrid w:val="0"/>
              <w:spacing w:line="360" w:lineRule="auto"/>
              <w:ind w:firstLine="480" w:firstLineChars="200"/>
              <w:rPr>
                <w:rFonts w:hint="eastAsia" w:cs="宋体"/>
                <w:color w:val="000000"/>
              </w:rPr>
            </w:pPr>
          </w:p>
          <w:p>
            <w:pPr>
              <w:adjustRightInd w:val="0"/>
              <w:snapToGrid w:val="0"/>
              <w:spacing w:line="360" w:lineRule="auto"/>
              <w:jc w:val="center"/>
              <w:rPr>
                <w:b/>
                <w:bCs/>
              </w:rPr>
            </w:pPr>
          </w:p>
          <w:p>
            <w:pPr>
              <w:adjustRightInd w:val="0"/>
              <w:snapToGrid w:val="0"/>
              <w:spacing w:line="360" w:lineRule="auto"/>
              <w:jc w:val="center"/>
              <w:rPr>
                <w:b/>
                <w:bCs/>
              </w:rPr>
            </w:pPr>
          </w:p>
          <w:p>
            <w:pPr>
              <w:adjustRightInd w:val="0"/>
              <w:snapToGrid w:val="0"/>
              <w:spacing w:line="360" w:lineRule="auto"/>
              <w:jc w:val="center"/>
              <w:rPr>
                <w:b/>
                <w:bCs/>
              </w:rPr>
            </w:pPr>
            <w:r>
              <w:rPr>
                <w:b/>
                <w:bCs/>
              </w:rPr>
              <w:t>图4-</w:t>
            </w:r>
            <w:r>
              <w:rPr>
                <w:rFonts w:hint="eastAsia"/>
                <w:b/>
                <w:bCs/>
                <w:lang w:val="en-US" w:eastAsia="zh-CN"/>
              </w:rPr>
              <w:t>1</w:t>
            </w:r>
            <w:r>
              <w:rPr>
                <w:rFonts w:hint="eastAsia"/>
                <w:b/>
                <w:bCs/>
              </w:rPr>
              <w:t xml:space="preserve">  信息产业污水</w:t>
            </w:r>
            <w:r>
              <w:rPr>
                <w:b/>
                <w:bCs/>
              </w:rPr>
              <w:t>处理厂</w:t>
            </w:r>
            <w:r>
              <w:rPr>
                <w:rFonts w:hint="eastAsia"/>
                <w:b/>
                <w:bCs/>
              </w:rPr>
              <w:t>其他废水预处理</w:t>
            </w:r>
            <w:r>
              <w:rPr>
                <w:b/>
                <w:bCs/>
              </w:rPr>
              <w:t>工艺流程图</w:t>
            </w:r>
          </w:p>
          <w:p>
            <w:pPr>
              <w:adjustRightInd w:val="0"/>
              <w:snapToGrid w:val="0"/>
              <w:spacing w:line="360" w:lineRule="auto"/>
              <w:ind w:firstLine="480" w:firstLineChars="200"/>
            </w:pPr>
            <w:r>
              <w:rPr>
                <w:rFonts w:hint="eastAsia"/>
              </w:rPr>
              <w:t>（2）</w:t>
            </w:r>
            <w:r>
              <w:t>接管可行性分析</w:t>
            </w:r>
          </w:p>
          <w:p>
            <w:pPr>
              <w:adjustRightInd w:val="0"/>
              <w:snapToGrid w:val="0"/>
              <w:spacing w:line="360" w:lineRule="auto"/>
              <w:ind w:firstLine="480" w:firstLineChars="200"/>
              <w:rPr>
                <w:color w:val="0000FF"/>
              </w:rPr>
            </w:pPr>
            <w:r>
              <w:rPr>
                <w:rFonts w:hint="eastAsia"/>
              </w:rPr>
              <w:t>企业位于信息产业园污水处理厂管网收水范围，企业全厂</w:t>
            </w:r>
            <w:r>
              <w:rPr>
                <w:rFonts w:hint="eastAsia"/>
                <w:lang w:val="en-US" w:eastAsia="zh-CN"/>
              </w:rPr>
              <w:t>生活污水、经隔油池预处理的食堂废水、生产废水一起由厂区总排口排入园区污水管网，进入园区污水处理厂进行处理</w:t>
            </w:r>
            <w:r>
              <w:rPr>
                <w:rFonts w:hint="eastAsia"/>
                <w:lang w:eastAsia="zh-CN"/>
              </w:rPr>
              <w:t>，</w:t>
            </w:r>
            <w:r>
              <w:rPr>
                <w:rFonts w:hint="eastAsia"/>
                <w:lang w:val="en-US" w:eastAsia="zh-CN"/>
              </w:rPr>
              <w:t>企业</w:t>
            </w:r>
            <w:r>
              <w:rPr>
                <w:rFonts w:hint="eastAsia"/>
              </w:rPr>
              <w:t>各污染物均满足园区污水处理厂接管限值。其纳管排放不会对污水处理厂产生不利的冲击负荷，因此接管园区污水处理厂可行。</w:t>
            </w:r>
          </w:p>
          <w:p>
            <w:pPr>
              <w:adjustRightInd w:val="0"/>
              <w:snapToGrid w:val="0"/>
              <w:spacing w:line="360" w:lineRule="auto"/>
              <w:ind w:firstLine="480" w:firstLineChars="200"/>
            </w:pPr>
            <w:r>
              <w:rPr>
                <w:rFonts w:hint="eastAsia"/>
              </w:rPr>
              <w:t>2.</w:t>
            </w:r>
            <w:r>
              <w:rPr>
                <w:rFonts w:hint="eastAsia"/>
                <w:lang w:val="en-US" w:eastAsia="zh-CN"/>
              </w:rPr>
              <w:t>4</w:t>
            </w:r>
            <w:r>
              <w:t>废水</w:t>
            </w:r>
            <w:r>
              <w:rPr>
                <w:rFonts w:hint="eastAsia"/>
              </w:rPr>
              <w:t>排放</w:t>
            </w:r>
            <w:r>
              <w:t>监测计划</w:t>
            </w:r>
          </w:p>
          <w:p>
            <w:pPr>
              <w:adjustRightInd w:val="0"/>
              <w:snapToGrid w:val="0"/>
              <w:spacing w:line="360" w:lineRule="auto"/>
              <w:ind w:firstLine="480" w:firstLineChars="200"/>
            </w:pPr>
            <w:r>
              <w:t>根据《排污单位自行监测技术指南 总则》（HJ819-2017）</w:t>
            </w:r>
            <w:r>
              <w:rPr>
                <w:rFonts w:hint="eastAsia"/>
                <w:lang w:eastAsia="zh-CN"/>
              </w:rPr>
              <w:t>，</w:t>
            </w:r>
            <w:r>
              <w:rPr>
                <w:rFonts w:hint="eastAsia"/>
              </w:rPr>
              <w:t>并结合项目运营期间污染物排放特点，制定本项目的污染源监测计划，建议建设单位按监测计划实施。监测分析方法按照现行国家、部颁标准和有关规定执行。</w:t>
            </w:r>
          </w:p>
          <w:p>
            <w:pPr>
              <w:adjustRightInd w:val="0"/>
              <w:snapToGrid w:val="0"/>
              <w:jc w:val="center"/>
              <w:rPr>
                <w:b/>
                <w:bCs/>
              </w:rPr>
            </w:pPr>
            <w:r>
              <w:rPr>
                <w:rFonts w:hint="eastAsia"/>
                <w:b/>
                <w:bCs/>
              </w:rPr>
              <w:t>表4-</w:t>
            </w:r>
            <w:r>
              <w:rPr>
                <w:rFonts w:hint="eastAsia"/>
                <w:b/>
                <w:bCs/>
                <w:lang w:val="en-US" w:eastAsia="zh-CN"/>
              </w:rPr>
              <w:t>10</w:t>
            </w:r>
            <w:r>
              <w:rPr>
                <w:rFonts w:hint="eastAsia"/>
                <w:b/>
                <w:bCs/>
              </w:rPr>
              <w:t xml:space="preserve">  </w:t>
            </w:r>
            <w:r>
              <w:rPr>
                <w:b/>
                <w:bCs/>
              </w:rPr>
              <w:t>废水</w:t>
            </w:r>
            <w:r>
              <w:rPr>
                <w:rFonts w:hint="eastAsia"/>
                <w:b/>
                <w:bCs/>
              </w:rPr>
              <w:t>排放</w:t>
            </w:r>
            <w:r>
              <w:rPr>
                <w:b/>
                <w:bCs/>
              </w:rPr>
              <w:t>监测计划</w:t>
            </w:r>
            <w:r>
              <w:rPr>
                <w:rFonts w:hint="eastAsia"/>
                <w:b/>
                <w:bCs/>
              </w:rPr>
              <w:t>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10"/>
              <w:gridCol w:w="1355"/>
              <w:gridCol w:w="3100"/>
              <w:gridCol w:w="791"/>
              <w:gridCol w:w="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pct"/>
                  <w:tcBorders>
                    <w:tl2br w:val="nil"/>
                    <w:tr2bl w:val="nil"/>
                  </w:tcBorders>
                  <w:noWrap w:val="0"/>
                  <w:vAlign w:val="center"/>
                </w:tcPr>
                <w:p>
                  <w:pPr>
                    <w:adjustRightInd w:val="0"/>
                    <w:snapToGrid w:val="0"/>
                    <w:ind w:left="-122" w:leftChars="-51" w:right="-122" w:rightChars="-51"/>
                    <w:jc w:val="center"/>
                    <w:outlineLvl w:val="4"/>
                    <w:rPr>
                      <w:b/>
                      <w:color w:val="000000"/>
                      <w:sz w:val="21"/>
                      <w:szCs w:val="21"/>
                    </w:rPr>
                  </w:pPr>
                  <w:r>
                    <w:rPr>
                      <w:b/>
                      <w:color w:val="000000"/>
                      <w:sz w:val="21"/>
                      <w:szCs w:val="21"/>
                    </w:rPr>
                    <w:t>排放口编号</w:t>
                  </w:r>
                </w:p>
              </w:tc>
              <w:tc>
                <w:tcPr>
                  <w:tcW w:w="798" w:type="pct"/>
                  <w:tcBorders>
                    <w:tl2br w:val="nil"/>
                    <w:tr2bl w:val="nil"/>
                  </w:tcBorders>
                  <w:noWrap w:val="0"/>
                  <w:vAlign w:val="center"/>
                </w:tcPr>
                <w:p>
                  <w:pPr>
                    <w:adjustRightInd w:val="0"/>
                    <w:snapToGrid w:val="0"/>
                    <w:ind w:left="-122" w:leftChars="-51" w:right="-122" w:rightChars="-51"/>
                    <w:jc w:val="center"/>
                    <w:outlineLvl w:val="4"/>
                    <w:rPr>
                      <w:b/>
                      <w:color w:val="000000"/>
                      <w:sz w:val="21"/>
                      <w:szCs w:val="21"/>
                    </w:rPr>
                  </w:pPr>
                  <w:r>
                    <w:rPr>
                      <w:b/>
                      <w:color w:val="000000"/>
                      <w:sz w:val="21"/>
                      <w:szCs w:val="21"/>
                    </w:rPr>
                    <w:t>排放口名称</w:t>
                  </w:r>
                </w:p>
              </w:tc>
              <w:tc>
                <w:tcPr>
                  <w:tcW w:w="767" w:type="pct"/>
                  <w:tcBorders>
                    <w:tl2br w:val="nil"/>
                    <w:tr2bl w:val="nil"/>
                  </w:tcBorders>
                  <w:noWrap w:val="0"/>
                  <w:vAlign w:val="center"/>
                </w:tcPr>
                <w:p>
                  <w:pPr>
                    <w:adjustRightInd w:val="0"/>
                    <w:snapToGrid w:val="0"/>
                    <w:ind w:left="-122" w:leftChars="-51" w:right="-122" w:rightChars="-51"/>
                    <w:jc w:val="center"/>
                    <w:outlineLvl w:val="4"/>
                    <w:rPr>
                      <w:b/>
                      <w:color w:val="000000"/>
                      <w:sz w:val="21"/>
                      <w:szCs w:val="21"/>
                    </w:rPr>
                  </w:pPr>
                  <w:r>
                    <w:rPr>
                      <w:b/>
                      <w:color w:val="000000"/>
                      <w:sz w:val="21"/>
                      <w:szCs w:val="21"/>
                    </w:rPr>
                    <w:t>监测内容</w:t>
                  </w:r>
                </w:p>
              </w:tc>
              <w:tc>
                <w:tcPr>
                  <w:tcW w:w="1755" w:type="pct"/>
                  <w:tcBorders>
                    <w:tl2br w:val="nil"/>
                    <w:tr2bl w:val="nil"/>
                  </w:tcBorders>
                  <w:noWrap w:val="0"/>
                  <w:vAlign w:val="center"/>
                </w:tcPr>
                <w:p>
                  <w:pPr>
                    <w:adjustRightInd w:val="0"/>
                    <w:snapToGrid w:val="0"/>
                    <w:ind w:left="-122" w:leftChars="-51" w:right="-122" w:rightChars="-51"/>
                    <w:jc w:val="center"/>
                    <w:outlineLvl w:val="4"/>
                    <w:rPr>
                      <w:b/>
                      <w:color w:val="000000"/>
                      <w:sz w:val="21"/>
                      <w:szCs w:val="21"/>
                    </w:rPr>
                  </w:pPr>
                  <w:r>
                    <w:rPr>
                      <w:b/>
                      <w:color w:val="000000"/>
                      <w:sz w:val="21"/>
                      <w:szCs w:val="21"/>
                    </w:rPr>
                    <w:t>污染物名称</w:t>
                  </w:r>
                </w:p>
              </w:tc>
              <w:tc>
                <w:tcPr>
                  <w:tcW w:w="448" w:type="pct"/>
                  <w:tcBorders>
                    <w:tl2br w:val="nil"/>
                    <w:tr2bl w:val="nil"/>
                  </w:tcBorders>
                  <w:noWrap w:val="0"/>
                  <w:vAlign w:val="center"/>
                </w:tcPr>
                <w:p>
                  <w:pPr>
                    <w:adjustRightInd w:val="0"/>
                    <w:snapToGrid w:val="0"/>
                    <w:ind w:left="-122" w:leftChars="-51" w:right="-122" w:rightChars="-51"/>
                    <w:jc w:val="center"/>
                    <w:outlineLvl w:val="4"/>
                    <w:rPr>
                      <w:b/>
                      <w:color w:val="000000"/>
                      <w:sz w:val="21"/>
                      <w:szCs w:val="21"/>
                    </w:rPr>
                  </w:pPr>
                  <w:r>
                    <w:rPr>
                      <w:b/>
                      <w:color w:val="000000"/>
                      <w:sz w:val="21"/>
                      <w:szCs w:val="21"/>
                    </w:rPr>
                    <w:t>监测</w:t>
                  </w:r>
                </w:p>
                <w:p>
                  <w:pPr>
                    <w:adjustRightInd w:val="0"/>
                    <w:snapToGrid w:val="0"/>
                    <w:ind w:left="-122" w:leftChars="-51" w:right="-122" w:rightChars="-51"/>
                    <w:jc w:val="center"/>
                    <w:outlineLvl w:val="4"/>
                    <w:rPr>
                      <w:b/>
                      <w:color w:val="000000"/>
                      <w:sz w:val="21"/>
                      <w:szCs w:val="21"/>
                    </w:rPr>
                  </w:pPr>
                  <w:r>
                    <w:rPr>
                      <w:b/>
                      <w:color w:val="000000"/>
                      <w:sz w:val="21"/>
                      <w:szCs w:val="21"/>
                    </w:rPr>
                    <w:t>设施</w:t>
                  </w:r>
                </w:p>
              </w:tc>
              <w:tc>
                <w:tcPr>
                  <w:tcW w:w="560" w:type="pct"/>
                  <w:tcBorders>
                    <w:tl2br w:val="nil"/>
                    <w:tr2bl w:val="nil"/>
                  </w:tcBorders>
                  <w:noWrap w:val="0"/>
                  <w:vAlign w:val="center"/>
                </w:tcPr>
                <w:p>
                  <w:pPr>
                    <w:adjustRightInd w:val="0"/>
                    <w:snapToGrid w:val="0"/>
                    <w:ind w:left="-122" w:leftChars="-51" w:right="-122" w:rightChars="-51"/>
                    <w:jc w:val="center"/>
                    <w:outlineLvl w:val="4"/>
                    <w:rPr>
                      <w:b/>
                      <w:color w:val="000000"/>
                      <w:sz w:val="21"/>
                      <w:szCs w:val="21"/>
                    </w:rPr>
                  </w:pPr>
                  <w:r>
                    <w:rPr>
                      <w:b/>
                      <w:color w:val="000000"/>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0" w:type="pct"/>
                  <w:tcBorders>
                    <w:tl2br w:val="nil"/>
                    <w:tr2bl w:val="nil"/>
                  </w:tcBorders>
                  <w:noWrap w:val="0"/>
                  <w:vAlign w:val="center"/>
                </w:tcPr>
                <w:p>
                  <w:pPr>
                    <w:adjustRightInd w:val="0"/>
                    <w:snapToGrid w:val="0"/>
                    <w:ind w:left="-122" w:leftChars="-51" w:right="-122" w:rightChars="-51"/>
                    <w:jc w:val="center"/>
                    <w:outlineLvl w:val="4"/>
                    <w:rPr>
                      <w:color w:val="000000"/>
                      <w:sz w:val="21"/>
                      <w:szCs w:val="21"/>
                    </w:rPr>
                  </w:pPr>
                  <w:r>
                    <w:rPr>
                      <w:color w:val="000000"/>
                      <w:sz w:val="21"/>
                      <w:szCs w:val="21"/>
                    </w:rPr>
                    <w:t>DW001</w:t>
                  </w:r>
                </w:p>
              </w:tc>
              <w:tc>
                <w:tcPr>
                  <w:tcW w:w="798" w:type="pct"/>
                  <w:tcBorders>
                    <w:tl2br w:val="nil"/>
                    <w:tr2bl w:val="nil"/>
                  </w:tcBorders>
                  <w:noWrap w:val="0"/>
                  <w:vAlign w:val="center"/>
                </w:tcPr>
                <w:p>
                  <w:pPr>
                    <w:adjustRightInd w:val="0"/>
                    <w:snapToGrid w:val="0"/>
                    <w:ind w:left="-122" w:leftChars="-51" w:right="-122" w:rightChars="-51"/>
                    <w:jc w:val="center"/>
                    <w:outlineLvl w:val="4"/>
                    <w:rPr>
                      <w:color w:val="000000"/>
                      <w:sz w:val="21"/>
                      <w:szCs w:val="21"/>
                    </w:rPr>
                  </w:pPr>
                  <w:r>
                    <w:rPr>
                      <w:color w:val="000000"/>
                      <w:sz w:val="21"/>
                      <w:szCs w:val="21"/>
                    </w:rPr>
                    <w:t>厂区总排口</w:t>
                  </w:r>
                </w:p>
              </w:tc>
              <w:tc>
                <w:tcPr>
                  <w:tcW w:w="767" w:type="pct"/>
                  <w:tcBorders>
                    <w:tl2br w:val="nil"/>
                    <w:tr2bl w:val="nil"/>
                  </w:tcBorders>
                  <w:noWrap w:val="0"/>
                  <w:vAlign w:val="center"/>
                </w:tcPr>
                <w:p>
                  <w:pPr>
                    <w:adjustRightInd w:val="0"/>
                    <w:snapToGrid w:val="0"/>
                    <w:ind w:left="-122" w:leftChars="-51" w:right="-122" w:rightChars="-51"/>
                    <w:jc w:val="center"/>
                    <w:outlineLvl w:val="4"/>
                    <w:rPr>
                      <w:rFonts w:hint="eastAsia"/>
                      <w:color w:val="000000"/>
                      <w:sz w:val="21"/>
                      <w:szCs w:val="21"/>
                    </w:rPr>
                  </w:pPr>
                  <w:r>
                    <w:rPr>
                      <w:color w:val="000000"/>
                      <w:sz w:val="21"/>
                      <w:szCs w:val="21"/>
                    </w:rPr>
                    <w:t>流量、</w:t>
                  </w:r>
                  <w:r>
                    <w:rPr>
                      <w:rFonts w:hint="eastAsia"/>
                      <w:color w:val="000000"/>
                      <w:sz w:val="21"/>
                      <w:szCs w:val="21"/>
                    </w:rPr>
                    <w:t>水质、</w:t>
                  </w:r>
                </w:p>
                <w:p>
                  <w:pPr>
                    <w:adjustRightInd w:val="0"/>
                    <w:snapToGrid w:val="0"/>
                    <w:ind w:left="-122" w:leftChars="-51" w:right="-122" w:rightChars="-51"/>
                    <w:jc w:val="center"/>
                    <w:outlineLvl w:val="4"/>
                    <w:rPr>
                      <w:color w:val="000000"/>
                      <w:sz w:val="21"/>
                      <w:szCs w:val="21"/>
                    </w:rPr>
                  </w:pPr>
                  <w:r>
                    <w:rPr>
                      <w:color w:val="000000"/>
                      <w:sz w:val="21"/>
                      <w:szCs w:val="21"/>
                    </w:rPr>
                    <w:t>水温</w:t>
                  </w:r>
                </w:p>
              </w:tc>
              <w:tc>
                <w:tcPr>
                  <w:tcW w:w="1755" w:type="pct"/>
                  <w:tcBorders>
                    <w:tl2br w:val="nil"/>
                    <w:tr2bl w:val="nil"/>
                  </w:tcBorders>
                  <w:noWrap w:val="0"/>
                  <w:vAlign w:val="center"/>
                </w:tcPr>
                <w:p>
                  <w:pPr>
                    <w:adjustRightInd w:val="0"/>
                    <w:snapToGrid w:val="0"/>
                    <w:spacing w:line="240" w:lineRule="atLeast"/>
                    <w:jc w:val="center"/>
                    <w:outlineLvl w:val="4"/>
                    <w:rPr>
                      <w:rFonts w:hint="eastAsia"/>
                      <w:color w:val="000000"/>
                      <w:sz w:val="21"/>
                      <w:szCs w:val="21"/>
                    </w:rPr>
                  </w:pPr>
                  <w:r>
                    <w:rPr>
                      <w:color w:val="000000"/>
                      <w:sz w:val="21"/>
                      <w:szCs w:val="21"/>
                    </w:rPr>
                    <w:t>悬浮物、化学需氧量、五日生化需氧量、氨氮、</w:t>
                  </w:r>
                  <w:r>
                    <w:rPr>
                      <w:rFonts w:hint="eastAsia"/>
                      <w:color w:val="000000"/>
                      <w:sz w:val="21"/>
                      <w:szCs w:val="21"/>
                    </w:rPr>
                    <w:t>总氮、总磷、</w:t>
                  </w:r>
                </w:p>
                <w:p>
                  <w:pPr>
                    <w:adjustRightInd w:val="0"/>
                    <w:snapToGrid w:val="0"/>
                    <w:spacing w:line="240" w:lineRule="atLeast"/>
                    <w:jc w:val="center"/>
                    <w:outlineLvl w:val="4"/>
                    <w:rPr>
                      <w:color w:val="000000"/>
                      <w:sz w:val="21"/>
                      <w:szCs w:val="21"/>
                    </w:rPr>
                  </w:pPr>
                  <w:r>
                    <w:rPr>
                      <w:rFonts w:hint="eastAsia"/>
                      <w:color w:val="000000"/>
                      <w:sz w:val="21"/>
                      <w:szCs w:val="21"/>
                    </w:rPr>
                    <w:t>动植物油</w:t>
                  </w:r>
                </w:p>
              </w:tc>
              <w:tc>
                <w:tcPr>
                  <w:tcW w:w="448" w:type="pct"/>
                  <w:tcBorders>
                    <w:tl2br w:val="nil"/>
                    <w:tr2bl w:val="nil"/>
                  </w:tcBorders>
                  <w:noWrap w:val="0"/>
                  <w:vAlign w:val="center"/>
                </w:tcPr>
                <w:p>
                  <w:pPr>
                    <w:adjustRightInd w:val="0"/>
                    <w:snapToGrid w:val="0"/>
                    <w:ind w:left="-122" w:leftChars="-51" w:right="-122" w:rightChars="-51"/>
                    <w:jc w:val="center"/>
                    <w:outlineLvl w:val="4"/>
                    <w:rPr>
                      <w:rFonts w:hint="eastAsia"/>
                      <w:color w:val="000000"/>
                      <w:sz w:val="21"/>
                      <w:szCs w:val="21"/>
                    </w:rPr>
                  </w:pPr>
                  <w:r>
                    <w:rPr>
                      <w:rFonts w:hint="eastAsia"/>
                      <w:color w:val="000000"/>
                      <w:sz w:val="21"/>
                      <w:szCs w:val="21"/>
                    </w:rPr>
                    <w:t>自动</w:t>
                  </w:r>
                </w:p>
              </w:tc>
              <w:tc>
                <w:tcPr>
                  <w:tcW w:w="560" w:type="pct"/>
                  <w:tcBorders>
                    <w:tl2br w:val="nil"/>
                    <w:tr2bl w:val="nil"/>
                  </w:tcBorders>
                  <w:noWrap w:val="0"/>
                  <w:vAlign w:val="center"/>
                </w:tcPr>
                <w:p>
                  <w:pPr>
                    <w:adjustRightInd w:val="0"/>
                    <w:snapToGrid w:val="0"/>
                    <w:ind w:left="-122" w:leftChars="-51" w:right="-122" w:rightChars="-51"/>
                    <w:jc w:val="center"/>
                    <w:outlineLvl w:val="4"/>
                    <w:rPr>
                      <w:color w:val="000000"/>
                      <w:sz w:val="21"/>
                      <w:szCs w:val="21"/>
                    </w:rPr>
                  </w:pPr>
                  <w:r>
                    <w:rPr>
                      <w:color w:val="000000"/>
                      <w:sz w:val="21"/>
                      <w:szCs w:val="21"/>
                    </w:rPr>
                    <w:t>1次/</w:t>
                  </w:r>
                </w:p>
                <w:p>
                  <w:pPr>
                    <w:adjustRightInd w:val="0"/>
                    <w:snapToGrid w:val="0"/>
                    <w:ind w:left="-122" w:leftChars="-51" w:right="-122" w:rightChars="-51"/>
                    <w:jc w:val="center"/>
                    <w:outlineLvl w:val="4"/>
                    <w:rPr>
                      <w:rFonts w:hint="eastAsia"/>
                      <w:color w:val="000000"/>
                      <w:sz w:val="21"/>
                      <w:szCs w:val="21"/>
                    </w:rPr>
                  </w:pPr>
                  <w:r>
                    <w:rPr>
                      <w:rFonts w:hint="eastAsia"/>
                      <w:color w:val="000000"/>
                      <w:sz w:val="21"/>
                      <w:szCs w:val="21"/>
                    </w:rPr>
                    <w:t>1半年</w:t>
                  </w:r>
                </w:p>
              </w:tc>
            </w:tr>
          </w:tbl>
          <w:p>
            <w:pPr>
              <w:numPr>
                <w:ilvl w:val="0"/>
                <w:numId w:val="0"/>
              </w:numPr>
              <w:adjustRightInd w:val="0"/>
              <w:snapToGrid w:val="0"/>
              <w:spacing w:before="120" w:beforeLines="50" w:line="360" w:lineRule="auto"/>
              <w:rPr>
                <w:rFonts w:hint="eastAsia"/>
                <w:b/>
                <w:bCs/>
              </w:rPr>
            </w:pPr>
            <w:r>
              <w:rPr>
                <w:rFonts w:hint="eastAsia"/>
                <w:b/>
                <w:bCs/>
                <w:kern w:val="2"/>
                <w:sz w:val="24"/>
                <w:szCs w:val="24"/>
                <w:lang w:val="en-US" w:eastAsia="zh-CN" w:bidi="ar-SA"/>
              </w:rPr>
              <w:t>3、</w:t>
            </w:r>
            <w:r>
              <w:rPr>
                <w:rFonts w:hint="eastAsia"/>
                <w:b/>
                <w:bCs/>
              </w:rPr>
              <w:t>噪声污染源及防治措施分析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kern w:val="0"/>
                <w:lang w:bidi="ar"/>
              </w:rPr>
            </w:pPr>
            <w:r>
              <w:rPr>
                <w:rFonts w:hint="eastAsia"/>
                <w:kern w:val="0"/>
                <w:lang w:bidi="ar"/>
              </w:rPr>
              <w:t>3.1</w:t>
            </w:r>
            <w:r>
              <w:rPr>
                <w:kern w:val="0"/>
                <w:lang w:bidi="ar"/>
              </w:rPr>
              <w:t>噪声源强分析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rPr>
              <w:t>本</w:t>
            </w:r>
            <w:r>
              <w:t>项目</w:t>
            </w:r>
            <w:r>
              <w:rPr>
                <w:rFonts w:hint="eastAsia"/>
              </w:rPr>
              <w:t>技改后运营期</w:t>
            </w:r>
            <w:r>
              <w:t>高噪声设备主要为</w:t>
            </w:r>
            <w:r>
              <w:rPr>
                <w:rFonts w:hint="eastAsia"/>
              </w:rPr>
              <w:t>吹瓶机</w:t>
            </w:r>
            <w:r>
              <w:t>、</w:t>
            </w:r>
            <w:r>
              <w:rPr>
                <w:rFonts w:hint="eastAsia"/>
                <w:lang w:val="en-US" w:eastAsia="zh-CN"/>
              </w:rPr>
              <w:t>罐装</w:t>
            </w:r>
            <w:r>
              <w:rPr>
                <w:rFonts w:hint="eastAsia"/>
              </w:rPr>
              <w:t>机</w:t>
            </w:r>
            <w:r>
              <w:t>、</w:t>
            </w:r>
            <w:r>
              <w:rPr>
                <w:rFonts w:hint="eastAsia"/>
              </w:rPr>
              <w:t>喷码机</w:t>
            </w:r>
            <w:r>
              <w:t>、</w:t>
            </w:r>
            <w:r>
              <w:rPr>
                <w:rFonts w:hint="eastAsia"/>
              </w:rPr>
              <w:t>膜包机</w:t>
            </w:r>
            <w:r>
              <w:t>等设备，其噪声源等效声级在</w:t>
            </w:r>
            <w:r>
              <w:rPr>
                <w:rFonts w:hint="eastAsia"/>
              </w:rPr>
              <w:t>60</w:t>
            </w:r>
            <w:r>
              <w:t>~</w:t>
            </w:r>
            <w:r>
              <w:rPr>
                <w:rFonts w:hint="eastAsia"/>
              </w:rPr>
              <w:t>90</w:t>
            </w:r>
            <w:r>
              <w:t>dB（A）。项目选用低噪声设备，采取基础减振、隔声、消声级加强管理等措施。</w:t>
            </w:r>
            <w:r>
              <w:rPr>
                <w:rFonts w:ascii="Times New Roman" w:hAnsi="Times New Roman" w:cs="Times New Roman"/>
                <w:lang w:eastAsia="zh-CN"/>
              </w:rPr>
              <w:t>本评价结合厂区总平面布置，以厂区西、南厂界交汇点为坐标原点（x=0，y=0，z=0），x轴正方向为正东方向，y轴正方向为正北方向。各噪声源的位置坐标点，定位坐标均为建构筑物及设备的中心坐标，布置范围为设备布置的x，y范围坐标值，布置标高为相对原点处的标高。</w:t>
            </w:r>
            <w:r>
              <w:rPr>
                <w:rFonts w:ascii="Times New Roman" w:hAnsi="Times New Roman" w:cs="Times New Roman"/>
                <w:spacing w:val="10"/>
                <w:lang w:eastAsia="zh-CN"/>
              </w:rPr>
              <w:t>各种产噪设备噪声源强</w:t>
            </w:r>
            <w:r>
              <w:t>见</w:t>
            </w:r>
            <w:r>
              <w:rPr>
                <w:rFonts w:hint="eastAsia"/>
              </w:rPr>
              <w:t>下表</w:t>
            </w:r>
            <w:r>
              <w:t>。</w:t>
            </w:r>
          </w:p>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pPr>
          </w:p>
        </w:tc>
      </w:tr>
    </w:tbl>
    <w:p>
      <w:pPr>
        <w:pStyle w:val="6"/>
        <w:ind w:left="0" w:leftChars="0" w:firstLine="0" w:firstLineChars="0"/>
        <w:sectPr>
          <w:pgSz w:w="11906" w:h="16838"/>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bCs/>
          <w:color w:val="000000" w:themeColor="text1"/>
          <w:lang w:eastAsia="zh-CN"/>
          <w14:textFill>
            <w14:solidFill>
              <w14:schemeClr w14:val="tx1"/>
            </w14:solidFill>
          </w14:textFill>
        </w:rPr>
      </w:pPr>
      <w:r>
        <w:rPr>
          <w:rFonts w:ascii="Times New Roman" w:hAnsi="Times New Roman" w:cs="Times New Roman"/>
          <w:b/>
          <w:bCs/>
          <w:color w:val="000000" w:themeColor="text1"/>
          <w:lang w:eastAsia="zh-CN"/>
          <w14:textFill>
            <w14:solidFill>
              <w14:schemeClr w14:val="tx1"/>
            </w14:solidFill>
          </w14:textFill>
        </w:rPr>
        <w:t>表4-</w:t>
      </w:r>
      <w:r>
        <w:rPr>
          <w:rFonts w:hint="eastAsia" w:cs="Times New Roman"/>
          <w:b/>
          <w:bCs/>
          <w:color w:val="000000" w:themeColor="text1"/>
          <w:lang w:val="en-US" w:eastAsia="zh-CN"/>
          <w14:textFill>
            <w14:solidFill>
              <w14:schemeClr w14:val="tx1"/>
            </w14:solidFill>
          </w14:textFill>
        </w:rPr>
        <w:t>11</w:t>
      </w:r>
      <w:r>
        <w:rPr>
          <w:rFonts w:ascii="Times New Roman" w:hAnsi="Times New Roman" w:cs="Times New Roman"/>
          <w:b/>
          <w:bCs/>
          <w:color w:val="000000" w:themeColor="text1"/>
          <w:lang w:eastAsia="zh-CN"/>
          <w14:textFill>
            <w14:solidFill>
              <w14:schemeClr w14:val="tx1"/>
            </w14:solidFill>
          </w14:textFill>
        </w:rPr>
        <w:t xml:space="preserve">  工业企业噪声源强调查清单（室外声源）</w:t>
      </w:r>
    </w:p>
    <w:tbl>
      <w:tblPr>
        <w:tblStyle w:val="21"/>
        <w:tblW w:w="4995"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89"/>
        <w:gridCol w:w="2492"/>
        <w:gridCol w:w="908"/>
        <w:gridCol w:w="1298"/>
        <w:gridCol w:w="1209"/>
        <w:gridCol w:w="982"/>
        <w:gridCol w:w="2037"/>
        <w:gridCol w:w="1286"/>
        <w:gridCol w:w="928"/>
        <w:gridCol w:w="914"/>
        <w:gridCol w:w="914"/>
        <w:gridCol w:w="91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30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序号</w:t>
            </w:r>
          </w:p>
        </w:tc>
        <w:tc>
          <w:tcPr>
            <w:tcW w:w="84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声源名称</w:t>
            </w:r>
          </w:p>
        </w:tc>
        <w:tc>
          <w:tcPr>
            <w:tcW w:w="30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数量</w:t>
            </w:r>
          </w:p>
        </w:tc>
        <w:tc>
          <w:tcPr>
            <w:tcW w:w="1180"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空间相对位置/m</w:t>
            </w:r>
          </w:p>
        </w:tc>
        <w:tc>
          <w:tcPr>
            <w:tcW w:w="6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声源源强</w:t>
            </w:r>
          </w:p>
        </w:tc>
        <w:tc>
          <w:tcPr>
            <w:tcW w:w="43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声源控制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措施</w:t>
            </w:r>
          </w:p>
        </w:tc>
        <w:tc>
          <w:tcPr>
            <w:tcW w:w="3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运行</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时段</w:t>
            </w:r>
          </w:p>
        </w:tc>
        <w:tc>
          <w:tcPr>
            <w:tcW w:w="30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eastAsiaTheme="minorEastAsia"/>
                <w:b/>
                <w:color w:val="000000" w:themeColor="text1"/>
                <w:sz w:val="21"/>
                <w:szCs w:val="18"/>
                <w:lang w:eastAsia="zh-CN"/>
                <w14:textFill>
                  <w14:solidFill>
                    <w14:schemeClr w14:val="tx1"/>
                  </w14:solidFill>
                </w14:textFill>
              </w:rPr>
            </w:pPr>
            <w:r>
              <w:rPr>
                <w:rFonts w:ascii="Times New Roman" w:hAnsi="Times New Roman" w:cs="Times New Roman"/>
                <w:b/>
                <w:color w:val="000000" w:themeColor="text1"/>
                <w:sz w:val="21"/>
                <w:szCs w:val="18"/>
                <w:lang w:eastAsia="zh-CN"/>
                <w14:textFill>
                  <w14:solidFill>
                    <w14:schemeClr w14:val="tx1"/>
                  </w14:solidFill>
                </w14:textFill>
              </w:rPr>
              <w:t>建筑物插入损失</w:t>
            </w:r>
          </w:p>
        </w:tc>
        <w:tc>
          <w:tcPr>
            <w:tcW w:w="30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eastAsiaTheme="minorEastAsia"/>
                <w:b/>
                <w:color w:val="000000" w:themeColor="text1"/>
                <w:sz w:val="21"/>
                <w:szCs w:val="18"/>
                <w:lang w:eastAsia="zh-CN"/>
                <w14:textFill>
                  <w14:solidFill>
                    <w14:schemeClr w14:val="tx1"/>
                  </w14:solidFill>
                </w14:textFill>
              </w:rPr>
            </w:pPr>
            <w:r>
              <w:rPr>
                <w:rFonts w:ascii="Times New Roman" w:hAnsi="Times New Roman" w:cs="Times New Roman"/>
                <w:b/>
                <w:color w:val="000000" w:themeColor="text1"/>
                <w:sz w:val="21"/>
                <w:szCs w:val="18"/>
                <w:lang w:eastAsia="zh-CN"/>
                <w14:textFill>
                  <w14:solidFill>
                    <w14:schemeClr w14:val="tx1"/>
                  </w14:solidFill>
                </w14:textFill>
              </w:rPr>
              <w:t>建筑物外噪声</w:t>
            </w:r>
          </w:p>
        </w:tc>
        <w:tc>
          <w:tcPr>
            <w:tcW w:w="30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eastAsiaTheme="minorEastAsia"/>
                <w:b/>
                <w:color w:val="000000" w:themeColor="text1"/>
                <w:sz w:val="21"/>
                <w:szCs w:val="18"/>
                <w:lang w:eastAsia="zh-CN"/>
                <w14:textFill>
                  <w14:solidFill>
                    <w14:schemeClr w14:val="tx1"/>
                  </w14:solidFill>
                </w14:textFill>
              </w:rPr>
            </w:pPr>
            <w:r>
              <w:rPr>
                <w:rFonts w:ascii="Times New Roman" w:hAnsi="Times New Roman" w:cs="Times New Roman"/>
                <w:b/>
                <w:color w:val="000000" w:themeColor="text1"/>
                <w:sz w:val="21"/>
                <w:szCs w:val="18"/>
                <w:lang w:eastAsia="zh-CN"/>
                <w14:textFill>
                  <w14:solidFill>
                    <w14:schemeClr w14:val="tx1"/>
                  </w14:solidFill>
                </w14:textFill>
              </w:rPr>
              <w:t>建筑物外距离/m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30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p>
        </w:tc>
        <w:tc>
          <w:tcPr>
            <w:tcW w:w="8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p>
        </w:tc>
        <w:tc>
          <w:tcPr>
            <w:tcW w:w="30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p>
        </w:tc>
        <w:tc>
          <w:tcPr>
            <w:tcW w:w="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X</w:t>
            </w:r>
          </w:p>
        </w:tc>
        <w:tc>
          <w:tcPr>
            <w:tcW w:w="4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Y</w:t>
            </w:r>
          </w:p>
        </w:tc>
        <w:tc>
          <w:tcPr>
            <w:tcW w:w="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Z</w:t>
            </w:r>
          </w:p>
        </w:tc>
        <w:tc>
          <w:tcPr>
            <w:tcW w:w="6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color w:val="000000" w:themeColor="text1"/>
                <w:sz w:val="21"/>
                <w:szCs w:val="18"/>
                <w14:textFill>
                  <w14:solidFill>
                    <w14:schemeClr w14:val="tx1"/>
                  </w14:solidFill>
                </w14:textFill>
              </w:rPr>
            </w:pPr>
            <w:r>
              <w:rPr>
                <w:rFonts w:ascii="Times New Roman" w:hAnsi="Times New Roman" w:cs="Times New Roman"/>
                <w:b/>
                <w:color w:val="000000" w:themeColor="text1"/>
                <w:sz w:val="21"/>
                <w:szCs w:val="18"/>
                <w14:textFill>
                  <w14:solidFill>
                    <w14:schemeClr w14:val="tx1"/>
                  </w14:solidFill>
                </w14:textFill>
              </w:rPr>
              <w:t>声功率级/dB（A）</w:t>
            </w:r>
          </w:p>
        </w:tc>
        <w:tc>
          <w:tcPr>
            <w:tcW w:w="4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p>
        </w:tc>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p>
        </w:tc>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p>
        </w:tc>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p>
        </w:tc>
        <w:tc>
          <w:tcPr>
            <w:tcW w:w="30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23" w:hRule="atLeast"/>
        </w:trPr>
        <w:tc>
          <w:tcPr>
            <w:tcW w:w="3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1</w:t>
            </w:r>
          </w:p>
        </w:tc>
        <w:tc>
          <w:tcPr>
            <w:tcW w:w="8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r>
              <w:rPr>
                <w:rFonts w:hint="eastAsia"/>
                <w:sz w:val="21"/>
                <w:szCs w:val="21"/>
              </w:rPr>
              <w:t>DA00</w:t>
            </w:r>
            <w:r>
              <w:rPr>
                <w:rFonts w:hint="eastAsia"/>
                <w:sz w:val="21"/>
                <w:szCs w:val="21"/>
                <w:lang w:val="en-US" w:eastAsia="zh-CN"/>
              </w:rPr>
              <w:t>5</w:t>
            </w:r>
            <w:r>
              <w:rPr>
                <w:rFonts w:hint="eastAsia"/>
                <w:sz w:val="21"/>
                <w:szCs w:val="21"/>
              </w:rPr>
              <w:t>风机</w:t>
            </w:r>
          </w:p>
        </w:tc>
        <w:tc>
          <w:tcPr>
            <w:tcW w:w="3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1</w:t>
            </w:r>
          </w:p>
        </w:tc>
        <w:tc>
          <w:tcPr>
            <w:tcW w:w="43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18"/>
                <w:lang w:val="en-US" w:eastAsia="zh-CN"/>
                <w14:textFill>
                  <w14:solidFill>
                    <w14:schemeClr w14:val="tx1"/>
                  </w14:solidFill>
                </w14:textFill>
              </w:rPr>
            </w:pPr>
            <w:r>
              <w:rPr>
                <w:rFonts w:hint="eastAsia" w:cs="Times New Roman"/>
                <w:color w:val="000000" w:themeColor="text1"/>
                <w:sz w:val="21"/>
                <w:szCs w:val="18"/>
                <w:lang w:val="en-US" w:eastAsia="zh-CN"/>
                <w14:textFill>
                  <w14:solidFill>
                    <w14:schemeClr w14:val="tx1"/>
                  </w14:solidFill>
                </w14:textFill>
              </w:rPr>
              <w:t>315.47</w:t>
            </w:r>
          </w:p>
        </w:tc>
        <w:tc>
          <w:tcPr>
            <w:tcW w:w="4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r>
              <w:rPr>
                <w:rFonts w:hint="eastAsia" w:cs="Times New Roman"/>
                <w:color w:val="000000" w:themeColor="text1"/>
                <w:sz w:val="21"/>
                <w:szCs w:val="18"/>
                <w:lang w:val="en-US" w:eastAsia="zh-CN"/>
                <w14:textFill>
                  <w14:solidFill>
                    <w14:schemeClr w14:val="tx1"/>
                  </w14:solidFill>
                </w14:textFill>
              </w:rPr>
              <w:t>160</w:t>
            </w:r>
            <w:r>
              <w:rPr>
                <w:rFonts w:ascii="Times New Roman" w:hAnsi="Times New Roman" w:cs="Times New Roman"/>
                <w:color w:val="000000" w:themeColor="text1"/>
                <w:sz w:val="21"/>
                <w:szCs w:val="18"/>
                <w14:textFill>
                  <w14:solidFill>
                    <w14:schemeClr w14:val="tx1"/>
                  </w14:solidFill>
                </w14:textFill>
              </w:rPr>
              <w:t>.64</w:t>
            </w:r>
          </w:p>
        </w:tc>
        <w:tc>
          <w:tcPr>
            <w:tcW w:w="3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1.2</w:t>
            </w:r>
          </w:p>
        </w:tc>
        <w:tc>
          <w:tcPr>
            <w:tcW w:w="68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90</w:t>
            </w: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lang w:eastAsia="zh-CN"/>
                <w14:textFill>
                  <w14:solidFill>
                    <w14:schemeClr w14:val="tx1"/>
                  </w14:solidFill>
                </w14:textFill>
              </w:rPr>
            </w:pPr>
            <w:r>
              <w:rPr>
                <w:rFonts w:hint="eastAsia"/>
                <w:color w:val="000000"/>
                <w:kern w:val="0"/>
                <w:sz w:val="21"/>
                <w:szCs w:val="21"/>
                <w:lang w:bidi="ar"/>
              </w:rPr>
              <w:t>对风机气流噪声设置消音器</w:t>
            </w:r>
          </w:p>
        </w:tc>
        <w:tc>
          <w:tcPr>
            <w:tcW w:w="3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r>
              <w:rPr>
                <w:rFonts w:hint="eastAsia" w:ascii="Times New Roman" w:hAnsi="Times New Roman" w:cs="Times New Roman"/>
                <w:color w:val="000000" w:themeColor="text1"/>
                <w:sz w:val="21"/>
                <w:szCs w:val="18"/>
                <w:lang w:val="en-US" w:eastAsia="zh-CN"/>
                <w14:textFill>
                  <w14:solidFill>
                    <w14:schemeClr w14:val="tx1"/>
                  </w14:solidFill>
                </w14:textFill>
              </w:rPr>
              <w:t>2</w:t>
            </w:r>
            <w:r>
              <w:rPr>
                <w:rFonts w:hint="eastAsia" w:cs="Times New Roman"/>
                <w:color w:val="000000" w:themeColor="text1"/>
                <w:sz w:val="21"/>
                <w:szCs w:val="18"/>
                <w:lang w:val="en-US" w:eastAsia="zh-CN"/>
                <w14:textFill>
                  <w14:solidFill>
                    <w14:schemeClr w14:val="tx1"/>
                  </w14:solidFill>
                </w14:textFill>
              </w:rPr>
              <w:t>4</w:t>
            </w:r>
            <w:r>
              <w:rPr>
                <w:rFonts w:ascii="Times New Roman" w:hAnsi="Times New Roman" w:cs="Times New Roman"/>
                <w:color w:val="000000" w:themeColor="text1"/>
                <w:sz w:val="21"/>
                <w:szCs w:val="18"/>
                <w14:textFill>
                  <w14:solidFill>
                    <w14:schemeClr w14:val="tx1"/>
                  </w14:solidFill>
                </w14:textFill>
              </w:rPr>
              <w:t>h</w:t>
            </w:r>
          </w:p>
        </w:tc>
        <w:tc>
          <w:tcPr>
            <w:tcW w:w="3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eastAsiaTheme="minorEastAsia"/>
                <w:color w:val="000000" w:themeColor="text1"/>
                <w:sz w:val="21"/>
                <w:szCs w:val="18"/>
                <w:lang w:eastAsia="zh-CN"/>
                <w14:textFill>
                  <w14:solidFill>
                    <w14:schemeClr w14:val="tx1"/>
                  </w14:solidFill>
                </w14:textFill>
              </w:rPr>
            </w:pPr>
            <w:r>
              <w:rPr>
                <w:rFonts w:ascii="Times New Roman" w:hAnsi="Times New Roman" w:cs="Times New Roman"/>
                <w:color w:val="000000" w:themeColor="text1"/>
                <w:sz w:val="21"/>
                <w:szCs w:val="18"/>
                <w:lang w:eastAsia="zh-CN"/>
                <w14:textFill>
                  <w14:solidFill>
                    <w14:schemeClr w14:val="tx1"/>
                  </w14:solidFill>
                </w14:textFill>
              </w:rPr>
              <w:t>≥10</w:t>
            </w:r>
          </w:p>
        </w:tc>
        <w:tc>
          <w:tcPr>
            <w:tcW w:w="3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eastAsiaTheme="minorEastAsia"/>
                <w:color w:val="000000" w:themeColor="text1"/>
                <w:sz w:val="21"/>
                <w:szCs w:val="18"/>
                <w:lang w:eastAsia="zh-CN"/>
                <w14:textFill>
                  <w14:solidFill>
                    <w14:schemeClr w14:val="tx1"/>
                  </w14:solidFill>
                </w14:textFill>
              </w:rPr>
            </w:pPr>
            <w:r>
              <w:rPr>
                <w:rFonts w:ascii="Times New Roman" w:hAnsi="Times New Roman" w:cs="Times New Roman"/>
                <w:color w:val="000000" w:themeColor="text1"/>
                <w:sz w:val="21"/>
                <w:szCs w:val="18"/>
                <w:lang w:eastAsia="zh-CN"/>
                <w14:textFill>
                  <w14:solidFill>
                    <w14:schemeClr w14:val="tx1"/>
                  </w14:solidFill>
                </w14:textFill>
              </w:rPr>
              <w:t>80</w:t>
            </w:r>
          </w:p>
        </w:tc>
        <w:tc>
          <w:tcPr>
            <w:tcW w:w="3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eastAsiaTheme="minorEastAsia"/>
                <w:color w:val="000000" w:themeColor="text1"/>
                <w:sz w:val="21"/>
                <w:szCs w:val="18"/>
                <w:lang w:eastAsia="zh-CN"/>
                <w14:textFill>
                  <w14:solidFill>
                    <w14:schemeClr w14:val="tx1"/>
                  </w14:solidFill>
                </w14:textFill>
              </w:rPr>
            </w:pPr>
            <w:r>
              <w:rPr>
                <w:rFonts w:ascii="Times New Roman" w:hAnsi="Times New Roman" w:cs="Times New Roman"/>
                <w:color w:val="000000" w:themeColor="text1"/>
                <w:sz w:val="21"/>
                <w:szCs w:val="18"/>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23" w:hRule="atLeast"/>
        </w:trPr>
        <w:tc>
          <w:tcPr>
            <w:tcW w:w="3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18"/>
                <w:lang w:val="en-US" w:eastAsia="zh-CN"/>
                <w14:textFill>
                  <w14:solidFill>
                    <w14:schemeClr w14:val="tx1"/>
                  </w14:solidFill>
                </w14:textFill>
              </w:rPr>
            </w:pPr>
            <w:r>
              <w:rPr>
                <w:rFonts w:hint="eastAsia" w:cs="Times New Roman"/>
                <w:color w:val="000000" w:themeColor="text1"/>
                <w:sz w:val="21"/>
                <w:szCs w:val="18"/>
                <w:lang w:val="en-US" w:eastAsia="zh-CN"/>
                <w14:textFill>
                  <w14:solidFill>
                    <w14:schemeClr w14:val="tx1"/>
                  </w14:solidFill>
                </w14:textFill>
              </w:rPr>
              <w:t>2</w:t>
            </w:r>
          </w:p>
        </w:tc>
        <w:tc>
          <w:tcPr>
            <w:tcW w:w="24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sz w:val="21"/>
                <w:szCs w:val="21"/>
              </w:rPr>
              <w:t>DA00</w:t>
            </w:r>
            <w:r>
              <w:rPr>
                <w:rFonts w:hint="eastAsia"/>
                <w:sz w:val="21"/>
                <w:szCs w:val="21"/>
                <w:lang w:val="en-US" w:eastAsia="zh-CN"/>
              </w:rPr>
              <w:t>6</w:t>
            </w:r>
            <w:r>
              <w:rPr>
                <w:rFonts w:hint="eastAsia"/>
                <w:sz w:val="21"/>
                <w:szCs w:val="21"/>
              </w:rPr>
              <w:t>风机</w:t>
            </w:r>
          </w:p>
        </w:tc>
        <w:tc>
          <w:tcPr>
            <w:tcW w:w="9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1</w:t>
            </w:r>
          </w:p>
        </w:tc>
        <w:tc>
          <w:tcPr>
            <w:tcW w:w="12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000000" w:themeColor="text1"/>
                <w:sz w:val="21"/>
                <w:szCs w:val="18"/>
                <w:lang w:val="en-US" w:eastAsia="zh-CN"/>
                <w14:textFill>
                  <w14:solidFill>
                    <w14:schemeClr w14:val="tx1"/>
                  </w14:solidFill>
                </w14:textFill>
              </w:rPr>
            </w:pPr>
            <w:r>
              <w:rPr>
                <w:rFonts w:hint="eastAsia" w:cs="Times New Roman"/>
                <w:color w:val="000000" w:themeColor="text1"/>
                <w:sz w:val="21"/>
                <w:szCs w:val="18"/>
                <w:lang w:val="en-US" w:eastAsia="zh-CN"/>
                <w14:textFill>
                  <w14:solidFill>
                    <w14:schemeClr w14:val="tx1"/>
                  </w14:solidFill>
                </w14:textFill>
              </w:rPr>
              <w:t>316.53</w:t>
            </w:r>
          </w:p>
        </w:tc>
        <w:tc>
          <w:tcPr>
            <w:tcW w:w="12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color w:val="000000" w:themeColor="text1"/>
                <w:sz w:val="21"/>
                <w:szCs w:val="18"/>
                <w:lang w:val="en-US" w:eastAsia="zh-CN"/>
                <w14:textFill>
                  <w14:solidFill>
                    <w14:schemeClr w14:val="tx1"/>
                  </w14:solidFill>
                </w14:textFill>
              </w:rPr>
            </w:pPr>
            <w:r>
              <w:rPr>
                <w:rFonts w:hint="eastAsia" w:cs="Times New Roman"/>
                <w:color w:val="000000" w:themeColor="text1"/>
                <w:sz w:val="21"/>
                <w:szCs w:val="18"/>
                <w:lang w:val="en-US" w:eastAsia="zh-CN"/>
                <w14:textFill>
                  <w14:solidFill>
                    <w14:schemeClr w14:val="tx1"/>
                  </w14:solidFill>
                </w14:textFill>
              </w:rPr>
              <w:t>164</w:t>
            </w:r>
            <w:r>
              <w:rPr>
                <w:rFonts w:ascii="Times New Roman" w:hAnsi="Times New Roman" w:cs="Times New Roman"/>
                <w:color w:val="000000" w:themeColor="text1"/>
                <w:sz w:val="21"/>
                <w:szCs w:val="18"/>
                <w14:textFill>
                  <w14:solidFill>
                    <w14:schemeClr w14:val="tx1"/>
                  </w14:solidFill>
                </w14:textFill>
              </w:rPr>
              <w:t>.</w:t>
            </w:r>
            <w:r>
              <w:rPr>
                <w:rFonts w:hint="eastAsia" w:cs="Times New Roman"/>
                <w:color w:val="000000" w:themeColor="text1"/>
                <w:sz w:val="21"/>
                <w:szCs w:val="18"/>
                <w:lang w:val="en-US" w:eastAsia="zh-CN"/>
                <w14:textFill>
                  <w14:solidFill>
                    <w14:schemeClr w14:val="tx1"/>
                  </w14:solidFill>
                </w14:textFill>
              </w:rPr>
              <w:t>57</w:t>
            </w:r>
          </w:p>
        </w:tc>
        <w:tc>
          <w:tcPr>
            <w:tcW w:w="9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1.2</w:t>
            </w:r>
          </w:p>
        </w:tc>
        <w:tc>
          <w:tcPr>
            <w:tcW w:w="20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90</w:t>
            </w:r>
          </w:p>
        </w:tc>
        <w:tc>
          <w:tcPr>
            <w:tcW w:w="12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kern w:val="0"/>
                <w:sz w:val="21"/>
                <w:szCs w:val="21"/>
                <w:lang w:bidi="ar"/>
              </w:rPr>
            </w:pPr>
            <w:r>
              <w:rPr>
                <w:rFonts w:hint="eastAsia"/>
                <w:color w:val="000000"/>
                <w:kern w:val="0"/>
                <w:sz w:val="21"/>
                <w:szCs w:val="21"/>
                <w:lang w:bidi="ar"/>
              </w:rPr>
              <w:t>对风机气流噪声设置消音器</w:t>
            </w:r>
          </w:p>
        </w:tc>
        <w:tc>
          <w:tcPr>
            <w:tcW w:w="9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000000" w:themeColor="text1"/>
                <w:sz w:val="21"/>
                <w:szCs w:val="18"/>
                <w:lang w:val="en-US" w:eastAsia="zh-CN"/>
                <w14:textFill>
                  <w14:solidFill>
                    <w14:schemeClr w14:val="tx1"/>
                  </w14:solidFill>
                </w14:textFill>
              </w:rPr>
            </w:pPr>
            <w:r>
              <w:rPr>
                <w:rFonts w:hint="eastAsia" w:ascii="Times New Roman" w:hAnsi="Times New Roman" w:cs="Times New Roman"/>
                <w:color w:val="000000" w:themeColor="text1"/>
                <w:sz w:val="21"/>
                <w:szCs w:val="18"/>
                <w:lang w:val="en-US" w:eastAsia="zh-CN"/>
                <w14:textFill>
                  <w14:solidFill>
                    <w14:schemeClr w14:val="tx1"/>
                  </w14:solidFill>
                </w14:textFill>
              </w:rPr>
              <w:t>2</w:t>
            </w:r>
            <w:r>
              <w:rPr>
                <w:rFonts w:hint="eastAsia" w:cs="Times New Roman"/>
                <w:color w:val="000000" w:themeColor="text1"/>
                <w:sz w:val="21"/>
                <w:szCs w:val="18"/>
                <w:lang w:val="en-US" w:eastAsia="zh-CN"/>
                <w14:textFill>
                  <w14:solidFill>
                    <w14:schemeClr w14:val="tx1"/>
                  </w14:solidFill>
                </w14:textFill>
              </w:rPr>
              <w:t>4</w:t>
            </w:r>
            <w:r>
              <w:rPr>
                <w:rFonts w:ascii="Times New Roman" w:hAnsi="Times New Roman" w:cs="Times New Roman"/>
                <w:color w:val="000000" w:themeColor="text1"/>
                <w:sz w:val="21"/>
                <w:szCs w:val="18"/>
                <w14:textFill>
                  <w14:solidFill>
                    <w14:schemeClr w14:val="tx1"/>
                  </w14:solidFill>
                </w14:textFill>
              </w:rPr>
              <w:t>h</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lang w:eastAsia="zh-CN"/>
                <w14:textFill>
                  <w14:solidFill>
                    <w14:schemeClr w14:val="tx1"/>
                  </w14:solidFill>
                </w14:textFill>
              </w:rPr>
            </w:pPr>
            <w:r>
              <w:rPr>
                <w:rFonts w:ascii="Times New Roman" w:hAnsi="Times New Roman" w:cs="Times New Roman"/>
                <w:color w:val="000000" w:themeColor="text1"/>
                <w:sz w:val="21"/>
                <w:szCs w:val="18"/>
                <w:lang w:eastAsia="zh-CN"/>
                <w14:textFill>
                  <w14:solidFill>
                    <w14:schemeClr w14:val="tx1"/>
                  </w14:solidFill>
                </w14:textFill>
              </w:rPr>
              <w:t>≥10</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lang w:eastAsia="zh-CN"/>
                <w14:textFill>
                  <w14:solidFill>
                    <w14:schemeClr w14:val="tx1"/>
                  </w14:solidFill>
                </w14:textFill>
              </w:rPr>
            </w:pPr>
            <w:r>
              <w:rPr>
                <w:rFonts w:ascii="Times New Roman" w:hAnsi="Times New Roman" w:cs="Times New Roman"/>
                <w:color w:val="000000" w:themeColor="text1"/>
                <w:sz w:val="21"/>
                <w:szCs w:val="18"/>
                <w:lang w:eastAsia="zh-CN"/>
                <w14:textFill>
                  <w14:solidFill>
                    <w14:schemeClr w14:val="tx1"/>
                  </w14:solidFill>
                </w14:textFill>
              </w:rPr>
              <w:t>80</w:t>
            </w:r>
          </w:p>
        </w:tc>
        <w:tc>
          <w:tcPr>
            <w:tcW w:w="9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color w:val="000000" w:themeColor="text1"/>
                <w:sz w:val="21"/>
                <w:szCs w:val="18"/>
                <w:lang w:eastAsia="zh-CN"/>
                <w14:textFill>
                  <w14:solidFill>
                    <w14:schemeClr w14:val="tx1"/>
                  </w14:solidFill>
                </w14:textFill>
              </w:rPr>
            </w:pPr>
            <w:r>
              <w:rPr>
                <w:rFonts w:ascii="Times New Roman" w:hAnsi="Times New Roman" w:cs="Times New Roman"/>
                <w:color w:val="000000" w:themeColor="text1"/>
                <w:sz w:val="21"/>
                <w:szCs w:val="18"/>
                <w:lang w:eastAsia="zh-CN"/>
                <w14:textFill>
                  <w14:solidFill>
                    <w14:schemeClr w14:val="tx1"/>
                  </w14:solidFill>
                </w14:textFill>
              </w:rPr>
              <w:t>10</w:t>
            </w:r>
          </w:p>
        </w:tc>
      </w:tr>
    </w:tbl>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ascii="宋体" w:hAnsi="宋体" w:cs="宋体"/>
          <w:b/>
          <w:bCs/>
          <w:color w:val="000000" w:themeColor="text1"/>
          <w:lang w:eastAsia="zh-CN"/>
          <w14:textFill>
            <w14:solidFill>
              <w14:schemeClr w14:val="tx1"/>
            </w14:solidFill>
          </w14:textFill>
        </w:rPr>
      </w:pPr>
      <w:r>
        <w:rPr>
          <w:rFonts w:hint="eastAsia" w:ascii="宋体" w:hAnsi="宋体" w:cs="宋体"/>
          <w:b/>
          <w:bCs/>
          <w:color w:val="000000" w:themeColor="text1"/>
          <w:lang w:eastAsia="zh-CN"/>
          <w14:textFill>
            <w14:solidFill>
              <w14:schemeClr w14:val="tx1"/>
            </w14:solidFill>
          </w14:textFill>
        </w:rPr>
        <w:t>表</w:t>
      </w:r>
      <w:r>
        <w:rPr>
          <w:rFonts w:ascii="Times New Roman" w:hAnsi="Times New Roman" w:cs="Times New Roman"/>
          <w:b/>
          <w:bCs/>
          <w:color w:val="000000" w:themeColor="text1"/>
          <w:lang w:eastAsia="zh-CN"/>
          <w14:textFill>
            <w14:solidFill>
              <w14:schemeClr w14:val="tx1"/>
            </w14:solidFill>
          </w14:textFill>
        </w:rPr>
        <w:t>4-</w:t>
      </w:r>
      <w:r>
        <w:rPr>
          <w:rFonts w:hint="eastAsia" w:cs="Times New Roman"/>
          <w:b/>
          <w:bCs/>
          <w:color w:val="000000" w:themeColor="text1"/>
          <w:lang w:val="en-US" w:eastAsia="zh-CN"/>
          <w14:textFill>
            <w14:solidFill>
              <w14:schemeClr w14:val="tx1"/>
            </w14:solidFill>
          </w14:textFill>
        </w:rPr>
        <w:t>12</w:t>
      </w:r>
      <w:r>
        <w:rPr>
          <w:rFonts w:ascii="Times New Roman" w:hAnsi="Times New Roman" w:cs="Times New Roman"/>
          <w:b/>
          <w:bCs/>
          <w:color w:val="000000" w:themeColor="text1"/>
          <w:lang w:eastAsia="zh-CN"/>
          <w14:textFill>
            <w14:solidFill>
              <w14:schemeClr w14:val="tx1"/>
            </w14:solidFill>
          </w14:textFill>
        </w:rPr>
        <w:t xml:space="preserve"> </w:t>
      </w:r>
      <w:r>
        <w:rPr>
          <w:rFonts w:hint="eastAsia" w:ascii="宋体" w:hAnsi="宋体" w:cs="宋体"/>
          <w:b/>
          <w:bCs/>
          <w:color w:val="000000" w:themeColor="text1"/>
          <w:lang w:eastAsia="zh-CN"/>
          <w14:textFill>
            <w14:solidFill>
              <w14:schemeClr w14:val="tx1"/>
            </w14:solidFill>
          </w14:textFill>
        </w:rPr>
        <w:t xml:space="preserve"> 工业企业噪声源强调查清单（室内声源）</w:t>
      </w:r>
    </w:p>
    <w:tbl>
      <w:tblPr>
        <w:tblStyle w:val="21"/>
        <w:tblW w:w="4991"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Layout w:type="autofit"/>
        <w:tblCellMar>
          <w:top w:w="0" w:type="dxa"/>
          <w:left w:w="108" w:type="dxa"/>
          <w:bottom w:w="0" w:type="dxa"/>
          <w:right w:w="108" w:type="dxa"/>
        </w:tblCellMar>
      </w:tblPr>
      <w:tblGrid>
        <w:gridCol w:w="659"/>
        <w:gridCol w:w="1324"/>
        <w:gridCol w:w="1959"/>
        <w:gridCol w:w="857"/>
        <w:gridCol w:w="1079"/>
        <w:gridCol w:w="940"/>
        <w:gridCol w:w="839"/>
        <w:gridCol w:w="1454"/>
        <w:gridCol w:w="1271"/>
        <w:gridCol w:w="706"/>
        <w:gridCol w:w="697"/>
        <w:gridCol w:w="884"/>
        <w:gridCol w:w="695"/>
        <w:gridCol w:w="697"/>
        <w:gridCol w:w="698"/>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c>
          <w:tcPr>
            <w:tcW w:w="22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序号</w:t>
            </w:r>
          </w:p>
        </w:tc>
        <w:tc>
          <w:tcPr>
            <w:tcW w:w="4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建筑物名称</w:t>
            </w:r>
          </w:p>
        </w:tc>
        <w:tc>
          <w:tcPr>
            <w:tcW w:w="66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声源名称</w:t>
            </w:r>
          </w:p>
        </w:tc>
        <w:tc>
          <w:tcPr>
            <w:tcW w:w="29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数量</w:t>
            </w:r>
          </w:p>
        </w:tc>
        <w:tc>
          <w:tcPr>
            <w:tcW w:w="967"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空间相对位置/m</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声源源强</w:t>
            </w:r>
          </w:p>
        </w:tc>
        <w:tc>
          <w:tcPr>
            <w:tcW w:w="4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声源控制</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措施</w:t>
            </w:r>
          </w:p>
        </w:tc>
        <w:tc>
          <w:tcPr>
            <w:tcW w:w="23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运行时段</w:t>
            </w:r>
          </w:p>
        </w:tc>
        <w:tc>
          <w:tcPr>
            <w:tcW w:w="23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b/>
                <w:color w:val="000000" w:themeColor="text1"/>
                <w:sz w:val="21"/>
                <w:lang w:eastAsia="zh-CN"/>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距离室内边界距离/m</w:t>
            </w:r>
          </w:p>
        </w:tc>
        <w:tc>
          <w:tcPr>
            <w:tcW w:w="29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b/>
                <w:color w:val="000000" w:themeColor="text1"/>
                <w:sz w:val="21"/>
                <w:lang w:eastAsia="zh-CN"/>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室内边界声级/dB（A）</w:t>
            </w:r>
          </w:p>
        </w:tc>
        <w:tc>
          <w:tcPr>
            <w:tcW w:w="23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b/>
                <w:color w:val="000000" w:themeColor="text1"/>
                <w:sz w:val="21"/>
                <w:lang w:eastAsia="zh-CN"/>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建筑物插入损失</w:t>
            </w:r>
          </w:p>
        </w:tc>
        <w:tc>
          <w:tcPr>
            <w:tcW w:w="23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b/>
                <w:color w:val="000000" w:themeColor="text1"/>
                <w:sz w:val="21"/>
                <w:lang w:eastAsia="zh-CN"/>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建筑物外噪声</w:t>
            </w:r>
          </w:p>
        </w:tc>
        <w:tc>
          <w:tcPr>
            <w:tcW w:w="23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b/>
                <w:color w:val="000000" w:themeColor="text1"/>
                <w:sz w:val="21"/>
                <w:lang w:eastAsia="zh-CN"/>
                <w14:textFill>
                  <w14:solidFill>
                    <w14:schemeClr w14:val="tx1"/>
                  </w14:solidFill>
                </w14:textFill>
              </w:rPr>
            </w:pPr>
            <w:r>
              <w:rPr>
                <w:rFonts w:ascii="Times New Roman" w:hAnsi="Times New Roman" w:cs="Times New Roman"/>
                <w:b/>
                <w:color w:val="000000" w:themeColor="text1"/>
                <w:sz w:val="21"/>
                <w:lang w:eastAsia="zh-CN"/>
                <w14:textFill>
                  <w14:solidFill>
                    <w14:schemeClr w14:val="tx1"/>
                  </w14:solidFill>
                </w14:textFill>
              </w:rPr>
              <w:t>建筑物外距离/m</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c>
          <w:tcPr>
            <w:tcW w:w="22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66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X</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Y</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Z</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声功率级/dB（A）</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9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523"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w:t>
            </w:r>
          </w:p>
        </w:tc>
        <w:tc>
          <w:tcPr>
            <w:tcW w:w="4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生产车间</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吹瓶机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cs="Times New Roman" w:eastAsiaTheme="minorEastAsia"/>
                <w:color w:val="000000" w:themeColor="text1"/>
                <w:sz w:val="21"/>
                <w:lang w:val="en-US" w:eastAsia="zh-CN"/>
                <w14:textFill>
                  <w14:solidFill>
                    <w14:schemeClr w14:val="tx1"/>
                  </w14:solidFill>
                </w14:textFill>
              </w:rPr>
              <w:t>2</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w:t>
            </w:r>
            <w:r>
              <w:rPr>
                <w:rFonts w:hint="eastAsia" w:cs="Times New Roman"/>
                <w:color w:val="000000" w:themeColor="text1"/>
                <w:sz w:val="21"/>
                <w:lang w:val="en-US" w:eastAsia="zh-CN"/>
                <w14:textFill>
                  <w14:solidFill>
                    <w14:schemeClr w14:val="tx1"/>
                  </w14:solidFill>
                </w14:textFill>
              </w:rPr>
              <w:t>7</w:t>
            </w:r>
            <w:r>
              <w:rPr>
                <w:rFonts w:hint="eastAsia" w:ascii="Times New Roman" w:hAnsi="Times New Roman" w:cs="Times New Roman"/>
                <w:color w:val="000000" w:themeColor="text1"/>
                <w:sz w:val="21"/>
                <w:lang w:val="en-US" w:eastAsia="zh-CN"/>
                <w14:textFill>
                  <w14:solidFill>
                    <w14:schemeClr w14:val="tx1"/>
                  </w14:solidFill>
                </w14:textFill>
              </w:rPr>
              <w:t>6</w:t>
            </w:r>
            <w:r>
              <w:rPr>
                <w:rFonts w:ascii="Times New Roman" w:hAnsi="Times New Roman" w:cs="Times New Roman"/>
                <w:color w:val="000000" w:themeColor="text1"/>
                <w:sz w:val="21"/>
                <w14:textFill>
                  <w14:solidFill>
                    <w14:schemeClr w14:val="tx1"/>
                  </w14:solidFill>
                </w14:textFill>
              </w:rPr>
              <w:t>.5</w:t>
            </w:r>
            <w:r>
              <w:rPr>
                <w:rFonts w:hint="eastAsia" w:cs="Times New Roman"/>
                <w:color w:val="000000" w:themeColor="text1"/>
                <w:sz w:val="21"/>
                <w:lang w:val="en-US" w:eastAsia="zh-CN"/>
                <w14:textFill>
                  <w14:solidFill>
                    <w14:schemeClr w14:val="tx1"/>
                  </w14:solidFill>
                </w14:textFill>
              </w:rPr>
              <w:t>8</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14</w:t>
            </w:r>
            <w:r>
              <w:rPr>
                <w:rFonts w:hint="eastAsia" w:ascii="Times New Roman" w:hAnsi="Times New Roman" w:cs="Times New Roman"/>
                <w:color w:val="000000" w:themeColor="text1"/>
                <w:sz w:val="21"/>
                <w:lang w:val="en-US" w:eastAsia="zh-CN"/>
                <w14:textFill>
                  <w14:solidFill>
                    <w14:schemeClr w14:val="tx1"/>
                  </w14:solidFill>
                </w14:textFill>
              </w:rPr>
              <w:t>5</w:t>
            </w:r>
            <w:r>
              <w:rPr>
                <w:rFonts w:ascii="Times New Roman" w:hAnsi="Times New Roman" w:cs="Times New Roman"/>
                <w:color w:val="000000" w:themeColor="text1"/>
                <w:sz w:val="21"/>
                <w14:textFill>
                  <w14:solidFill>
                    <w14:schemeClr w14:val="tx1"/>
                  </w14:solidFill>
                </w14:textFill>
              </w:rPr>
              <w:t>.38</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85</w:t>
            </w:r>
          </w:p>
        </w:tc>
        <w:tc>
          <w:tcPr>
            <w:tcW w:w="4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选用低噪声设备、减振、消声</w:t>
            </w:r>
          </w:p>
        </w:tc>
        <w:tc>
          <w:tcPr>
            <w:tcW w:w="23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24</w:t>
            </w:r>
            <w:r>
              <w:rPr>
                <w:rFonts w:ascii="Times New Roman" w:hAnsi="Times New Roman" w:cs="Times New Roman"/>
                <w:color w:val="000000" w:themeColor="text1"/>
                <w:sz w:val="21"/>
                <w14:textFill>
                  <w14:solidFill>
                    <w14:schemeClr w14:val="tx1"/>
                  </w14:solidFill>
                </w14:textFill>
              </w:rPr>
              <w:t>h</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75.5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65.5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628"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罐装</w:t>
            </w:r>
            <w:r>
              <w:rPr>
                <w:rFonts w:hint="eastAsia" w:ascii="Times New Roman" w:hAnsi="Times New Roman" w:cs="Times New Roman"/>
                <w:color w:val="000000" w:themeColor="text1"/>
                <w:sz w:val="21"/>
                <w14:textFill>
                  <w14:solidFill>
                    <w14:schemeClr w14:val="tx1"/>
                  </w14:solidFill>
                </w14:textFill>
              </w:rPr>
              <w:t>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eastAsiaTheme="minorEastAsia"/>
                <w:color w:val="000000" w:themeColor="text1"/>
                <w:sz w:val="21"/>
                <w:lang w:val="en-US" w:eastAsia="zh-CN"/>
                <w14:textFill>
                  <w14:solidFill>
                    <w14:schemeClr w14:val="tx1"/>
                  </w14:solidFill>
                </w14:textFill>
              </w:rPr>
            </w:pPr>
            <w:r>
              <w:rPr>
                <w:rFonts w:hint="eastAsia"/>
                <w:sz w:val="21"/>
                <w:szCs w:val="21"/>
              </w:rPr>
              <w:t>2</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w:t>
            </w:r>
            <w:r>
              <w:rPr>
                <w:rFonts w:hint="eastAsia" w:cs="Times New Roman"/>
                <w:color w:val="000000" w:themeColor="text1"/>
                <w:sz w:val="21"/>
                <w:lang w:val="en-US" w:eastAsia="zh-CN"/>
                <w14:textFill>
                  <w14:solidFill>
                    <w14:schemeClr w14:val="tx1"/>
                  </w14:solidFill>
                </w14:textFill>
              </w:rPr>
              <w:t>74</w:t>
            </w:r>
            <w:r>
              <w:rPr>
                <w:rFonts w:ascii="Times New Roman" w:hAnsi="Times New Roman" w:cs="Times New Roman"/>
                <w:color w:val="000000" w:themeColor="text1"/>
                <w:sz w:val="21"/>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1</w:t>
            </w:r>
            <w:r>
              <w:rPr>
                <w:rFonts w:ascii="Times New Roman" w:hAnsi="Times New Roman" w:cs="Times New Roman"/>
                <w:color w:val="000000" w:themeColor="text1"/>
                <w:sz w:val="21"/>
                <w14:textFill>
                  <w14:solidFill>
                    <w14:schemeClr w14:val="tx1"/>
                  </w14:solidFill>
                </w14:textFill>
              </w:rPr>
              <w:t>5</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140</w:t>
            </w:r>
            <w:r>
              <w:rPr>
                <w:rFonts w:ascii="Times New Roman" w:hAnsi="Times New Roman" w:cs="Times New Roman"/>
                <w:color w:val="000000" w:themeColor="text1"/>
                <w:sz w:val="21"/>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25</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8</w:t>
            </w:r>
            <w:r>
              <w:rPr>
                <w:rFonts w:ascii="Times New Roman" w:hAnsi="Times New Roman" w:cs="Times New Roman"/>
                <w:color w:val="000000" w:themeColor="text1"/>
                <w:sz w:val="21"/>
                <w:lang w:eastAsia="zh-CN"/>
                <w14:textFill>
                  <w14:solidFill>
                    <w14:schemeClr w14:val="tx1"/>
                  </w14:solidFill>
                </w14:textFill>
              </w:rPr>
              <w:t>5</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75.5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65.5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628"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3</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喷码机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w:t>
            </w:r>
            <w:r>
              <w:rPr>
                <w:rFonts w:hint="eastAsia" w:cs="Times New Roman"/>
                <w:color w:val="000000" w:themeColor="text1"/>
                <w:sz w:val="21"/>
                <w:lang w:val="en-US" w:eastAsia="zh-CN"/>
                <w14:textFill>
                  <w14:solidFill>
                    <w14:schemeClr w14:val="tx1"/>
                  </w14:solidFill>
                </w14:textFill>
              </w:rPr>
              <w:t>6</w:t>
            </w:r>
            <w:r>
              <w:rPr>
                <w:rFonts w:ascii="Times New Roman" w:hAnsi="Times New Roman" w:cs="Times New Roman"/>
                <w:color w:val="000000" w:themeColor="text1"/>
                <w:sz w:val="21"/>
                <w14:textFill>
                  <w14:solidFill>
                    <w14:schemeClr w14:val="tx1"/>
                  </w14:solidFill>
                </w14:textFill>
              </w:rPr>
              <w:t>2.55</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142</w:t>
            </w:r>
            <w:r>
              <w:rPr>
                <w:rFonts w:ascii="Times New Roman" w:hAnsi="Times New Roman" w:cs="Times New Roman"/>
                <w:color w:val="000000" w:themeColor="text1"/>
                <w:sz w:val="21"/>
                <w14:textFill>
                  <w14:solidFill>
                    <w14:schemeClr w14:val="tx1"/>
                  </w14:solidFill>
                </w14:textFill>
              </w:rPr>
              <w:t>.38</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70</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60.5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50.5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628"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4</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贴标机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w:t>
            </w:r>
            <w:r>
              <w:rPr>
                <w:rFonts w:hint="eastAsia" w:cs="Times New Roman"/>
                <w:color w:val="000000" w:themeColor="text1"/>
                <w:sz w:val="21"/>
                <w:lang w:val="en-US" w:eastAsia="zh-CN"/>
                <w14:textFill>
                  <w14:solidFill>
                    <w14:schemeClr w14:val="tx1"/>
                  </w14:solidFill>
                </w14:textFill>
              </w:rPr>
              <w:t>6</w:t>
            </w:r>
            <w:r>
              <w:rPr>
                <w:rFonts w:hint="eastAsia" w:ascii="Times New Roman" w:hAnsi="Times New Roman" w:cs="Times New Roman"/>
                <w:color w:val="000000" w:themeColor="text1"/>
                <w:sz w:val="21"/>
                <w:lang w:val="en-US" w:eastAsia="zh-CN"/>
                <w14:textFill>
                  <w14:solidFill>
                    <w14:schemeClr w14:val="tx1"/>
                  </w14:solidFill>
                </w14:textFill>
              </w:rPr>
              <w:t>5</w:t>
            </w:r>
            <w:r>
              <w:rPr>
                <w:rFonts w:ascii="Times New Roman" w:hAnsi="Times New Roman" w:cs="Times New Roman"/>
                <w:color w:val="000000" w:themeColor="text1"/>
                <w:sz w:val="21"/>
                <w14:textFill>
                  <w14:solidFill>
                    <w14:schemeClr w14:val="tx1"/>
                  </w14:solidFill>
                </w14:textFill>
              </w:rPr>
              <w:t>.55</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143</w:t>
            </w:r>
            <w:r>
              <w:rPr>
                <w:rFonts w:ascii="Times New Roman" w:hAnsi="Times New Roman" w:cs="Times New Roman"/>
                <w:color w:val="000000" w:themeColor="text1"/>
                <w:sz w:val="21"/>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69</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65</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55.5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45.5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628"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打检机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ascii="Times New Roman" w:hAnsi="Times New Roman" w:cs="Times New Roman"/>
                <w:color w:val="000000" w:themeColor="text1"/>
                <w:kern w:val="2"/>
                <w:sz w:val="21"/>
                <w:lang w:eastAsia="zh-CN"/>
                <w14:textFill>
                  <w14:solidFill>
                    <w14:schemeClr w14:val="tx1"/>
                  </w14:solidFill>
                </w14:textFill>
              </w:rPr>
            </w:pPr>
            <w:r>
              <w:rPr>
                <w:rFonts w:hint="eastAsia"/>
                <w:color w:val="000000"/>
                <w:kern w:val="0"/>
                <w:sz w:val="21"/>
                <w:szCs w:val="21"/>
                <w:lang w:bidi="ar"/>
              </w:rPr>
              <w:t>1</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w:t>
            </w:r>
            <w:r>
              <w:rPr>
                <w:rFonts w:hint="eastAsia" w:cs="Times New Roman"/>
                <w:color w:val="000000" w:themeColor="text1"/>
                <w:sz w:val="21"/>
                <w:lang w:val="en-US" w:eastAsia="zh-CN"/>
                <w14:textFill>
                  <w14:solidFill>
                    <w14:schemeClr w14:val="tx1"/>
                  </w14:solidFill>
                </w14:textFill>
              </w:rPr>
              <w:t>66</w:t>
            </w:r>
            <w:r>
              <w:rPr>
                <w:rFonts w:ascii="Times New Roman" w:hAnsi="Times New Roman" w:cs="Times New Roman"/>
                <w:color w:val="000000" w:themeColor="text1"/>
                <w:sz w:val="21"/>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32</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kern w:val="2"/>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141</w:t>
            </w:r>
            <w:r>
              <w:rPr>
                <w:rFonts w:ascii="Times New Roman" w:hAnsi="Times New Roman" w:cs="Times New Roman"/>
                <w:color w:val="000000" w:themeColor="text1"/>
                <w:sz w:val="21"/>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87</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kern w:val="2"/>
                <w:sz w:val="21"/>
                <w:lang w:val="en-US" w:eastAsia="zh-CN"/>
                <w14:textFill>
                  <w14:solidFill>
                    <w14:schemeClr w14:val="tx1"/>
                  </w14:solidFill>
                </w14:textFill>
              </w:rPr>
            </w:pPr>
            <w:r>
              <w:rPr>
                <w:rFonts w:hint="eastAsia" w:cs="Times New Roman"/>
                <w:color w:val="000000" w:themeColor="text1"/>
                <w:kern w:val="2"/>
                <w:sz w:val="21"/>
                <w:lang w:val="en-US" w:eastAsia="zh-CN"/>
                <w14:textFill>
                  <w14:solidFill>
                    <w14:schemeClr w14:val="tx1"/>
                  </w14:solidFill>
                </w14:textFill>
              </w:rPr>
              <w:t>70</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60.5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50.5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628"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6</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膜包机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rPr>
              <w:t>1</w:t>
            </w:r>
            <w:r>
              <w:rPr>
                <w:rFonts w:hint="eastAsia"/>
                <w:sz w:val="21"/>
                <w:szCs w:val="21"/>
                <w:lang w:val="en-US" w:eastAsia="zh-CN"/>
              </w:rPr>
              <w:t>74.78</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lang w:val="en-US" w:eastAsia="zh-CN"/>
              </w:rPr>
              <w:t>144.21</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70</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60.5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50.5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628"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7</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码垛机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ascii="Times New Roman" w:hAnsi="Times New Roman" w:cs="Times New Roman"/>
                <w:color w:val="000000" w:themeColor="text1"/>
                <w:sz w:val="21"/>
                <w14:textFill>
                  <w14:solidFill>
                    <w14:schemeClr w14:val="tx1"/>
                  </w14:solidFill>
                </w14:textFill>
              </w:rPr>
            </w:pPr>
            <w:r>
              <w:rPr>
                <w:rFonts w:hint="eastAsia"/>
                <w:color w:val="000000"/>
                <w:kern w:val="0"/>
                <w:sz w:val="21"/>
                <w:szCs w:val="21"/>
                <w:lang w:bidi="ar"/>
              </w:rPr>
              <w:t>2</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rPr>
              <w:t>1</w:t>
            </w:r>
            <w:r>
              <w:rPr>
                <w:rFonts w:hint="eastAsia"/>
                <w:sz w:val="21"/>
                <w:szCs w:val="21"/>
                <w:lang w:val="en-US" w:eastAsia="zh-CN"/>
              </w:rPr>
              <w:t>6</w:t>
            </w:r>
            <w:r>
              <w:rPr>
                <w:rFonts w:hint="eastAsia"/>
                <w:sz w:val="21"/>
                <w:szCs w:val="21"/>
              </w:rPr>
              <w:t>4</w:t>
            </w:r>
            <w:r>
              <w:rPr>
                <w:rFonts w:hint="eastAsia"/>
                <w:sz w:val="21"/>
                <w:szCs w:val="21"/>
                <w:lang w:val="en-US" w:eastAsia="zh-CN"/>
              </w:rPr>
              <w:t>.23</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lang w:val="en-US" w:eastAsia="zh-CN"/>
              </w:rPr>
              <w:t>132.55</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75</w:t>
            </w:r>
          </w:p>
        </w:tc>
        <w:tc>
          <w:tcPr>
            <w:tcW w:w="4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选用低噪声设备、减振、消声</w:t>
            </w:r>
          </w:p>
        </w:tc>
        <w:tc>
          <w:tcPr>
            <w:tcW w:w="23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24</w:t>
            </w:r>
            <w:r>
              <w:rPr>
                <w:rFonts w:ascii="Times New Roman" w:hAnsi="Times New Roman" w:cs="Times New Roman"/>
                <w:color w:val="000000" w:themeColor="text1"/>
                <w:sz w:val="21"/>
                <w14:textFill>
                  <w14:solidFill>
                    <w14:schemeClr w14:val="tx1"/>
                  </w14:solidFill>
                </w14:textFill>
              </w:rPr>
              <w:t>h</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65.5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55.5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628"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8</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碟片过滤器</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ascii="Times New Roman" w:hAnsi="Times New Roman" w:cs="Times New Roman"/>
                <w:color w:val="000000" w:themeColor="text1"/>
                <w:sz w:val="21"/>
                <w14:textFill>
                  <w14:solidFill>
                    <w14:schemeClr w14:val="tx1"/>
                  </w14:solidFill>
                </w14:textFill>
              </w:rPr>
            </w:pPr>
            <w:r>
              <w:rPr>
                <w:rFonts w:hint="eastAsia"/>
                <w:color w:val="000000"/>
                <w:kern w:val="0"/>
                <w:sz w:val="21"/>
                <w:szCs w:val="21"/>
                <w:lang w:bidi="ar"/>
              </w:rPr>
              <w:t>1</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rPr>
              <w:t>1</w:t>
            </w:r>
            <w:r>
              <w:rPr>
                <w:rFonts w:hint="eastAsia"/>
                <w:sz w:val="21"/>
                <w:szCs w:val="21"/>
                <w:lang w:val="en-US" w:eastAsia="zh-CN"/>
              </w:rPr>
              <w:t>67.47</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lang w:val="en-US" w:eastAsia="zh-CN"/>
              </w:rPr>
              <w:t>135.68</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75</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65.5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55.5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628"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9</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超滤过滤器</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ascii="Times New Roman" w:hAnsi="Times New Roman" w:cs="Times New Roman"/>
                <w:color w:val="000000" w:themeColor="text1"/>
                <w:sz w:val="21"/>
                <w14:textFill>
                  <w14:solidFill>
                    <w14:schemeClr w14:val="tx1"/>
                  </w14:solidFill>
                </w14:textFill>
              </w:rPr>
            </w:pPr>
            <w:r>
              <w:rPr>
                <w:rFonts w:hint="eastAsia"/>
                <w:color w:val="000000"/>
                <w:kern w:val="0"/>
                <w:sz w:val="21"/>
                <w:szCs w:val="21"/>
                <w:lang w:bidi="ar"/>
              </w:rPr>
              <w:t>1</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rPr>
              <w:t>1</w:t>
            </w:r>
            <w:r>
              <w:rPr>
                <w:rFonts w:hint="eastAsia"/>
                <w:sz w:val="21"/>
                <w:szCs w:val="21"/>
                <w:lang w:val="en-US" w:eastAsia="zh-CN"/>
              </w:rPr>
              <w:t>68.98</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lang w:val="en-US" w:eastAsia="zh-CN"/>
              </w:rPr>
              <w:t>138.41</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75</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65.5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55.5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628"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10</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color w:val="auto"/>
                <w:kern w:val="0"/>
                <w:sz w:val="21"/>
                <w:szCs w:val="21"/>
              </w:rPr>
              <w:t>臭氧发生器</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3</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rPr>
              <w:t>1</w:t>
            </w:r>
            <w:r>
              <w:rPr>
                <w:rFonts w:hint="eastAsia"/>
                <w:sz w:val="21"/>
                <w:szCs w:val="21"/>
                <w:lang w:val="en-US" w:eastAsia="zh-CN"/>
              </w:rPr>
              <w:t>67.74</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lang w:val="en-US" w:eastAsia="zh-CN"/>
              </w:rPr>
              <w:t>13</w:t>
            </w:r>
            <w:r>
              <w:rPr>
                <w:rFonts w:hint="eastAsia"/>
                <w:sz w:val="21"/>
                <w:szCs w:val="21"/>
              </w:rPr>
              <w:t>4</w:t>
            </w:r>
            <w:r>
              <w:rPr>
                <w:rFonts w:hint="eastAsia"/>
                <w:sz w:val="21"/>
                <w:szCs w:val="21"/>
                <w:lang w:val="en-US" w:eastAsia="zh-CN"/>
              </w:rPr>
              <w:t>.22</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75</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65.5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55.5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493"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1</w:t>
            </w:r>
          </w:p>
        </w:tc>
        <w:tc>
          <w:tcPr>
            <w:tcW w:w="4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注塑</w:t>
            </w:r>
            <w:r>
              <w:rPr>
                <w:rFonts w:hint="eastAsia" w:ascii="Times New Roman" w:hAnsi="Times New Roman" w:cs="Times New Roman"/>
                <w:color w:val="000000" w:themeColor="text1"/>
                <w:sz w:val="21"/>
                <w:lang w:val="en-US" w:eastAsia="zh-CN"/>
                <w14:textFill>
                  <w14:solidFill>
                    <w14:schemeClr w14:val="tx1"/>
                  </w14:solidFill>
                </w14:textFill>
              </w:rPr>
              <w:t>车间</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ascii="Times New Roman" w:hAnsi="Times New Roman" w:cs="Times New Roman"/>
                <w:color w:val="000000" w:themeColor="text1"/>
                <w:sz w:val="21"/>
                <w14:textFill>
                  <w14:solidFill>
                    <w14:schemeClr w14:val="tx1"/>
                  </w14:solidFill>
                </w14:textFill>
              </w:rPr>
            </w:pPr>
            <w:r>
              <w:rPr>
                <w:rFonts w:hint="eastAsia"/>
                <w:color w:val="000000"/>
                <w:kern w:val="0"/>
                <w:sz w:val="21"/>
                <w:szCs w:val="21"/>
                <w:lang w:val="en-US" w:eastAsia="zh-CN" w:bidi="ar"/>
              </w:rPr>
              <w:t>注塑</w:t>
            </w:r>
            <w:r>
              <w:rPr>
                <w:rFonts w:hint="eastAsia"/>
                <w:color w:val="000000"/>
                <w:kern w:val="0"/>
                <w:sz w:val="21"/>
                <w:szCs w:val="21"/>
                <w:lang w:bidi="ar"/>
              </w:rPr>
              <w:t>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ascii="Times New Roman" w:hAnsi="Times New Roman" w:cs="Times New Roman"/>
                <w:color w:val="000000" w:themeColor="text1"/>
                <w:sz w:val="21"/>
                <w:lang w:eastAsia="zh-CN"/>
                <w14:textFill>
                  <w14:solidFill>
                    <w14:schemeClr w14:val="tx1"/>
                  </w14:solidFill>
                </w14:textFill>
              </w:rPr>
            </w:pPr>
            <w:r>
              <w:rPr>
                <w:rFonts w:hint="eastAsia"/>
                <w:color w:val="000000"/>
                <w:kern w:val="0"/>
                <w:sz w:val="21"/>
                <w:szCs w:val="21"/>
                <w:lang w:bidi="ar"/>
              </w:rPr>
              <w:t>1</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lang w:val="en-US" w:eastAsia="zh-CN"/>
              </w:rPr>
              <w:t>31</w:t>
            </w:r>
            <w:r>
              <w:rPr>
                <w:rFonts w:hint="eastAsia"/>
                <w:sz w:val="21"/>
                <w:szCs w:val="21"/>
              </w:rPr>
              <w:t>5</w:t>
            </w:r>
            <w:r>
              <w:rPr>
                <w:rFonts w:hint="eastAsia"/>
                <w:sz w:val="21"/>
                <w:szCs w:val="21"/>
                <w:lang w:val="en-US" w:eastAsia="zh-CN"/>
              </w:rPr>
              <w:t>.32</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rPr>
              <w:t>162</w:t>
            </w:r>
            <w:r>
              <w:rPr>
                <w:rFonts w:hint="eastAsia"/>
                <w:sz w:val="21"/>
                <w:szCs w:val="21"/>
                <w:lang w:val="en-US" w:eastAsia="zh-CN"/>
              </w:rPr>
              <w:t>.11</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75</w:t>
            </w:r>
          </w:p>
        </w:tc>
        <w:tc>
          <w:tcPr>
            <w:tcW w:w="4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选用低噪声设备、减振、消声</w:t>
            </w:r>
          </w:p>
        </w:tc>
        <w:tc>
          <w:tcPr>
            <w:tcW w:w="23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w:t>
            </w:r>
            <w:r>
              <w:rPr>
                <w:rFonts w:hint="eastAsia" w:ascii="Times New Roman" w:hAnsi="Times New Roman" w:cs="Times New Roman"/>
                <w:color w:val="000000" w:themeColor="text1"/>
                <w:sz w:val="21"/>
                <w:lang w:val="en-US" w:eastAsia="zh-CN"/>
                <w14:textFill>
                  <w14:solidFill>
                    <w14:schemeClr w14:val="tx1"/>
                  </w14:solidFill>
                </w14:textFill>
              </w:rPr>
              <w:t>4</w:t>
            </w:r>
            <w:r>
              <w:rPr>
                <w:rFonts w:ascii="Times New Roman" w:hAnsi="Times New Roman" w:cs="Times New Roman"/>
                <w:color w:val="000000" w:themeColor="text1"/>
                <w:sz w:val="21"/>
                <w14:textFill>
                  <w14:solidFill>
                    <w14:schemeClr w14:val="tx1"/>
                  </w14:solidFill>
                </w14:textFill>
              </w:rPr>
              <w:t>h</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65.5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eastAsiaTheme="minorEastAsia"/>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55.5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493"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3</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cs="Times New Roman"/>
                <w:color w:val="000000" w:themeColor="text1"/>
                <w:sz w:val="21"/>
                <w:lang w:val="en-US" w:eastAsia="zh-CN"/>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干燥机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ascii="Times New Roman" w:hAnsi="Times New Roman" w:cs="Times New Roman"/>
                <w:color w:val="000000" w:themeColor="text1"/>
                <w:sz w:val="21"/>
                <w:lang w:eastAsia="zh-CN"/>
                <w14:textFill>
                  <w14:solidFill>
                    <w14:schemeClr w14:val="tx1"/>
                  </w14:solidFill>
                </w14:textFill>
              </w:rPr>
            </w:pPr>
            <w:r>
              <w:rPr>
                <w:rFonts w:hint="eastAsia"/>
                <w:color w:val="000000"/>
                <w:kern w:val="0"/>
                <w:sz w:val="21"/>
                <w:szCs w:val="21"/>
                <w:lang w:bidi="ar"/>
              </w:rPr>
              <w:t>1</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lang w:val="en-US" w:eastAsia="zh-CN"/>
              </w:rPr>
              <w:t>318.74</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sz w:val="21"/>
                <w:szCs w:val="21"/>
              </w:rPr>
              <w:t>174</w:t>
            </w:r>
            <w:r>
              <w:rPr>
                <w:rFonts w:hint="eastAsia"/>
                <w:sz w:val="21"/>
                <w:szCs w:val="21"/>
                <w:lang w:val="en-US" w:eastAsia="zh-CN"/>
              </w:rPr>
              <w:t>.36</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70</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60.5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50.5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493"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1</w:t>
            </w:r>
          </w:p>
        </w:tc>
        <w:tc>
          <w:tcPr>
            <w:tcW w:w="44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动力车间</w:t>
            </w: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olor w:val="000000"/>
                <w:kern w:val="0"/>
                <w:sz w:val="21"/>
                <w:szCs w:val="21"/>
                <w:lang w:val="en-US" w:eastAsia="zh-CN" w:bidi="ar"/>
              </w:rPr>
            </w:pPr>
            <w:r>
              <w:rPr>
                <w:rFonts w:hint="eastAsia"/>
                <w:color w:val="000000"/>
                <w:kern w:val="0"/>
                <w:sz w:val="21"/>
                <w:szCs w:val="21"/>
                <w:lang w:val="en-US" w:eastAsia="zh-CN" w:bidi="ar"/>
              </w:rPr>
              <w:t>高压空压机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eastAsia="宋体"/>
                <w:color w:val="000000"/>
                <w:kern w:val="0"/>
                <w:sz w:val="21"/>
                <w:szCs w:val="21"/>
                <w:lang w:val="en-US" w:eastAsia="zh-CN" w:bidi="ar"/>
              </w:rPr>
            </w:pPr>
            <w:r>
              <w:rPr>
                <w:rFonts w:hint="eastAsia"/>
                <w:color w:val="000000"/>
                <w:kern w:val="0"/>
                <w:sz w:val="21"/>
                <w:szCs w:val="21"/>
                <w:lang w:val="en-US" w:eastAsia="zh-CN" w:bidi="ar"/>
              </w:rPr>
              <w:t>1</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eastAsia="宋体"/>
                <w:sz w:val="21"/>
                <w:szCs w:val="21"/>
                <w:lang w:val="en-US" w:eastAsia="zh-CN"/>
              </w:rPr>
            </w:pPr>
            <w:r>
              <w:rPr>
                <w:rFonts w:hint="eastAsia"/>
                <w:sz w:val="21"/>
                <w:szCs w:val="21"/>
                <w:lang w:val="en-US" w:eastAsia="zh-CN"/>
              </w:rPr>
              <w:t>326.88</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eastAsia="宋体"/>
                <w:sz w:val="21"/>
                <w:szCs w:val="21"/>
                <w:lang w:val="en-US" w:eastAsia="zh-CN"/>
              </w:rPr>
            </w:pPr>
            <w:r>
              <w:rPr>
                <w:rFonts w:hint="eastAsia"/>
                <w:sz w:val="21"/>
                <w:szCs w:val="21"/>
                <w:lang w:val="en-US" w:eastAsia="zh-CN"/>
              </w:rPr>
              <w:t>186.34</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85</w:t>
            </w:r>
          </w:p>
        </w:tc>
        <w:tc>
          <w:tcPr>
            <w:tcW w:w="43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选用低噪声设备、减振、消声</w:t>
            </w:r>
          </w:p>
        </w:tc>
        <w:tc>
          <w:tcPr>
            <w:tcW w:w="23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w:t>
            </w:r>
            <w:r>
              <w:rPr>
                <w:rFonts w:hint="eastAsia" w:ascii="Times New Roman" w:hAnsi="Times New Roman" w:cs="Times New Roman"/>
                <w:color w:val="000000" w:themeColor="text1"/>
                <w:sz w:val="21"/>
                <w:lang w:val="en-US" w:eastAsia="zh-CN"/>
                <w14:textFill>
                  <w14:solidFill>
                    <w14:schemeClr w14:val="tx1"/>
                  </w14:solidFill>
                </w14:textFill>
              </w:rPr>
              <w:t>4</w:t>
            </w:r>
            <w:r>
              <w:rPr>
                <w:rFonts w:ascii="Times New Roman" w:hAnsi="Times New Roman" w:cs="Times New Roman"/>
                <w:color w:val="000000" w:themeColor="text1"/>
                <w:sz w:val="21"/>
                <w14:textFill>
                  <w14:solidFill>
                    <w14:schemeClr w14:val="tx1"/>
                  </w14:solidFill>
                </w14:textFill>
              </w:rPr>
              <w:t>h</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75.5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65.5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493" w:hRule="atLeast"/>
        </w:trPr>
        <w:tc>
          <w:tcPr>
            <w:tcW w:w="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w:t>
            </w:r>
          </w:p>
        </w:tc>
        <w:tc>
          <w:tcPr>
            <w:tcW w:w="44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cs="Times New Roman"/>
                <w:color w:val="000000" w:themeColor="text1"/>
                <w:sz w:val="21"/>
                <w:lang w:val="en-US" w:eastAsia="zh-CN"/>
                <w14:textFill>
                  <w14:solidFill>
                    <w14:schemeClr w14:val="tx1"/>
                  </w14:solidFill>
                </w14:textFill>
              </w:rPr>
            </w:pPr>
          </w:p>
        </w:tc>
        <w:tc>
          <w:tcPr>
            <w:tcW w:w="6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olor w:val="000000"/>
                <w:kern w:val="0"/>
                <w:sz w:val="21"/>
                <w:szCs w:val="21"/>
                <w:lang w:val="en-US" w:eastAsia="zh-CN" w:bidi="ar"/>
              </w:rPr>
            </w:pPr>
            <w:r>
              <w:rPr>
                <w:rFonts w:hint="eastAsia"/>
                <w:color w:val="000000"/>
                <w:kern w:val="0"/>
                <w:sz w:val="21"/>
                <w:szCs w:val="21"/>
                <w:lang w:val="en-US" w:eastAsia="zh-CN" w:bidi="ar"/>
              </w:rPr>
              <w:t>低压机</w:t>
            </w:r>
          </w:p>
        </w:tc>
        <w:tc>
          <w:tcPr>
            <w:tcW w:w="2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olor w:val="000000"/>
                <w:kern w:val="0"/>
                <w:sz w:val="21"/>
                <w:szCs w:val="21"/>
                <w:lang w:val="en-US" w:eastAsia="zh-CN" w:bidi="ar"/>
              </w:rPr>
            </w:pPr>
            <w:r>
              <w:rPr>
                <w:rFonts w:hint="eastAsia"/>
                <w:color w:val="000000"/>
                <w:kern w:val="0"/>
                <w:sz w:val="21"/>
                <w:szCs w:val="21"/>
                <w:lang w:val="en-US" w:eastAsia="zh-CN" w:bidi="ar"/>
              </w:rPr>
              <w:t>2</w:t>
            </w:r>
          </w:p>
        </w:tc>
        <w:tc>
          <w:tcPr>
            <w:tcW w:w="3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eastAsia="宋体"/>
                <w:sz w:val="21"/>
                <w:szCs w:val="21"/>
                <w:lang w:val="en-US" w:eastAsia="zh-CN"/>
              </w:rPr>
            </w:pPr>
            <w:r>
              <w:rPr>
                <w:rFonts w:hint="eastAsia"/>
                <w:sz w:val="21"/>
                <w:szCs w:val="21"/>
                <w:lang w:val="en-US" w:eastAsia="zh-CN"/>
              </w:rPr>
              <w:t>321.92</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eastAsia="宋体"/>
                <w:sz w:val="21"/>
                <w:szCs w:val="21"/>
                <w:lang w:val="en-US" w:eastAsia="zh-CN"/>
              </w:rPr>
            </w:pPr>
            <w:r>
              <w:rPr>
                <w:rFonts w:hint="eastAsia"/>
                <w:sz w:val="21"/>
                <w:szCs w:val="21"/>
                <w:lang w:val="en-US" w:eastAsia="zh-CN"/>
              </w:rPr>
              <w:t>185.67</w:t>
            </w: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4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85</w:t>
            </w:r>
          </w:p>
        </w:tc>
        <w:tc>
          <w:tcPr>
            <w:tcW w:w="43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14:textFill>
                  <w14:solidFill>
                    <w14:schemeClr w14:val="tx1"/>
                  </w14:solidFill>
                </w14:textFill>
              </w:rPr>
            </w:pP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3</w:t>
            </w:r>
          </w:p>
        </w:tc>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75.5</w:t>
            </w:r>
          </w:p>
        </w:tc>
        <w:tc>
          <w:tcPr>
            <w:tcW w:w="2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≥10</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sz w:val="21"/>
                <w:lang w:eastAsia="zh-CN"/>
                <w14:textFill>
                  <w14:solidFill>
                    <w14:schemeClr w14:val="tx1"/>
                  </w14:solidFill>
                </w14:textFill>
              </w:rPr>
            </w:pPr>
            <w:r>
              <w:rPr>
                <w:rFonts w:ascii="Times New Roman" w:hAnsi="Times New Roman" w:cs="Times New Roman"/>
                <w:color w:val="000000" w:themeColor="text1"/>
                <w:sz w:val="21"/>
                <w:lang w:eastAsia="zh-CN"/>
                <w14:textFill>
                  <w14:solidFill>
                    <w14:schemeClr w14:val="tx1"/>
                  </w14:solidFill>
                </w14:textFill>
              </w:rPr>
              <w:t>65.5</w:t>
            </w:r>
          </w:p>
        </w:tc>
        <w:tc>
          <w:tcPr>
            <w:tcW w:w="2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ascii="Times New Roman" w:hAnsi="Times New Roman" w:cs="Times New Roman"/>
                <w:color w:val="000000" w:themeColor="text1"/>
                <w:kern w:val="2"/>
                <w:sz w:val="21"/>
                <w:lang w:eastAsia="zh-CN"/>
                <w14:textFill>
                  <w14:solidFill>
                    <w14:schemeClr w14:val="tx1"/>
                  </w14:solidFill>
                </w14:textFill>
              </w:rPr>
            </w:pPr>
            <w:r>
              <w:rPr>
                <w:rFonts w:ascii="Times New Roman" w:hAnsi="Times New Roman" w:cs="Times New Roman"/>
                <w:color w:val="000000" w:themeColor="text1"/>
                <w:kern w:val="2"/>
                <w:sz w:val="21"/>
                <w:lang w:eastAsia="zh-CN"/>
                <w14:textFill>
                  <w14:solidFill>
                    <w14:schemeClr w14:val="tx1"/>
                  </w14:solidFill>
                </w14:textFill>
              </w:rPr>
              <w:t>10</w:t>
            </w:r>
          </w:p>
        </w:tc>
      </w:tr>
    </w:tbl>
    <w:p>
      <w:pPr>
        <w:pStyle w:val="6"/>
        <w:ind w:left="0" w:leftChars="0" w:firstLine="0" w:firstLineChars="0"/>
        <w:sectPr>
          <w:pgSz w:w="16838" w:h="11906" w:orient="landscape"/>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pPr w:leftFromText="180" w:rightFromText="180" w:vertAnchor="text" w:horzAnchor="page" w:tblpX="1063" w:tblpY="75"/>
        <w:tblOverlap w:val="never"/>
        <w:tblW w:w="97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9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56" w:hRule="atLeast"/>
        </w:trPr>
        <w:tc>
          <w:tcPr>
            <w:tcW w:w="731" w:type="dxa"/>
            <w:noWrap w:val="0"/>
            <w:tcMar>
              <w:left w:w="28" w:type="dxa"/>
              <w:right w:w="28" w:type="dxa"/>
            </w:tcMar>
            <w:vAlign w:val="center"/>
          </w:tcPr>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运营</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期环</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境影</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响和</w:t>
            </w:r>
          </w:p>
          <w:p>
            <w:pPr>
              <w:keepNext w:val="0"/>
              <w:keepLines w:val="0"/>
              <w:pageBreakBefore w:val="0"/>
              <w:widowControl w:val="0"/>
              <w:kinsoku/>
              <w:wordWrap/>
              <w:topLinePunct w:val="0"/>
              <w:autoSpaceDE/>
              <w:autoSpaceDN/>
              <w:bidi w:val="0"/>
              <w:adjustRightInd w:val="0"/>
              <w:snapToGrid w:val="0"/>
              <w:jc w:val="center"/>
              <w:outlineLvl w:val="9"/>
              <w:rPr>
                <w:b/>
                <w:bCs/>
                <w:color w:val="000000"/>
              </w:rPr>
            </w:pPr>
            <w:r>
              <w:rPr>
                <w:b/>
                <w:bCs/>
                <w:color w:val="000000"/>
              </w:rPr>
              <w:t>保护</w:t>
            </w:r>
          </w:p>
          <w:p>
            <w:pPr>
              <w:keepNext w:val="0"/>
              <w:keepLines w:val="0"/>
              <w:pageBreakBefore w:val="0"/>
              <w:widowControl w:val="0"/>
              <w:kinsoku/>
              <w:wordWrap/>
              <w:topLinePunct w:val="0"/>
              <w:autoSpaceDE/>
              <w:autoSpaceDN/>
              <w:bidi w:val="0"/>
              <w:adjustRightInd w:val="0"/>
              <w:snapToGrid w:val="0"/>
              <w:jc w:val="center"/>
              <w:outlineLvl w:val="9"/>
              <w:rPr>
                <w:b/>
                <w:bCs/>
                <w:color w:val="000000"/>
                <w:szCs w:val="21"/>
              </w:rPr>
            </w:pPr>
            <w:r>
              <w:rPr>
                <w:b/>
                <w:bCs/>
                <w:color w:val="000000"/>
              </w:rPr>
              <w:t>措施</w:t>
            </w:r>
          </w:p>
        </w:tc>
        <w:tc>
          <w:tcPr>
            <w:tcW w:w="904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4"/>
              <w:rPr>
                <w:color w:val="000000"/>
              </w:rPr>
            </w:pPr>
            <w:r>
              <w:rPr>
                <w:rFonts w:hint="eastAsia"/>
                <w:color w:val="000000"/>
              </w:rPr>
              <w:t>3.2</w:t>
            </w:r>
            <w:r>
              <w:rPr>
                <w:color w:val="000000"/>
              </w:rPr>
              <w:t>噪声</w:t>
            </w:r>
            <w:r>
              <w:rPr>
                <w:rFonts w:hint="eastAsia"/>
                <w:color w:val="000000"/>
              </w:rPr>
              <w:t>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4"/>
              <w:rPr>
                <w:color w:val="000000"/>
              </w:rPr>
            </w:pPr>
            <w:r>
              <w:rPr>
                <w:color w:val="000000"/>
              </w:rPr>
              <w:t>为确保项目运营期，厂界噪声达标排放，建设单位采用以下措施：</w:t>
            </w:r>
          </w:p>
          <w:p>
            <w:pPr>
              <w:pStyle w:val="46"/>
              <w:keepNext w:val="0"/>
              <w:keepLines w:val="0"/>
              <w:pageBreakBefore w:val="0"/>
              <w:widowControl w:val="0"/>
              <w:kinsoku/>
              <w:wordWrap/>
              <w:overflowPunct/>
              <w:topLinePunct w:val="0"/>
              <w:autoSpaceDE/>
              <w:autoSpaceDN/>
              <w:bidi w:val="0"/>
              <w:adjustRightInd w:val="0"/>
              <w:snapToGrid w:val="0"/>
              <w:ind w:firstLine="480"/>
              <w:textAlignment w:val="auto"/>
              <w:outlineLvl w:val="4"/>
              <w:rPr>
                <w:color w:val="000000"/>
                <w:szCs w:val="24"/>
              </w:rPr>
            </w:pPr>
            <w:r>
              <w:rPr>
                <w:color w:val="000000"/>
                <w:szCs w:val="24"/>
              </w:rPr>
              <w:t>①从噪声源入手，在满足工艺要求的前提下，选择低噪声的设备；</w:t>
            </w:r>
          </w:p>
          <w:p>
            <w:pPr>
              <w:pStyle w:val="46"/>
              <w:ind w:firstLine="480"/>
              <w:outlineLvl w:val="4"/>
              <w:rPr>
                <w:color w:val="000000"/>
                <w:szCs w:val="24"/>
              </w:rPr>
            </w:pPr>
            <w:r>
              <w:rPr>
                <w:color w:val="000000"/>
                <w:szCs w:val="24"/>
              </w:rPr>
              <w:t>②合理布局，各高噪声设备采取相应的降噪、减振措施；</w:t>
            </w:r>
          </w:p>
          <w:p>
            <w:pPr>
              <w:pStyle w:val="46"/>
              <w:ind w:firstLine="480"/>
              <w:outlineLvl w:val="4"/>
              <w:rPr>
                <w:color w:val="000000"/>
                <w:szCs w:val="24"/>
              </w:rPr>
            </w:pPr>
            <w:r>
              <w:rPr>
                <w:color w:val="000000"/>
                <w:szCs w:val="24"/>
              </w:rPr>
              <w:t>③设备运行过程中避免设备空开、空转现象，重视日常维护、保养工作；</w:t>
            </w:r>
          </w:p>
          <w:p>
            <w:pPr>
              <w:pStyle w:val="46"/>
              <w:ind w:firstLine="480"/>
              <w:outlineLvl w:val="4"/>
              <w:rPr>
                <w:rFonts w:hint="eastAsia"/>
                <w:color w:val="000000"/>
                <w:szCs w:val="24"/>
              </w:rPr>
            </w:pPr>
            <w:r>
              <w:rPr>
                <w:color w:val="000000"/>
                <w:szCs w:val="24"/>
              </w:rPr>
              <w:t>④风机采用隔声罩隔声，对进出风口采取消声措施，并在风机与管道连接部分做软连接，管道采取包扎措施等</w:t>
            </w:r>
            <w:r>
              <w:rPr>
                <w:rFonts w:hint="eastAsia"/>
                <w:color w:val="000000"/>
                <w:szCs w:val="24"/>
              </w:rPr>
              <w:t>；</w:t>
            </w:r>
          </w:p>
          <w:p>
            <w:pPr>
              <w:adjustRightInd w:val="0"/>
              <w:snapToGrid w:val="0"/>
              <w:spacing w:line="360" w:lineRule="auto"/>
              <w:ind w:firstLine="480" w:firstLineChars="200"/>
              <w:outlineLvl w:val="4"/>
              <w:rPr>
                <w:rFonts w:hint="eastAsia"/>
              </w:rPr>
            </w:pPr>
            <w:r>
              <w:rPr>
                <w:rFonts w:hint="eastAsia"/>
                <w:bCs/>
                <w:color w:val="000000"/>
              </w:rPr>
              <w:t>⑤</w:t>
            </w:r>
            <w:r>
              <w:t>项目邻近厂界处</w:t>
            </w:r>
            <w:r>
              <w:rPr>
                <w:rFonts w:hint="eastAsia"/>
              </w:rPr>
              <w:t>加强</w:t>
            </w:r>
            <w:r>
              <w:t>绿化，</w:t>
            </w:r>
            <w:r>
              <w:rPr>
                <w:rFonts w:hint="eastAsia"/>
              </w:rPr>
              <w:t>项目南侧设置隔离带。</w:t>
            </w:r>
          </w:p>
          <w:p>
            <w:pPr>
              <w:adjustRightInd w:val="0"/>
              <w:snapToGrid w:val="0"/>
              <w:spacing w:line="360" w:lineRule="auto"/>
              <w:ind w:firstLine="480" w:firstLineChars="200"/>
              <w:outlineLvl w:val="4"/>
              <w:rPr>
                <w:color w:val="000000"/>
              </w:rPr>
            </w:pPr>
            <w:r>
              <w:rPr>
                <w:rFonts w:hint="eastAsia"/>
                <w:color w:val="000000"/>
              </w:rPr>
              <w:t>3.3</w:t>
            </w:r>
            <w:r>
              <w:rPr>
                <w:color w:val="000000"/>
              </w:rPr>
              <w:t>噪声影响预测</w:t>
            </w:r>
          </w:p>
          <w:p>
            <w:pPr>
              <w:adjustRightInd w:val="0"/>
              <w:snapToGrid w:val="0"/>
              <w:spacing w:line="360" w:lineRule="auto"/>
              <w:ind w:firstLine="480" w:firstLineChars="200"/>
            </w:pPr>
            <w:r>
              <w:t>预测模式采用《环境影响评价技术导则声环境》</w:t>
            </w:r>
            <w:r>
              <w:rPr>
                <w:rFonts w:hint="eastAsia"/>
              </w:rPr>
              <w:t>（</w:t>
            </w:r>
            <w:r>
              <w:t>HJ2.4-20</w:t>
            </w:r>
            <w:r>
              <w:rPr>
                <w:rFonts w:hint="eastAsia"/>
              </w:rPr>
              <w:t>21）</w:t>
            </w:r>
            <w:r>
              <w:t>中推荐的模型。根据建设项目噪声源和环境特征，预测过程中考虑了</w:t>
            </w:r>
            <w:r>
              <w:rPr>
                <w:rFonts w:hint="eastAsia"/>
              </w:rPr>
              <w:t>厂房</w:t>
            </w:r>
            <w:r>
              <w:t>等建筑物的屏障作用、空气吸收效应。</w:t>
            </w:r>
            <w:bookmarkStart w:id="3" w:name="_Toc11281"/>
          </w:p>
          <w:bookmarkEnd w:id="3"/>
          <w:p>
            <w:pPr>
              <w:adjustRightInd w:val="0"/>
              <w:snapToGrid w:val="0"/>
              <w:spacing w:line="360" w:lineRule="auto"/>
              <w:ind w:firstLine="482" w:firstLineChars="200"/>
              <w:rPr>
                <w:b/>
                <w:bCs/>
              </w:rPr>
            </w:pPr>
            <w:r>
              <w:rPr>
                <w:b/>
                <w:bCs/>
              </w:rPr>
              <w:t>1）计算公式</w:t>
            </w:r>
          </w:p>
          <w:p>
            <w:pPr>
              <w:adjustRightInd w:val="0"/>
              <w:snapToGrid w:val="0"/>
              <w:spacing w:line="360" w:lineRule="auto"/>
              <w:ind w:firstLine="480" w:firstLineChars="200"/>
            </w:pPr>
            <w:r>
              <w:t>根据《环境影响评价技术导则声环境》（HJ2.4-20</w:t>
            </w:r>
            <w:r>
              <w:rPr>
                <w:rFonts w:hint="eastAsia"/>
              </w:rPr>
              <w:t>21</w:t>
            </w:r>
            <w:r>
              <w:t>）中相关要求，对已知声源的倍频带声功率级，预测点位置的倍频带声压级或A声级按以下公式计算：</w:t>
            </w:r>
          </w:p>
          <w:p>
            <w:pPr>
              <w:pStyle w:val="18"/>
              <w:adjustRightInd w:val="0"/>
              <w:snapToGrid w:val="0"/>
              <w:spacing w:after="0" w:line="240" w:lineRule="auto"/>
              <w:jc w:val="center"/>
            </w:pPr>
            <w:r>
              <w:drawing>
                <wp:inline distT="0" distB="0" distL="114300" distR="114300">
                  <wp:extent cx="1884045" cy="407035"/>
                  <wp:effectExtent l="0" t="0" r="1905"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1884045" cy="407035"/>
                          </a:xfrm>
                          <a:prstGeom prst="rect">
                            <a:avLst/>
                          </a:prstGeom>
                          <a:noFill/>
                          <a:ln>
                            <a:noFill/>
                          </a:ln>
                        </pic:spPr>
                      </pic:pic>
                    </a:graphicData>
                  </a:graphic>
                </wp:inline>
              </w:drawing>
            </w:r>
          </w:p>
          <w:p>
            <w:pPr>
              <w:adjustRightInd w:val="0"/>
              <w:snapToGrid w:val="0"/>
              <w:spacing w:line="360" w:lineRule="auto"/>
              <w:ind w:firstLine="480" w:firstLineChars="200"/>
            </w:pPr>
            <w:r>
              <w:t>式中：L</w:t>
            </w:r>
            <w:r>
              <w:rPr>
                <w:rFonts w:hint="eastAsia"/>
                <w:vertAlign w:val="subscript"/>
              </w:rPr>
              <w:t>p1</w:t>
            </w:r>
            <w:r>
              <w:t>——靠近开口处（或窗户）室内某倍频带的声压级或A声级，dB；</w:t>
            </w:r>
          </w:p>
          <w:p>
            <w:pPr>
              <w:adjustRightInd w:val="0"/>
              <w:snapToGrid w:val="0"/>
              <w:spacing w:line="360" w:lineRule="auto"/>
              <w:ind w:firstLine="480" w:firstLineChars="200"/>
            </w:pPr>
            <w:r>
              <w:t>L</w:t>
            </w:r>
            <w:r>
              <w:rPr>
                <w:rFonts w:hint="eastAsia"/>
                <w:vertAlign w:val="subscript"/>
              </w:rPr>
              <w:t>w</w:t>
            </w:r>
            <w:r>
              <w:t>——点声源声功率级（A计权或倍频带），dB；</w:t>
            </w:r>
          </w:p>
          <w:p>
            <w:pPr>
              <w:adjustRightInd w:val="0"/>
              <w:snapToGrid w:val="0"/>
              <w:spacing w:line="360" w:lineRule="auto"/>
              <w:ind w:firstLine="480" w:firstLineChars="200"/>
            </w:pPr>
            <w:r>
              <w:t>Q——指向性因数</w:t>
            </w:r>
            <w:r>
              <w:rPr>
                <w:rFonts w:hint="eastAsia"/>
              </w:rPr>
              <w:t>：</w:t>
            </w:r>
            <w:r>
              <w:t>通常对无指向性声源，当声源放在房间中心时，Q=1；当放在一面墙的中心时，Q=2；当放在两面墙夹角处时，Q=4；当放在三面墙夹角处时，Q=8；</w:t>
            </w:r>
          </w:p>
          <w:p>
            <w:pPr>
              <w:adjustRightInd w:val="0"/>
              <w:snapToGrid w:val="0"/>
              <w:spacing w:line="360" w:lineRule="auto"/>
              <w:ind w:firstLine="480" w:firstLineChars="200"/>
            </w:pPr>
            <w:r>
              <w:t>R——房间常数；R</w:t>
            </w:r>
            <w:r>
              <w:rPr>
                <w:rFonts w:hint="eastAsia"/>
              </w:rPr>
              <w:t>=</w:t>
            </w:r>
            <w:r>
              <w:t>S</w:t>
            </w:r>
            <w:r>
              <w:rPr>
                <w:rFonts w:ascii="Arial" w:hAnsi="Arial" w:cs="Arial"/>
              </w:rPr>
              <w:t>α</w:t>
            </w:r>
            <w:r>
              <w:rPr>
                <w:rFonts w:hint="eastAsia"/>
              </w:rPr>
              <w:t>/（1-</w:t>
            </w:r>
            <w:r>
              <w:rPr>
                <w:rFonts w:ascii="Arial" w:hAnsi="Arial" w:cs="Arial"/>
              </w:rPr>
              <w:t>α</w:t>
            </w:r>
            <w:r>
              <w:rPr>
                <w:rFonts w:hint="eastAsia"/>
              </w:rPr>
              <w:t>）</w:t>
            </w:r>
            <w:r>
              <w:t>，S为房间内表面面积，m</w:t>
            </w:r>
            <w:r>
              <w:rPr>
                <w:vertAlign w:val="superscript"/>
              </w:rPr>
              <w:t>2</w:t>
            </w:r>
            <w:r>
              <w:t>；</w:t>
            </w:r>
            <w:r>
              <w:rPr>
                <w:rFonts w:ascii="Arial" w:hAnsi="Arial" w:cs="Arial"/>
              </w:rPr>
              <w:t>α</w:t>
            </w:r>
            <w:r>
              <w:t>为平均吸声系数；</w:t>
            </w:r>
          </w:p>
          <w:p>
            <w:pPr>
              <w:adjustRightInd w:val="0"/>
              <w:snapToGrid w:val="0"/>
              <w:spacing w:line="360" w:lineRule="auto"/>
              <w:ind w:firstLine="480" w:firstLineChars="200"/>
            </w:pPr>
            <w:r>
              <w:t>r——声源到靠近围护结构某点处的距离，m。</w:t>
            </w:r>
          </w:p>
          <w:p>
            <w:pPr>
              <w:adjustRightInd w:val="0"/>
              <w:snapToGrid w:val="0"/>
              <w:spacing w:line="360" w:lineRule="auto"/>
              <w:ind w:firstLine="480" w:firstLineChars="200"/>
            </w:pPr>
            <w:r>
              <w:t>然后按</w:t>
            </w:r>
            <w:r>
              <w:rPr>
                <w:rFonts w:hint="eastAsia"/>
              </w:rPr>
              <w:t>下</w:t>
            </w:r>
            <w:r>
              <w:t>计算出所有室内声源在围护结构处产生的i倍频带叠加声压级：</w:t>
            </w:r>
          </w:p>
          <w:p>
            <w:pPr>
              <w:pStyle w:val="18"/>
              <w:adjustRightInd w:val="0"/>
              <w:snapToGrid w:val="0"/>
              <w:spacing w:after="0" w:line="240" w:lineRule="auto"/>
              <w:jc w:val="center"/>
            </w:pPr>
            <w:r>
              <w:drawing>
                <wp:inline distT="0" distB="0" distL="114300" distR="114300">
                  <wp:extent cx="1542415" cy="445770"/>
                  <wp:effectExtent l="0" t="0" r="635" b="1143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1542415" cy="445770"/>
                          </a:xfrm>
                          <a:prstGeom prst="rect">
                            <a:avLst/>
                          </a:prstGeom>
                          <a:noFill/>
                          <a:ln>
                            <a:noFill/>
                          </a:ln>
                        </pic:spPr>
                      </pic:pic>
                    </a:graphicData>
                  </a:graphic>
                </wp:inline>
              </w:drawing>
            </w:r>
          </w:p>
          <w:p>
            <w:pPr>
              <w:adjustRightInd w:val="0"/>
              <w:snapToGrid w:val="0"/>
              <w:spacing w:line="360" w:lineRule="auto"/>
              <w:ind w:firstLine="480" w:firstLineChars="200"/>
            </w:pPr>
            <w:r>
              <w:t>式中：L</w:t>
            </w:r>
            <w:r>
              <w:rPr>
                <w:vertAlign w:val="subscript"/>
              </w:rPr>
              <w:t>p1i</w:t>
            </w:r>
            <w:r>
              <w:rPr>
                <w:rFonts w:hint="eastAsia"/>
              </w:rPr>
              <w:t>（</w:t>
            </w:r>
            <w:r>
              <w:t>T</w:t>
            </w:r>
            <w:r>
              <w:rPr>
                <w:rFonts w:hint="eastAsia"/>
              </w:rPr>
              <w:t>）</w:t>
            </w:r>
            <w:r>
              <w:t>——靠近围护结构处室内N个声源i倍频带的叠加声压级，dB；</w:t>
            </w:r>
          </w:p>
          <w:p>
            <w:pPr>
              <w:adjustRightInd w:val="0"/>
              <w:snapToGrid w:val="0"/>
              <w:spacing w:line="360" w:lineRule="auto"/>
              <w:ind w:firstLine="480" w:firstLineChars="200"/>
            </w:pPr>
            <w:r>
              <w:t>L</w:t>
            </w:r>
            <w:r>
              <w:rPr>
                <w:vertAlign w:val="subscript"/>
              </w:rPr>
              <w:t>p1ij</w:t>
            </w:r>
            <w:r>
              <w:t>——室内j声源i倍频带的声压级，dB；</w:t>
            </w:r>
          </w:p>
          <w:p>
            <w:pPr>
              <w:adjustRightInd w:val="0"/>
              <w:snapToGrid w:val="0"/>
              <w:spacing w:line="360" w:lineRule="auto"/>
              <w:ind w:firstLine="480" w:firstLineChars="200"/>
            </w:pPr>
            <w:r>
              <w:t>N——室内声源总数。</w:t>
            </w:r>
          </w:p>
          <w:p>
            <w:pPr>
              <w:adjustRightInd w:val="0"/>
              <w:snapToGrid w:val="0"/>
              <w:spacing w:line="360" w:lineRule="auto"/>
              <w:ind w:firstLine="480" w:firstLineChars="200"/>
            </w:pPr>
            <w:r>
              <w:t>在室内近似为扩散声场时，按</w:t>
            </w:r>
            <w:r>
              <w:rPr>
                <w:rFonts w:hint="eastAsia"/>
              </w:rPr>
              <w:t>下式</w:t>
            </w:r>
            <w:r>
              <w:t>计算出靠近室外围护结构处的声压级：</w:t>
            </w:r>
          </w:p>
          <w:p>
            <w:pPr>
              <w:adjustRightInd w:val="0"/>
              <w:snapToGrid w:val="0"/>
              <w:spacing w:line="360" w:lineRule="auto"/>
              <w:ind w:firstLine="480" w:firstLineChars="200"/>
              <w:jc w:val="center"/>
            </w:pPr>
            <w:r>
              <w:t>L</w:t>
            </w:r>
            <w:r>
              <w:rPr>
                <w:vertAlign w:val="subscript"/>
              </w:rPr>
              <w:t>p2i</w:t>
            </w:r>
            <w:r>
              <w:t>(T)</w:t>
            </w:r>
            <w:r>
              <w:rPr>
                <w:rFonts w:hint="eastAsia"/>
              </w:rPr>
              <w:t>=</w:t>
            </w:r>
            <w:r>
              <w:t>L</w:t>
            </w:r>
            <w:r>
              <w:rPr>
                <w:vertAlign w:val="subscript"/>
              </w:rPr>
              <w:t>p1i</w:t>
            </w:r>
            <w:r>
              <w:t>(T)</w:t>
            </w:r>
            <w:r>
              <w:rPr>
                <w:rFonts w:hint="eastAsia"/>
              </w:rPr>
              <w:t>-</w:t>
            </w:r>
            <w:r>
              <w:t>(TL</w:t>
            </w:r>
            <w:r>
              <w:rPr>
                <w:vertAlign w:val="subscript"/>
              </w:rPr>
              <w:t>i</w:t>
            </w:r>
            <w:r>
              <w:rPr>
                <w:rFonts w:hint="eastAsia"/>
              </w:rPr>
              <w:t>+</w:t>
            </w:r>
            <w:r>
              <w:t>6)</w:t>
            </w:r>
          </w:p>
          <w:p>
            <w:pPr>
              <w:adjustRightInd w:val="0"/>
              <w:snapToGrid w:val="0"/>
              <w:spacing w:line="360" w:lineRule="auto"/>
              <w:ind w:left="523" w:leftChars="218"/>
            </w:pPr>
            <w:r>
              <w:t>式中：L</w:t>
            </w:r>
            <w:r>
              <w:rPr>
                <w:vertAlign w:val="subscript"/>
              </w:rPr>
              <w:t>p2i</w:t>
            </w:r>
            <w:r>
              <w:t>(T)——靠近围护结构处室外N个声源i倍频带的叠加声压级，dB；</w:t>
            </w:r>
          </w:p>
          <w:p>
            <w:pPr>
              <w:adjustRightInd w:val="0"/>
              <w:snapToGrid w:val="0"/>
              <w:spacing w:line="360" w:lineRule="auto"/>
              <w:ind w:left="523" w:leftChars="218"/>
            </w:pPr>
            <w:r>
              <w:t>L</w:t>
            </w:r>
            <w:r>
              <w:rPr>
                <w:vertAlign w:val="subscript"/>
              </w:rPr>
              <w:t>p1i</w:t>
            </w:r>
            <w:r>
              <w:t>(T)——靠近围护结构处室内N个声源i倍频带的叠加声压级，dB；</w:t>
            </w:r>
          </w:p>
          <w:p>
            <w:pPr>
              <w:adjustRightInd w:val="0"/>
              <w:snapToGrid w:val="0"/>
              <w:spacing w:line="360" w:lineRule="auto"/>
              <w:ind w:firstLine="480" w:firstLineChars="200"/>
            </w:pPr>
            <w:r>
              <w:t>TL</w:t>
            </w:r>
            <w:r>
              <w:rPr>
                <w:vertAlign w:val="subscript"/>
              </w:rPr>
              <w:t>i</w:t>
            </w:r>
            <w:r>
              <w:t>——围护结构i倍频带的隔声量，dB。</w:t>
            </w:r>
          </w:p>
          <w:p>
            <w:pPr>
              <w:adjustRightInd w:val="0"/>
              <w:snapToGrid w:val="0"/>
              <w:spacing w:line="360" w:lineRule="auto"/>
              <w:ind w:firstLine="480" w:firstLineChars="200"/>
            </w:pPr>
            <w:r>
              <w:t>然后按</w:t>
            </w:r>
            <w:r>
              <w:rPr>
                <w:rFonts w:hint="eastAsia"/>
              </w:rPr>
              <w:t>下式</w:t>
            </w:r>
            <w:r>
              <w:t>将室外声源的声压级和透过面积换算成等效的室外声源，计算出中心位置位于透声面积（S）处的等效声源的倍频带声功率级。</w:t>
            </w:r>
          </w:p>
          <w:p>
            <w:pPr>
              <w:adjustRightInd w:val="0"/>
              <w:snapToGrid w:val="0"/>
              <w:spacing w:line="360" w:lineRule="auto"/>
              <w:ind w:firstLine="480" w:firstLineChars="200"/>
              <w:jc w:val="center"/>
            </w:pPr>
            <w:r>
              <w:t>Lw</w:t>
            </w:r>
            <w:r>
              <w:rPr>
                <w:rFonts w:hint="eastAsia"/>
              </w:rPr>
              <w:t>=</w:t>
            </w:r>
            <w:r>
              <w:t>L</w:t>
            </w:r>
            <w:r>
              <w:rPr>
                <w:vertAlign w:val="subscript"/>
              </w:rPr>
              <w:t>p2</w:t>
            </w:r>
            <w:r>
              <w:t>(T)</w:t>
            </w:r>
            <w:r>
              <w:rPr>
                <w:rFonts w:hint="eastAsia"/>
              </w:rPr>
              <w:t>+</w:t>
            </w:r>
            <w:r>
              <w:t>10lgS</w:t>
            </w:r>
          </w:p>
          <w:p>
            <w:pPr>
              <w:adjustRightInd w:val="0"/>
              <w:snapToGrid w:val="0"/>
              <w:spacing w:line="360" w:lineRule="auto"/>
              <w:ind w:firstLine="480" w:firstLineChars="200"/>
            </w:pPr>
            <w:r>
              <w:t>式中：Lw——中心位置位于透声面积（S）处的等效声源的倍频带声功率级，dB；</w:t>
            </w:r>
          </w:p>
          <w:p>
            <w:pPr>
              <w:adjustRightInd w:val="0"/>
              <w:snapToGrid w:val="0"/>
              <w:spacing w:line="360" w:lineRule="auto"/>
              <w:ind w:firstLine="480" w:firstLineChars="200"/>
            </w:pPr>
            <w:r>
              <w:t>L</w:t>
            </w:r>
            <w:r>
              <w:rPr>
                <w:vertAlign w:val="subscript"/>
              </w:rPr>
              <w:t>p2</w:t>
            </w:r>
            <w:r>
              <w:t>(T)——靠近围护结构处室外声源的声压级，dB；</w:t>
            </w:r>
          </w:p>
          <w:p>
            <w:pPr>
              <w:adjustRightInd w:val="0"/>
              <w:snapToGrid w:val="0"/>
              <w:spacing w:line="360" w:lineRule="auto"/>
              <w:ind w:firstLine="480" w:firstLineChars="200"/>
            </w:pPr>
            <w:r>
              <w:t>S——透声面积，m</w:t>
            </w:r>
            <w:r>
              <w:rPr>
                <w:vertAlign w:val="superscript"/>
              </w:rPr>
              <w:t>2</w:t>
            </w:r>
            <w:r>
              <w:t>。</w:t>
            </w:r>
          </w:p>
          <w:p>
            <w:pPr>
              <w:adjustRightInd w:val="0"/>
              <w:snapToGrid w:val="0"/>
              <w:spacing w:line="360" w:lineRule="auto"/>
              <w:ind w:firstLine="480" w:firstLineChars="200"/>
            </w:pPr>
            <w:r>
              <w:t>根据噪声预测模式进行计算，厂界环境噪声的预测结果见下：</w:t>
            </w:r>
          </w:p>
          <w:p>
            <w:pPr>
              <w:adjustRightInd w:val="0"/>
              <w:snapToGrid w:val="0"/>
              <w:spacing w:line="360" w:lineRule="auto"/>
              <w:ind w:firstLine="482" w:firstLineChars="200"/>
              <w:rPr>
                <w:rFonts w:hint="eastAsia"/>
                <w:b/>
                <w:bCs/>
              </w:rPr>
            </w:pPr>
            <w:r>
              <w:rPr>
                <w:b/>
                <w:bCs/>
              </w:rPr>
              <w:t>2）预测</w:t>
            </w:r>
            <w:r>
              <w:rPr>
                <w:rFonts w:hint="eastAsia"/>
                <w:b/>
                <w:bCs/>
              </w:rPr>
              <w:t>结果</w:t>
            </w:r>
          </w:p>
          <w:p>
            <w:pPr>
              <w:adjustRightInd w:val="0"/>
              <w:snapToGrid w:val="0"/>
              <w:spacing w:line="360" w:lineRule="auto"/>
              <w:ind w:firstLine="480" w:firstLineChars="200"/>
              <w:rPr>
                <w:rFonts w:eastAsia="黑体"/>
              </w:rPr>
            </w:pPr>
            <w:r>
              <w:rPr>
                <w:rFonts w:hint="eastAsia"/>
              </w:rPr>
              <w:t>运营期间，企业昼</w:t>
            </w:r>
            <w:r>
              <w:rPr>
                <w:rFonts w:hint="eastAsia"/>
                <w:lang w:val="en-US" w:eastAsia="zh-CN"/>
              </w:rPr>
              <w:t>夜</w:t>
            </w:r>
            <w:r>
              <w:rPr>
                <w:rFonts w:hint="eastAsia"/>
              </w:rPr>
              <w:t>间进行生产活动，运营期噪声预测结果须考虑昼</w:t>
            </w:r>
            <w:r>
              <w:rPr>
                <w:rFonts w:hint="eastAsia"/>
                <w:lang w:val="en-US" w:eastAsia="zh-CN"/>
              </w:rPr>
              <w:t>夜</w:t>
            </w:r>
            <w:r>
              <w:rPr>
                <w:rFonts w:hint="eastAsia"/>
              </w:rPr>
              <w:t>间</w:t>
            </w:r>
            <w:r>
              <w:t>，预测中同时考虑其他因素引起的衰减。预测</w:t>
            </w:r>
            <w:r>
              <w:rPr>
                <w:rFonts w:hint="eastAsia"/>
              </w:rPr>
              <w:t>结果</w:t>
            </w:r>
            <w:r>
              <w:t>见</w:t>
            </w:r>
            <w:r>
              <w:rPr>
                <w:rFonts w:hint="eastAsia"/>
              </w:rPr>
              <w:t>下</w:t>
            </w:r>
            <w:r>
              <w:t>表</w:t>
            </w:r>
            <w:r>
              <w:rPr>
                <w:rFonts w:hint="eastAsia"/>
              </w:rPr>
              <w:t>。</w:t>
            </w:r>
          </w:p>
          <w:p>
            <w:pPr>
              <w:adjustRightInd w:val="0"/>
              <w:snapToGrid w:val="0"/>
              <w:jc w:val="center"/>
              <w:rPr>
                <w:b/>
                <w:bCs/>
                <w:szCs w:val="21"/>
              </w:rPr>
            </w:pPr>
            <w:r>
              <w:rPr>
                <w:b/>
                <w:bCs/>
              </w:rPr>
              <w:t>表4-</w:t>
            </w:r>
            <w:r>
              <w:rPr>
                <w:rFonts w:hint="eastAsia"/>
                <w:b/>
                <w:bCs/>
                <w:lang w:val="en-US" w:eastAsia="zh-CN"/>
              </w:rPr>
              <w:t>13</w:t>
            </w:r>
            <w:r>
              <w:rPr>
                <w:rFonts w:hint="eastAsia"/>
                <w:b/>
                <w:bCs/>
              </w:rPr>
              <w:t xml:space="preserve"> </w:t>
            </w:r>
            <w:r>
              <w:rPr>
                <w:b/>
                <w:bCs/>
              </w:rPr>
              <w:t>项目运营期噪声预测结果一览表</w:t>
            </w:r>
          </w:p>
          <w:tbl>
            <w:tblPr>
              <w:tblStyle w:val="21"/>
              <w:tblW w:w="4993"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79"/>
              <w:gridCol w:w="1843"/>
              <w:gridCol w:w="1064"/>
              <w:gridCol w:w="1068"/>
              <w:gridCol w:w="1085"/>
              <w:gridCol w:w="1047"/>
              <w:gridCol w:w="1137"/>
              <w:gridCol w:w="99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328" w:type="pct"/>
                  <w:vMerge w:val="restart"/>
                  <w:tcBorders>
                    <w:tl2br w:val="nil"/>
                    <w:tr2bl w:val="nil"/>
                  </w:tcBorders>
                  <w:noWrap w:val="0"/>
                  <w:vAlign w:val="center"/>
                </w:tcPr>
                <w:p>
                  <w:pPr>
                    <w:tabs>
                      <w:tab w:val="left" w:pos="3600"/>
                      <w:tab w:val="left" w:pos="4320"/>
                    </w:tabs>
                    <w:adjustRightInd w:val="0"/>
                    <w:snapToGrid w:val="0"/>
                    <w:spacing w:line="320" w:lineRule="exact"/>
                    <w:ind w:left="-120" w:leftChars="-50" w:right="-120" w:rightChars="-50"/>
                    <w:jc w:val="center"/>
                    <w:rPr>
                      <w:b/>
                      <w:sz w:val="21"/>
                      <w:szCs w:val="21"/>
                    </w:rPr>
                  </w:pPr>
                  <w:r>
                    <w:rPr>
                      <w:b/>
                      <w:sz w:val="21"/>
                      <w:szCs w:val="21"/>
                    </w:rPr>
                    <w:t>测点</w:t>
                  </w:r>
                </w:p>
                <w:p>
                  <w:pPr>
                    <w:tabs>
                      <w:tab w:val="left" w:pos="3600"/>
                      <w:tab w:val="left" w:pos="4320"/>
                    </w:tabs>
                    <w:adjustRightInd w:val="0"/>
                    <w:snapToGrid w:val="0"/>
                    <w:spacing w:line="320" w:lineRule="exact"/>
                    <w:ind w:left="-120" w:leftChars="-50" w:right="-120" w:rightChars="-50"/>
                    <w:jc w:val="center"/>
                    <w:rPr>
                      <w:b/>
                      <w:sz w:val="21"/>
                      <w:szCs w:val="21"/>
                    </w:rPr>
                  </w:pPr>
                  <w:r>
                    <w:rPr>
                      <w:b/>
                      <w:sz w:val="21"/>
                      <w:szCs w:val="21"/>
                    </w:rPr>
                    <w:t>编号</w:t>
                  </w:r>
                </w:p>
              </w:tc>
              <w:tc>
                <w:tcPr>
                  <w:tcW w:w="1044" w:type="pct"/>
                  <w:vMerge w:val="restart"/>
                  <w:tcBorders>
                    <w:tl2br w:val="nil"/>
                    <w:tr2bl w:val="nil"/>
                  </w:tcBorders>
                  <w:noWrap w:val="0"/>
                  <w:vAlign w:val="center"/>
                </w:tcPr>
                <w:p>
                  <w:pPr>
                    <w:tabs>
                      <w:tab w:val="left" w:pos="3600"/>
                      <w:tab w:val="left" w:pos="4320"/>
                    </w:tabs>
                    <w:adjustRightInd w:val="0"/>
                    <w:snapToGrid w:val="0"/>
                    <w:spacing w:line="320" w:lineRule="exact"/>
                    <w:ind w:left="-120" w:leftChars="-50" w:right="-120" w:rightChars="-50"/>
                    <w:jc w:val="center"/>
                    <w:rPr>
                      <w:b/>
                      <w:sz w:val="21"/>
                      <w:szCs w:val="21"/>
                    </w:rPr>
                  </w:pPr>
                  <w:r>
                    <w:rPr>
                      <w:b/>
                      <w:sz w:val="21"/>
                      <w:szCs w:val="21"/>
                    </w:rPr>
                    <w:t>测点位置</w:t>
                  </w:r>
                </w:p>
              </w:tc>
              <w:tc>
                <w:tcPr>
                  <w:tcW w:w="1208" w:type="pct"/>
                  <w:gridSpan w:val="2"/>
                  <w:tcBorders>
                    <w:tl2br w:val="nil"/>
                    <w:tr2bl w:val="nil"/>
                  </w:tcBorders>
                  <w:noWrap w:val="0"/>
                  <w:vAlign w:val="center"/>
                </w:tcPr>
                <w:p>
                  <w:pPr>
                    <w:adjustRightInd w:val="0"/>
                    <w:snapToGrid w:val="0"/>
                    <w:spacing w:before="60" w:after="60" w:line="400" w:lineRule="exact"/>
                    <w:ind w:firstLine="210"/>
                    <w:textAlignment w:val="bottom"/>
                    <w:rPr>
                      <w:rFonts w:hint="eastAsia"/>
                      <w:b/>
                      <w:sz w:val="21"/>
                      <w:szCs w:val="21"/>
                    </w:rPr>
                  </w:pPr>
                  <w:r>
                    <w:rPr>
                      <w:rFonts w:hint="eastAsia"/>
                      <w:b/>
                      <w:bCs/>
                      <w:kern w:val="0"/>
                      <w:sz w:val="21"/>
                      <w:szCs w:val="21"/>
                    </w:rPr>
                    <w:t>噪声</w:t>
                  </w:r>
                  <w:r>
                    <w:rPr>
                      <w:b/>
                      <w:bCs/>
                      <w:kern w:val="0"/>
                      <w:sz w:val="21"/>
                      <w:szCs w:val="21"/>
                    </w:rPr>
                    <w:t>贡献值</w:t>
                  </w:r>
                  <w:r>
                    <w:rPr>
                      <w:rFonts w:hint="eastAsia"/>
                      <w:b/>
                      <w:bCs/>
                      <w:kern w:val="0"/>
                      <w:sz w:val="21"/>
                      <w:szCs w:val="21"/>
                    </w:rPr>
                    <w:t>（</w:t>
                  </w:r>
                  <w:r>
                    <w:rPr>
                      <w:rFonts w:hint="eastAsia"/>
                      <w:b/>
                      <w:bCs/>
                      <w:sz w:val="21"/>
                      <w:szCs w:val="21"/>
                    </w:rPr>
                    <w:t>dB</w:t>
                  </w:r>
                  <w:r>
                    <w:rPr>
                      <w:rFonts w:hint="eastAsia"/>
                      <w:b/>
                      <w:bCs/>
                      <w:kern w:val="0"/>
                      <w:sz w:val="21"/>
                      <w:szCs w:val="21"/>
                    </w:rPr>
                    <w:t>）</w:t>
                  </w:r>
                </w:p>
              </w:tc>
              <w:tc>
                <w:tcPr>
                  <w:tcW w:w="1208" w:type="pct"/>
                  <w:gridSpan w:val="2"/>
                  <w:tcBorders>
                    <w:tl2br w:val="nil"/>
                    <w:tr2bl w:val="nil"/>
                  </w:tcBorders>
                  <w:noWrap w:val="0"/>
                  <w:vAlign w:val="center"/>
                </w:tcPr>
                <w:p>
                  <w:pPr>
                    <w:adjustRightInd w:val="0"/>
                    <w:snapToGrid w:val="0"/>
                    <w:spacing w:before="60" w:after="60" w:line="400" w:lineRule="exact"/>
                    <w:jc w:val="center"/>
                    <w:textAlignment w:val="bottom"/>
                    <w:rPr>
                      <w:rFonts w:hint="eastAsia"/>
                      <w:b/>
                      <w:sz w:val="21"/>
                      <w:szCs w:val="21"/>
                    </w:rPr>
                  </w:pPr>
                  <w:r>
                    <w:rPr>
                      <w:b/>
                      <w:bCs/>
                      <w:kern w:val="0"/>
                      <w:sz w:val="21"/>
                      <w:szCs w:val="21"/>
                    </w:rPr>
                    <w:t>评价标准</w:t>
                  </w:r>
                  <w:r>
                    <w:rPr>
                      <w:rFonts w:hint="eastAsia"/>
                      <w:b/>
                      <w:bCs/>
                      <w:kern w:val="0"/>
                      <w:sz w:val="21"/>
                      <w:szCs w:val="21"/>
                    </w:rPr>
                    <w:t>（</w:t>
                  </w:r>
                  <w:r>
                    <w:rPr>
                      <w:rFonts w:hint="eastAsia"/>
                      <w:b/>
                      <w:bCs/>
                      <w:sz w:val="21"/>
                      <w:szCs w:val="21"/>
                    </w:rPr>
                    <w:t>dB</w:t>
                  </w:r>
                  <w:r>
                    <w:rPr>
                      <w:rFonts w:hint="eastAsia"/>
                      <w:b/>
                      <w:bCs/>
                      <w:kern w:val="0"/>
                      <w:sz w:val="21"/>
                      <w:szCs w:val="21"/>
                    </w:rPr>
                    <w:t>）</w:t>
                  </w:r>
                </w:p>
              </w:tc>
              <w:tc>
                <w:tcPr>
                  <w:tcW w:w="1209" w:type="pct"/>
                  <w:gridSpan w:val="2"/>
                  <w:tcBorders>
                    <w:tl2br w:val="nil"/>
                    <w:tr2bl w:val="nil"/>
                  </w:tcBorders>
                  <w:noWrap w:val="0"/>
                  <w:vAlign w:val="center"/>
                </w:tcPr>
                <w:p>
                  <w:pPr>
                    <w:adjustRightInd w:val="0"/>
                    <w:snapToGrid w:val="0"/>
                    <w:spacing w:before="60" w:after="60" w:line="400" w:lineRule="exact"/>
                    <w:ind w:firstLine="210"/>
                    <w:jc w:val="center"/>
                    <w:textAlignment w:val="bottom"/>
                    <w:rPr>
                      <w:rFonts w:hint="eastAsia"/>
                      <w:b/>
                      <w:sz w:val="21"/>
                      <w:szCs w:val="21"/>
                    </w:rPr>
                  </w:pPr>
                  <w:r>
                    <w:rPr>
                      <w:rFonts w:hint="eastAsia"/>
                      <w:b/>
                      <w:bCs/>
                      <w:kern w:val="0"/>
                      <w:sz w:val="21"/>
                      <w:szCs w:val="21"/>
                    </w:rPr>
                    <w:t>超标和</w:t>
                  </w:r>
                  <w:r>
                    <w:rPr>
                      <w:b/>
                      <w:bCs/>
                      <w:kern w:val="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328" w:type="pct"/>
                  <w:vMerge w:val="continue"/>
                  <w:tcBorders>
                    <w:tl2br w:val="nil"/>
                    <w:tr2bl w:val="nil"/>
                  </w:tcBorders>
                  <w:noWrap w:val="0"/>
                  <w:vAlign w:val="center"/>
                </w:tcPr>
                <w:p>
                  <w:pPr>
                    <w:tabs>
                      <w:tab w:val="left" w:pos="3600"/>
                      <w:tab w:val="left" w:pos="4320"/>
                    </w:tabs>
                    <w:adjustRightInd w:val="0"/>
                    <w:snapToGrid w:val="0"/>
                    <w:spacing w:line="320" w:lineRule="exact"/>
                    <w:ind w:left="-120" w:leftChars="-50" w:right="-120" w:rightChars="-50"/>
                    <w:jc w:val="center"/>
                    <w:rPr>
                      <w:b/>
                      <w:sz w:val="21"/>
                      <w:szCs w:val="21"/>
                    </w:rPr>
                  </w:pPr>
                </w:p>
              </w:tc>
              <w:tc>
                <w:tcPr>
                  <w:tcW w:w="1044" w:type="pct"/>
                  <w:vMerge w:val="continue"/>
                  <w:tcBorders>
                    <w:tl2br w:val="nil"/>
                    <w:tr2bl w:val="nil"/>
                  </w:tcBorders>
                  <w:noWrap w:val="0"/>
                  <w:vAlign w:val="center"/>
                </w:tcPr>
                <w:p>
                  <w:pPr>
                    <w:tabs>
                      <w:tab w:val="left" w:pos="3600"/>
                      <w:tab w:val="left" w:pos="4320"/>
                    </w:tabs>
                    <w:adjustRightInd w:val="0"/>
                    <w:snapToGrid w:val="0"/>
                    <w:spacing w:line="320" w:lineRule="exact"/>
                    <w:ind w:left="-120" w:leftChars="-50" w:right="-120" w:rightChars="-50"/>
                    <w:jc w:val="center"/>
                    <w:rPr>
                      <w:b/>
                      <w:sz w:val="21"/>
                      <w:szCs w:val="21"/>
                    </w:rPr>
                  </w:pPr>
                </w:p>
              </w:tc>
              <w:tc>
                <w:tcPr>
                  <w:tcW w:w="603" w:type="pct"/>
                  <w:tcBorders>
                    <w:tl2br w:val="nil"/>
                    <w:tr2bl w:val="nil"/>
                  </w:tcBorders>
                  <w:noWrap w:val="0"/>
                  <w:vAlign w:val="center"/>
                </w:tcPr>
                <w:p>
                  <w:pPr>
                    <w:adjustRightInd w:val="0"/>
                    <w:snapToGrid w:val="0"/>
                    <w:spacing w:before="60" w:after="60" w:line="400" w:lineRule="exact"/>
                    <w:jc w:val="center"/>
                    <w:textAlignment w:val="bottom"/>
                    <w:rPr>
                      <w:rFonts w:hint="eastAsia"/>
                      <w:b/>
                      <w:sz w:val="21"/>
                      <w:szCs w:val="21"/>
                    </w:rPr>
                  </w:pPr>
                  <w:r>
                    <w:rPr>
                      <w:b/>
                      <w:bCs/>
                      <w:kern w:val="0"/>
                      <w:sz w:val="21"/>
                      <w:szCs w:val="21"/>
                    </w:rPr>
                    <w:t>昼间</w:t>
                  </w:r>
                </w:p>
              </w:tc>
              <w:tc>
                <w:tcPr>
                  <w:tcW w:w="605" w:type="pct"/>
                  <w:tcBorders>
                    <w:tl2br w:val="nil"/>
                    <w:tr2bl w:val="nil"/>
                  </w:tcBorders>
                  <w:noWrap w:val="0"/>
                  <w:vAlign w:val="center"/>
                </w:tcPr>
                <w:p>
                  <w:pPr>
                    <w:adjustRightInd w:val="0"/>
                    <w:snapToGrid w:val="0"/>
                    <w:spacing w:before="60" w:after="60" w:line="400" w:lineRule="exact"/>
                    <w:jc w:val="center"/>
                    <w:textAlignment w:val="bottom"/>
                    <w:rPr>
                      <w:b/>
                      <w:bCs/>
                      <w:kern w:val="0"/>
                      <w:sz w:val="21"/>
                      <w:szCs w:val="21"/>
                    </w:rPr>
                  </w:pPr>
                  <w:r>
                    <w:rPr>
                      <w:rFonts w:hint="eastAsia"/>
                      <w:b/>
                      <w:bCs/>
                      <w:kern w:val="0"/>
                      <w:sz w:val="21"/>
                      <w:szCs w:val="21"/>
                    </w:rPr>
                    <w:t>夜间</w:t>
                  </w:r>
                </w:p>
              </w:tc>
              <w:tc>
                <w:tcPr>
                  <w:tcW w:w="615" w:type="pct"/>
                  <w:tcBorders>
                    <w:tl2br w:val="nil"/>
                    <w:tr2bl w:val="nil"/>
                  </w:tcBorders>
                  <w:noWrap w:val="0"/>
                  <w:vAlign w:val="center"/>
                </w:tcPr>
                <w:p>
                  <w:pPr>
                    <w:adjustRightInd w:val="0"/>
                    <w:snapToGrid w:val="0"/>
                    <w:spacing w:before="60" w:after="60" w:line="400" w:lineRule="exact"/>
                    <w:jc w:val="center"/>
                    <w:textAlignment w:val="bottom"/>
                    <w:rPr>
                      <w:rFonts w:hint="eastAsia"/>
                      <w:b/>
                      <w:sz w:val="21"/>
                      <w:szCs w:val="21"/>
                    </w:rPr>
                  </w:pPr>
                  <w:r>
                    <w:rPr>
                      <w:b/>
                      <w:bCs/>
                      <w:kern w:val="0"/>
                      <w:sz w:val="21"/>
                      <w:szCs w:val="21"/>
                    </w:rPr>
                    <w:t>昼间</w:t>
                  </w:r>
                </w:p>
              </w:tc>
              <w:tc>
                <w:tcPr>
                  <w:tcW w:w="593" w:type="pct"/>
                  <w:tcBorders>
                    <w:tl2br w:val="nil"/>
                    <w:tr2bl w:val="nil"/>
                  </w:tcBorders>
                  <w:noWrap w:val="0"/>
                  <w:vAlign w:val="center"/>
                </w:tcPr>
                <w:p>
                  <w:pPr>
                    <w:adjustRightInd w:val="0"/>
                    <w:snapToGrid w:val="0"/>
                    <w:spacing w:before="60" w:after="60" w:line="400" w:lineRule="exact"/>
                    <w:jc w:val="center"/>
                    <w:textAlignment w:val="bottom"/>
                    <w:rPr>
                      <w:b/>
                      <w:bCs/>
                      <w:kern w:val="0"/>
                      <w:sz w:val="21"/>
                      <w:szCs w:val="21"/>
                    </w:rPr>
                  </w:pPr>
                  <w:r>
                    <w:rPr>
                      <w:rFonts w:hint="eastAsia"/>
                      <w:b/>
                      <w:bCs/>
                      <w:kern w:val="0"/>
                      <w:sz w:val="21"/>
                      <w:szCs w:val="21"/>
                    </w:rPr>
                    <w:t>夜间</w:t>
                  </w:r>
                </w:p>
              </w:tc>
              <w:tc>
                <w:tcPr>
                  <w:tcW w:w="644" w:type="pct"/>
                  <w:tcBorders>
                    <w:tl2br w:val="nil"/>
                    <w:tr2bl w:val="nil"/>
                  </w:tcBorders>
                  <w:noWrap w:val="0"/>
                  <w:vAlign w:val="center"/>
                </w:tcPr>
                <w:p>
                  <w:pPr>
                    <w:adjustRightInd w:val="0"/>
                    <w:snapToGrid w:val="0"/>
                    <w:spacing w:before="60" w:after="60" w:line="400" w:lineRule="exact"/>
                    <w:jc w:val="center"/>
                    <w:textAlignment w:val="bottom"/>
                    <w:rPr>
                      <w:rFonts w:hint="eastAsia"/>
                      <w:b/>
                      <w:sz w:val="21"/>
                      <w:szCs w:val="21"/>
                    </w:rPr>
                  </w:pPr>
                  <w:r>
                    <w:rPr>
                      <w:b/>
                      <w:bCs/>
                      <w:kern w:val="0"/>
                      <w:sz w:val="21"/>
                      <w:szCs w:val="21"/>
                    </w:rPr>
                    <w:t>昼间</w:t>
                  </w:r>
                </w:p>
              </w:tc>
              <w:tc>
                <w:tcPr>
                  <w:tcW w:w="564" w:type="pct"/>
                  <w:tcBorders>
                    <w:tl2br w:val="nil"/>
                    <w:tr2bl w:val="nil"/>
                  </w:tcBorders>
                  <w:noWrap w:val="0"/>
                  <w:vAlign w:val="center"/>
                </w:tcPr>
                <w:p>
                  <w:pPr>
                    <w:adjustRightInd w:val="0"/>
                    <w:snapToGrid w:val="0"/>
                    <w:spacing w:before="60" w:after="60" w:line="400" w:lineRule="exact"/>
                    <w:jc w:val="center"/>
                    <w:textAlignment w:val="bottom"/>
                    <w:rPr>
                      <w:b/>
                      <w:bCs/>
                      <w:kern w:val="0"/>
                      <w:sz w:val="21"/>
                      <w:szCs w:val="21"/>
                    </w:rPr>
                  </w:pPr>
                  <w:r>
                    <w:rPr>
                      <w:rFonts w:hint="eastAsia"/>
                      <w:b/>
                      <w:bCs/>
                      <w:kern w:val="0"/>
                      <w:sz w:val="21"/>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28" w:type="pct"/>
                  <w:tcBorders>
                    <w:tl2br w:val="nil"/>
                    <w:tr2bl w:val="nil"/>
                  </w:tcBorders>
                  <w:noWrap w:val="0"/>
                  <w:vAlign w:val="center"/>
                </w:tcPr>
                <w:p>
                  <w:pPr>
                    <w:tabs>
                      <w:tab w:val="left" w:pos="3600"/>
                      <w:tab w:val="left" w:pos="4320"/>
                    </w:tabs>
                    <w:adjustRightInd w:val="0"/>
                    <w:snapToGrid w:val="0"/>
                    <w:spacing w:line="320" w:lineRule="exact"/>
                    <w:ind w:left="-120" w:leftChars="-50" w:right="-120" w:rightChars="-50"/>
                    <w:jc w:val="center"/>
                    <w:rPr>
                      <w:sz w:val="21"/>
                      <w:szCs w:val="21"/>
                    </w:rPr>
                  </w:pPr>
                  <w:r>
                    <w:rPr>
                      <w:sz w:val="21"/>
                      <w:szCs w:val="21"/>
                    </w:rPr>
                    <w:t>1</w:t>
                  </w:r>
                </w:p>
              </w:tc>
              <w:tc>
                <w:tcPr>
                  <w:tcW w:w="1044" w:type="pct"/>
                  <w:tcBorders>
                    <w:tl2br w:val="nil"/>
                    <w:tr2bl w:val="nil"/>
                  </w:tcBorders>
                  <w:noWrap w:val="0"/>
                  <w:vAlign w:val="center"/>
                </w:tcPr>
                <w:p>
                  <w:pPr>
                    <w:adjustRightInd w:val="0"/>
                    <w:snapToGrid w:val="0"/>
                    <w:jc w:val="center"/>
                    <w:rPr>
                      <w:spacing w:val="-6"/>
                      <w:sz w:val="21"/>
                      <w:szCs w:val="21"/>
                    </w:rPr>
                  </w:pPr>
                  <w:r>
                    <w:rPr>
                      <w:sz w:val="21"/>
                      <w:szCs w:val="21"/>
                    </w:rPr>
                    <w:t>厂界北侧1m处</w:t>
                  </w:r>
                </w:p>
              </w:tc>
              <w:tc>
                <w:tcPr>
                  <w:tcW w:w="603" w:type="pct"/>
                  <w:tcBorders>
                    <w:tl2br w:val="nil"/>
                    <w:tr2bl w:val="nil"/>
                  </w:tcBorders>
                  <w:noWrap w:val="0"/>
                  <w:vAlign w:val="center"/>
                </w:tcPr>
                <w:p>
                  <w:pPr>
                    <w:tabs>
                      <w:tab w:val="left" w:pos="3600"/>
                      <w:tab w:val="left" w:pos="4320"/>
                    </w:tabs>
                    <w:adjustRightInd w:val="0"/>
                    <w:snapToGrid w:val="0"/>
                    <w:jc w:val="center"/>
                    <w:rPr>
                      <w:sz w:val="21"/>
                      <w:szCs w:val="21"/>
                    </w:rPr>
                  </w:pPr>
                  <w:r>
                    <w:rPr>
                      <w:rFonts w:hint="eastAsia"/>
                      <w:sz w:val="21"/>
                      <w:szCs w:val="21"/>
                      <w:lang w:val="en-US" w:eastAsia="zh-CN"/>
                    </w:rPr>
                    <w:t>59</w:t>
                  </w:r>
                  <w:r>
                    <w:rPr>
                      <w:rFonts w:hint="eastAsia"/>
                      <w:sz w:val="21"/>
                      <w:szCs w:val="21"/>
                    </w:rPr>
                    <w:t>.5</w:t>
                  </w:r>
                </w:p>
              </w:tc>
              <w:tc>
                <w:tcPr>
                  <w:tcW w:w="605" w:type="pct"/>
                  <w:tcBorders>
                    <w:tl2br w:val="nil"/>
                    <w:tr2bl w:val="nil"/>
                  </w:tcBorders>
                  <w:noWrap w:val="0"/>
                  <w:vAlign w:val="center"/>
                </w:tcPr>
                <w:p>
                  <w:pPr>
                    <w:tabs>
                      <w:tab w:val="left" w:pos="3600"/>
                      <w:tab w:val="left" w:pos="4320"/>
                    </w:tabs>
                    <w:adjustRightInd w:val="0"/>
                    <w:snapToGrid w:val="0"/>
                    <w:jc w:val="center"/>
                    <w:rPr>
                      <w:rFonts w:hint="default" w:eastAsia="宋体"/>
                      <w:sz w:val="21"/>
                      <w:szCs w:val="21"/>
                      <w:lang w:val="en-US" w:eastAsia="zh-CN"/>
                    </w:rPr>
                  </w:pPr>
                  <w:r>
                    <w:rPr>
                      <w:rFonts w:hint="eastAsia"/>
                      <w:sz w:val="21"/>
                      <w:szCs w:val="21"/>
                      <w:lang w:val="en-US" w:eastAsia="zh-CN"/>
                    </w:rPr>
                    <w:t>48.9</w:t>
                  </w:r>
                </w:p>
              </w:tc>
              <w:tc>
                <w:tcPr>
                  <w:tcW w:w="615" w:type="pct"/>
                  <w:tcBorders>
                    <w:tl2br w:val="nil"/>
                    <w:tr2bl w:val="nil"/>
                  </w:tcBorders>
                  <w:noWrap w:val="0"/>
                  <w:vAlign w:val="center"/>
                </w:tcPr>
                <w:p>
                  <w:pPr>
                    <w:adjustRightInd w:val="0"/>
                    <w:snapToGrid w:val="0"/>
                    <w:spacing w:before="60" w:after="60" w:line="400" w:lineRule="exact"/>
                    <w:jc w:val="center"/>
                    <w:textAlignment w:val="bottom"/>
                    <w:rPr>
                      <w:kern w:val="0"/>
                      <w:sz w:val="21"/>
                      <w:szCs w:val="21"/>
                    </w:rPr>
                  </w:pPr>
                  <w:r>
                    <w:rPr>
                      <w:rFonts w:hint="eastAsia"/>
                      <w:kern w:val="0"/>
                      <w:sz w:val="21"/>
                      <w:szCs w:val="21"/>
                    </w:rPr>
                    <w:t>65</w:t>
                  </w:r>
                </w:p>
              </w:tc>
              <w:tc>
                <w:tcPr>
                  <w:tcW w:w="593" w:type="pct"/>
                  <w:tcBorders>
                    <w:tl2br w:val="nil"/>
                    <w:tr2bl w:val="nil"/>
                  </w:tcBorders>
                  <w:noWrap w:val="0"/>
                  <w:vAlign w:val="center"/>
                </w:tcPr>
                <w:p>
                  <w:pPr>
                    <w:adjustRightInd w:val="0"/>
                    <w:snapToGrid w:val="0"/>
                    <w:spacing w:before="60" w:after="60" w:line="400" w:lineRule="exact"/>
                    <w:jc w:val="center"/>
                    <w:textAlignment w:val="bottom"/>
                    <w:rPr>
                      <w:rFonts w:hint="default"/>
                      <w:kern w:val="0"/>
                      <w:sz w:val="21"/>
                      <w:szCs w:val="21"/>
                      <w:lang w:val="en-US"/>
                    </w:rPr>
                  </w:pPr>
                  <w:r>
                    <w:rPr>
                      <w:rFonts w:hint="eastAsia"/>
                      <w:sz w:val="21"/>
                      <w:szCs w:val="21"/>
                      <w:lang w:val="en-US" w:eastAsia="zh-CN"/>
                    </w:rPr>
                    <w:t>55</w:t>
                  </w:r>
                </w:p>
              </w:tc>
              <w:tc>
                <w:tcPr>
                  <w:tcW w:w="644" w:type="pct"/>
                  <w:tcBorders>
                    <w:tl2br w:val="nil"/>
                    <w:tr2bl w:val="nil"/>
                  </w:tcBorders>
                  <w:noWrap w:val="0"/>
                  <w:vAlign w:val="center"/>
                </w:tcPr>
                <w:p>
                  <w:pPr>
                    <w:adjustRightInd w:val="0"/>
                    <w:snapToGrid w:val="0"/>
                    <w:spacing w:before="60" w:after="60" w:line="400" w:lineRule="exact"/>
                    <w:jc w:val="center"/>
                    <w:textAlignment w:val="bottom"/>
                    <w:rPr>
                      <w:rFonts w:hint="eastAsia"/>
                      <w:kern w:val="0"/>
                      <w:sz w:val="21"/>
                      <w:szCs w:val="21"/>
                    </w:rPr>
                  </w:pPr>
                  <w:r>
                    <w:rPr>
                      <w:kern w:val="0"/>
                      <w:sz w:val="21"/>
                      <w:szCs w:val="21"/>
                    </w:rPr>
                    <w:t>达标</w:t>
                  </w:r>
                </w:p>
              </w:tc>
              <w:tc>
                <w:tcPr>
                  <w:tcW w:w="1034" w:type="dxa"/>
                  <w:tcBorders>
                    <w:tl2br w:val="nil"/>
                    <w:tr2bl w:val="nil"/>
                  </w:tcBorders>
                  <w:noWrap w:val="0"/>
                  <w:vAlign w:val="center"/>
                </w:tcPr>
                <w:p>
                  <w:pPr>
                    <w:adjustRightInd w:val="0"/>
                    <w:snapToGrid w:val="0"/>
                    <w:spacing w:before="60" w:after="60" w:line="400" w:lineRule="exact"/>
                    <w:jc w:val="center"/>
                    <w:textAlignment w:val="bottom"/>
                    <w:rPr>
                      <w:kern w:val="0"/>
                      <w:sz w:val="21"/>
                      <w:szCs w:val="21"/>
                    </w:rPr>
                  </w:pPr>
                  <w:r>
                    <w:rPr>
                      <w:ker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28" w:type="pct"/>
                  <w:tcBorders>
                    <w:tl2br w:val="nil"/>
                    <w:tr2bl w:val="nil"/>
                  </w:tcBorders>
                  <w:noWrap w:val="0"/>
                  <w:vAlign w:val="center"/>
                </w:tcPr>
                <w:p>
                  <w:pPr>
                    <w:tabs>
                      <w:tab w:val="left" w:pos="3600"/>
                      <w:tab w:val="left" w:pos="4320"/>
                    </w:tabs>
                    <w:adjustRightInd w:val="0"/>
                    <w:snapToGrid w:val="0"/>
                    <w:spacing w:line="320" w:lineRule="exact"/>
                    <w:ind w:left="-120" w:leftChars="-50" w:right="-120" w:rightChars="-50"/>
                    <w:jc w:val="center"/>
                    <w:rPr>
                      <w:sz w:val="21"/>
                      <w:szCs w:val="21"/>
                    </w:rPr>
                  </w:pPr>
                  <w:r>
                    <w:rPr>
                      <w:sz w:val="21"/>
                      <w:szCs w:val="21"/>
                    </w:rPr>
                    <w:t>2</w:t>
                  </w:r>
                </w:p>
              </w:tc>
              <w:tc>
                <w:tcPr>
                  <w:tcW w:w="1044" w:type="pct"/>
                  <w:tcBorders>
                    <w:tl2br w:val="nil"/>
                    <w:tr2bl w:val="nil"/>
                  </w:tcBorders>
                  <w:noWrap w:val="0"/>
                  <w:vAlign w:val="center"/>
                </w:tcPr>
                <w:p>
                  <w:pPr>
                    <w:adjustRightInd w:val="0"/>
                    <w:snapToGrid w:val="0"/>
                    <w:jc w:val="center"/>
                    <w:rPr>
                      <w:spacing w:val="-6"/>
                      <w:sz w:val="21"/>
                      <w:szCs w:val="21"/>
                    </w:rPr>
                  </w:pPr>
                  <w:r>
                    <w:rPr>
                      <w:sz w:val="21"/>
                      <w:szCs w:val="21"/>
                    </w:rPr>
                    <w:t>厂界西侧1m处</w:t>
                  </w:r>
                </w:p>
              </w:tc>
              <w:tc>
                <w:tcPr>
                  <w:tcW w:w="603" w:type="pct"/>
                  <w:tcBorders>
                    <w:tl2br w:val="nil"/>
                    <w:tr2bl w:val="nil"/>
                  </w:tcBorders>
                  <w:noWrap w:val="0"/>
                  <w:vAlign w:val="center"/>
                </w:tcPr>
                <w:p>
                  <w:pPr>
                    <w:tabs>
                      <w:tab w:val="left" w:pos="3600"/>
                      <w:tab w:val="left" w:pos="4320"/>
                    </w:tabs>
                    <w:adjustRightInd w:val="0"/>
                    <w:snapToGrid w:val="0"/>
                    <w:jc w:val="center"/>
                    <w:rPr>
                      <w:sz w:val="21"/>
                      <w:szCs w:val="21"/>
                    </w:rPr>
                  </w:pPr>
                  <w:r>
                    <w:rPr>
                      <w:rFonts w:hint="eastAsia"/>
                      <w:sz w:val="21"/>
                      <w:szCs w:val="21"/>
                    </w:rPr>
                    <w:t>51.2</w:t>
                  </w:r>
                </w:p>
              </w:tc>
              <w:tc>
                <w:tcPr>
                  <w:tcW w:w="605" w:type="pct"/>
                  <w:tcBorders>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43.5</w:t>
                  </w:r>
                </w:p>
              </w:tc>
              <w:tc>
                <w:tcPr>
                  <w:tcW w:w="1081" w:type="dxa"/>
                  <w:tcBorders>
                    <w:tl2br w:val="nil"/>
                    <w:tr2bl w:val="nil"/>
                  </w:tcBorders>
                  <w:noWrap w:val="0"/>
                  <w:vAlign w:val="center"/>
                </w:tcPr>
                <w:p>
                  <w:pPr>
                    <w:adjustRightInd w:val="0"/>
                    <w:snapToGrid w:val="0"/>
                    <w:spacing w:before="60" w:after="60" w:line="400" w:lineRule="exact"/>
                    <w:jc w:val="center"/>
                    <w:textAlignment w:val="bottom"/>
                    <w:rPr>
                      <w:kern w:val="0"/>
                      <w:sz w:val="21"/>
                      <w:szCs w:val="21"/>
                    </w:rPr>
                  </w:pPr>
                  <w:r>
                    <w:rPr>
                      <w:rFonts w:hint="eastAsia"/>
                      <w:kern w:val="0"/>
                      <w:sz w:val="21"/>
                      <w:szCs w:val="21"/>
                    </w:rPr>
                    <w:t>65</w:t>
                  </w:r>
                </w:p>
              </w:tc>
              <w:tc>
                <w:tcPr>
                  <w:tcW w:w="1042" w:type="dxa"/>
                  <w:tcBorders>
                    <w:tl2br w:val="nil"/>
                    <w:tr2bl w:val="nil"/>
                  </w:tcBorders>
                  <w:noWrap w:val="0"/>
                  <w:vAlign w:val="center"/>
                </w:tcPr>
                <w:p>
                  <w:pPr>
                    <w:adjustRightInd w:val="0"/>
                    <w:snapToGrid w:val="0"/>
                    <w:spacing w:before="60" w:after="60" w:line="400" w:lineRule="exact"/>
                    <w:jc w:val="center"/>
                    <w:textAlignment w:val="bottom"/>
                    <w:rPr>
                      <w:kern w:val="0"/>
                      <w:sz w:val="21"/>
                      <w:szCs w:val="21"/>
                    </w:rPr>
                  </w:pPr>
                  <w:r>
                    <w:rPr>
                      <w:rFonts w:hint="eastAsia"/>
                      <w:sz w:val="21"/>
                      <w:szCs w:val="21"/>
                      <w:lang w:val="en-US" w:eastAsia="zh-CN"/>
                    </w:rPr>
                    <w:t>55</w:t>
                  </w:r>
                </w:p>
              </w:tc>
              <w:tc>
                <w:tcPr>
                  <w:tcW w:w="644" w:type="pct"/>
                  <w:tcBorders>
                    <w:tl2br w:val="nil"/>
                    <w:tr2bl w:val="nil"/>
                  </w:tcBorders>
                  <w:noWrap w:val="0"/>
                  <w:vAlign w:val="center"/>
                </w:tcPr>
                <w:p>
                  <w:pPr>
                    <w:adjustRightInd w:val="0"/>
                    <w:snapToGrid w:val="0"/>
                    <w:spacing w:before="60" w:after="60" w:line="400" w:lineRule="exact"/>
                    <w:jc w:val="center"/>
                    <w:textAlignment w:val="bottom"/>
                    <w:rPr>
                      <w:rFonts w:hint="eastAsia"/>
                      <w:kern w:val="0"/>
                      <w:sz w:val="21"/>
                      <w:szCs w:val="21"/>
                    </w:rPr>
                  </w:pPr>
                  <w:r>
                    <w:rPr>
                      <w:kern w:val="0"/>
                      <w:sz w:val="21"/>
                      <w:szCs w:val="21"/>
                    </w:rPr>
                    <w:t>达标</w:t>
                  </w:r>
                </w:p>
              </w:tc>
              <w:tc>
                <w:tcPr>
                  <w:tcW w:w="1034" w:type="dxa"/>
                  <w:tcBorders>
                    <w:tl2br w:val="nil"/>
                    <w:tr2bl w:val="nil"/>
                  </w:tcBorders>
                  <w:noWrap w:val="0"/>
                  <w:vAlign w:val="center"/>
                </w:tcPr>
                <w:p>
                  <w:pPr>
                    <w:adjustRightInd w:val="0"/>
                    <w:snapToGrid w:val="0"/>
                    <w:spacing w:before="60" w:after="60" w:line="400" w:lineRule="exact"/>
                    <w:jc w:val="center"/>
                    <w:textAlignment w:val="bottom"/>
                    <w:rPr>
                      <w:kern w:val="0"/>
                      <w:sz w:val="21"/>
                      <w:szCs w:val="21"/>
                    </w:rPr>
                  </w:pPr>
                  <w:r>
                    <w:rPr>
                      <w:ker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28" w:type="pct"/>
                  <w:tcBorders>
                    <w:tl2br w:val="nil"/>
                    <w:tr2bl w:val="nil"/>
                  </w:tcBorders>
                  <w:noWrap w:val="0"/>
                  <w:vAlign w:val="center"/>
                </w:tcPr>
                <w:p>
                  <w:pPr>
                    <w:tabs>
                      <w:tab w:val="left" w:pos="3600"/>
                      <w:tab w:val="left" w:pos="4320"/>
                    </w:tabs>
                    <w:adjustRightInd w:val="0"/>
                    <w:snapToGrid w:val="0"/>
                    <w:spacing w:line="320" w:lineRule="exact"/>
                    <w:ind w:left="-120" w:leftChars="-50" w:right="-120" w:rightChars="-50"/>
                    <w:jc w:val="center"/>
                    <w:rPr>
                      <w:sz w:val="21"/>
                      <w:szCs w:val="21"/>
                    </w:rPr>
                  </w:pPr>
                  <w:r>
                    <w:rPr>
                      <w:sz w:val="21"/>
                      <w:szCs w:val="21"/>
                    </w:rPr>
                    <w:t>3</w:t>
                  </w:r>
                </w:p>
              </w:tc>
              <w:tc>
                <w:tcPr>
                  <w:tcW w:w="1044" w:type="pct"/>
                  <w:tcBorders>
                    <w:tl2br w:val="nil"/>
                    <w:tr2bl w:val="nil"/>
                  </w:tcBorders>
                  <w:noWrap w:val="0"/>
                  <w:vAlign w:val="center"/>
                </w:tcPr>
                <w:p>
                  <w:pPr>
                    <w:adjustRightInd w:val="0"/>
                    <w:snapToGrid w:val="0"/>
                    <w:jc w:val="center"/>
                    <w:rPr>
                      <w:spacing w:val="-6"/>
                      <w:sz w:val="21"/>
                      <w:szCs w:val="21"/>
                    </w:rPr>
                  </w:pPr>
                  <w:r>
                    <w:rPr>
                      <w:sz w:val="21"/>
                      <w:szCs w:val="21"/>
                    </w:rPr>
                    <w:t>厂界南侧1m处</w:t>
                  </w:r>
                </w:p>
              </w:tc>
              <w:tc>
                <w:tcPr>
                  <w:tcW w:w="603" w:type="pct"/>
                  <w:tcBorders>
                    <w:tl2br w:val="nil"/>
                    <w:tr2bl w:val="nil"/>
                  </w:tcBorders>
                  <w:noWrap w:val="0"/>
                  <w:vAlign w:val="center"/>
                </w:tcPr>
                <w:p>
                  <w:pPr>
                    <w:tabs>
                      <w:tab w:val="left" w:pos="7638"/>
                    </w:tabs>
                    <w:adjustRightInd w:val="0"/>
                    <w:snapToGrid w:val="0"/>
                    <w:jc w:val="center"/>
                    <w:rPr>
                      <w:sz w:val="21"/>
                      <w:szCs w:val="21"/>
                    </w:rPr>
                  </w:pPr>
                  <w:r>
                    <w:rPr>
                      <w:rFonts w:hint="eastAsia"/>
                      <w:sz w:val="21"/>
                      <w:szCs w:val="21"/>
                    </w:rPr>
                    <w:t>5</w:t>
                  </w:r>
                  <w:r>
                    <w:rPr>
                      <w:rFonts w:hint="eastAsia"/>
                      <w:sz w:val="21"/>
                      <w:szCs w:val="21"/>
                      <w:lang w:val="en-US" w:eastAsia="zh-CN"/>
                    </w:rPr>
                    <w:t>2</w:t>
                  </w:r>
                  <w:r>
                    <w:rPr>
                      <w:rFonts w:hint="eastAsia"/>
                      <w:sz w:val="21"/>
                      <w:szCs w:val="21"/>
                    </w:rPr>
                    <w:t>.1</w:t>
                  </w:r>
                </w:p>
              </w:tc>
              <w:tc>
                <w:tcPr>
                  <w:tcW w:w="605" w:type="pct"/>
                  <w:tcBorders>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44.2</w:t>
                  </w:r>
                </w:p>
              </w:tc>
              <w:tc>
                <w:tcPr>
                  <w:tcW w:w="1081" w:type="dxa"/>
                  <w:tcBorders>
                    <w:tl2br w:val="nil"/>
                    <w:tr2bl w:val="nil"/>
                  </w:tcBorders>
                  <w:noWrap w:val="0"/>
                  <w:vAlign w:val="center"/>
                </w:tcPr>
                <w:p>
                  <w:pPr>
                    <w:adjustRightInd w:val="0"/>
                    <w:snapToGrid w:val="0"/>
                    <w:spacing w:before="60" w:after="60" w:line="400" w:lineRule="exact"/>
                    <w:jc w:val="center"/>
                    <w:textAlignment w:val="bottom"/>
                    <w:rPr>
                      <w:rFonts w:hint="eastAsia"/>
                      <w:kern w:val="0"/>
                      <w:sz w:val="21"/>
                      <w:szCs w:val="21"/>
                    </w:rPr>
                  </w:pPr>
                  <w:r>
                    <w:rPr>
                      <w:rFonts w:hint="eastAsia"/>
                      <w:kern w:val="0"/>
                      <w:sz w:val="21"/>
                      <w:szCs w:val="21"/>
                    </w:rPr>
                    <w:t>65</w:t>
                  </w:r>
                </w:p>
              </w:tc>
              <w:tc>
                <w:tcPr>
                  <w:tcW w:w="1042" w:type="dxa"/>
                  <w:tcBorders>
                    <w:tl2br w:val="nil"/>
                    <w:tr2bl w:val="nil"/>
                  </w:tcBorders>
                  <w:noWrap w:val="0"/>
                  <w:vAlign w:val="center"/>
                </w:tcPr>
                <w:p>
                  <w:pPr>
                    <w:adjustRightInd w:val="0"/>
                    <w:snapToGrid w:val="0"/>
                    <w:spacing w:before="60" w:after="60" w:line="400" w:lineRule="exact"/>
                    <w:jc w:val="center"/>
                    <w:textAlignment w:val="bottom"/>
                    <w:rPr>
                      <w:kern w:val="0"/>
                      <w:sz w:val="21"/>
                      <w:szCs w:val="21"/>
                    </w:rPr>
                  </w:pPr>
                  <w:r>
                    <w:rPr>
                      <w:rFonts w:hint="eastAsia"/>
                      <w:sz w:val="21"/>
                      <w:szCs w:val="21"/>
                      <w:lang w:val="en-US" w:eastAsia="zh-CN"/>
                    </w:rPr>
                    <w:t>55</w:t>
                  </w:r>
                </w:p>
              </w:tc>
              <w:tc>
                <w:tcPr>
                  <w:tcW w:w="644" w:type="pct"/>
                  <w:tcBorders>
                    <w:tl2br w:val="nil"/>
                    <w:tr2bl w:val="nil"/>
                  </w:tcBorders>
                  <w:noWrap w:val="0"/>
                  <w:vAlign w:val="center"/>
                </w:tcPr>
                <w:p>
                  <w:pPr>
                    <w:adjustRightInd w:val="0"/>
                    <w:snapToGrid w:val="0"/>
                    <w:spacing w:before="60" w:after="60" w:line="400" w:lineRule="exact"/>
                    <w:jc w:val="center"/>
                    <w:textAlignment w:val="bottom"/>
                    <w:rPr>
                      <w:rFonts w:hint="eastAsia"/>
                      <w:kern w:val="0"/>
                      <w:sz w:val="21"/>
                      <w:szCs w:val="21"/>
                    </w:rPr>
                  </w:pPr>
                  <w:r>
                    <w:rPr>
                      <w:kern w:val="0"/>
                      <w:sz w:val="21"/>
                      <w:szCs w:val="21"/>
                    </w:rPr>
                    <w:t>达标</w:t>
                  </w:r>
                </w:p>
              </w:tc>
              <w:tc>
                <w:tcPr>
                  <w:tcW w:w="1034" w:type="dxa"/>
                  <w:tcBorders>
                    <w:tl2br w:val="nil"/>
                    <w:tr2bl w:val="nil"/>
                  </w:tcBorders>
                  <w:noWrap w:val="0"/>
                  <w:vAlign w:val="center"/>
                </w:tcPr>
                <w:p>
                  <w:pPr>
                    <w:adjustRightInd w:val="0"/>
                    <w:snapToGrid w:val="0"/>
                    <w:spacing w:before="60" w:after="60" w:line="400" w:lineRule="exact"/>
                    <w:jc w:val="center"/>
                    <w:textAlignment w:val="bottom"/>
                    <w:rPr>
                      <w:kern w:val="0"/>
                      <w:sz w:val="21"/>
                      <w:szCs w:val="21"/>
                    </w:rPr>
                  </w:pPr>
                  <w:r>
                    <w:rPr>
                      <w:ker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28" w:type="pct"/>
                  <w:tcBorders>
                    <w:tl2br w:val="nil"/>
                    <w:tr2bl w:val="nil"/>
                  </w:tcBorders>
                  <w:noWrap w:val="0"/>
                  <w:vAlign w:val="center"/>
                </w:tcPr>
                <w:p>
                  <w:pPr>
                    <w:tabs>
                      <w:tab w:val="left" w:pos="3600"/>
                      <w:tab w:val="left" w:pos="4320"/>
                    </w:tabs>
                    <w:adjustRightInd w:val="0"/>
                    <w:snapToGrid w:val="0"/>
                    <w:spacing w:line="320" w:lineRule="exact"/>
                    <w:ind w:left="-120" w:leftChars="-50" w:right="-120" w:rightChars="-50"/>
                    <w:jc w:val="center"/>
                    <w:rPr>
                      <w:sz w:val="21"/>
                      <w:szCs w:val="21"/>
                    </w:rPr>
                  </w:pPr>
                  <w:r>
                    <w:rPr>
                      <w:sz w:val="21"/>
                      <w:szCs w:val="21"/>
                    </w:rPr>
                    <w:t>4</w:t>
                  </w:r>
                </w:p>
              </w:tc>
              <w:tc>
                <w:tcPr>
                  <w:tcW w:w="1044" w:type="pct"/>
                  <w:tcBorders>
                    <w:tl2br w:val="nil"/>
                    <w:tr2bl w:val="nil"/>
                  </w:tcBorders>
                  <w:noWrap w:val="0"/>
                  <w:vAlign w:val="center"/>
                </w:tcPr>
                <w:p>
                  <w:pPr>
                    <w:adjustRightInd w:val="0"/>
                    <w:snapToGrid w:val="0"/>
                    <w:jc w:val="center"/>
                    <w:rPr>
                      <w:spacing w:val="-6"/>
                      <w:sz w:val="21"/>
                      <w:szCs w:val="21"/>
                    </w:rPr>
                  </w:pPr>
                  <w:r>
                    <w:rPr>
                      <w:sz w:val="21"/>
                      <w:szCs w:val="21"/>
                    </w:rPr>
                    <w:t>厂界东侧1m处</w:t>
                  </w:r>
                </w:p>
              </w:tc>
              <w:tc>
                <w:tcPr>
                  <w:tcW w:w="603" w:type="pct"/>
                  <w:tcBorders>
                    <w:tl2br w:val="nil"/>
                    <w:tr2bl w:val="nil"/>
                  </w:tcBorders>
                  <w:noWrap w:val="0"/>
                  <w:vAlign w:val="center"/>
                </w:tcPr>
                <w:p>
                  <w:pPr>
                    <w:tabs>
                      <w:tab w:val="left" w:pos="3600"/>
                      <w:tab w:val="left" w:pos="4320"/>
                    </w:tabs>
                    <w:adjustRightInd w:val="0"/>
                    <w:snapToGrid w:val="0"/>
                    <w:jc w:val="center"/>
                    <w:rPr>
                      <w:sz w:val="21"/>
                      <w:szCs w:val="21"/>
                    </w:rPr>
                  </w:pPr>
                  <w:r>
                    <w:rPr>
                      <w:rFonts w:hint="eastAsia"/>
                      <w:sz w:val="21"/>
                      <w:szCs w:val="21"/>
                      <w:lang w:val="en-US" w:eastAsia="zh-CN"/>
                    </w:rPr>
                    <w:t>56</w:t>
                  </w:r>
                  <w:r>
                    <w:rPr>
                      <w:rFonts w:hint="eastAsia"/>
                      <w:sz w:val="21"/>
                      <w:szCs w:val="21"/>
                    </w:rPr>
                    <w:t>.7</w:t>
                  </w:r>
                </w:p>
              </w:tc>
              <w:tc>
                <w:tcPr>
                  <w:tcW w:w="605" w:type="pct"/>
                  <w:tcBorders>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46.5</w:t>
                  </w:r>
                </w:p>
              </w:tc>
              <w:tc>
                <w:tcPr>
                  <w:tcW w:w="1081" w:type="dxa"/>
                  <w:tcBorders>
                    <w:tl2br w:val="nil"/>
                    <w:tr2bl w:val="nil"/>
                  </w:tcBorders>
                  <w:noWrap w:val="0"/>
                  <w:vAlign w:val="center"/>
                </w:tcPr>
                <w:p>
                  <w:pPr>
                    <w:adjustRightInd w:val="0"/>
                    <w:snapToGrid w:val="0"/>
                    <w:spacing w:before="60" w:after="60" w:line="400" w:lineRule="exact"/>
                    <w:jc w:val="center"/>
                    <w:textAlignment w:val="bottom"/>
                    <w:rPr>
                      <w:rFonts w:hint="eastAsia"/>
                      <w:kern w:val="0"/>
                      <w:sz w:val="21"/>
                      <w:szCs w:val="21"/>
                    </w:rPr>
                  </w:pPr>
                  <w:r>
                    <w:rPr>
                      <w:rFonts w:hint="eastAsia"/>
                      <w:kern w:val="0"/>
                      <w:sz w:val="21"/>
                      <w:szCs w:val="21"/>
                    </w:rPr>
                    <w:t>65</w:t>
                  </w:r>
                </w:p>
              </w:tc>
              <w:tc>
                <w:tcPr>
                  <w:tcW w:w="1042" w:type="dxa"/>
                  <w:tcBorders>
                    <w:tl2br w:val="nil"/>
                    <w:tr2bl w:val="nil"/>
                  </w:tcBorders>
                  <w:noWrap w:val="0"/>
                  <w:vAlign w:val="center"/>
                </w:tcPr>
                <w:p>
                  <w:pPr>
                    <w:adjustRightInd w:val="0"/>
                    <w:snapToGrid w:val="0"/>
                    <w:spacing w:before="60" w:after="60" w:line="400" w:lineRule="exact"/>
                    <w:jc w:val="center"/>
                    <w:textAlignment w:val="bottom"/>
                    <w:rPr>
                      <w:kern w:val="0"/>
                      <w:sz w:val="21"/>
                      <w:szCs w:val="21"/>
                    </w:rPr>
                  </w:pPr>
                  <w:r>
                    <w:rPr>
                      <w:rFonts w:hint="eastAsia"/>
                      <w:sz w:val="21"/>
                      <w:szCs w:val="21"/>
                      <w:lang w:val="en-US" w:eastAsia="zh-CN"/>
                    </w:rPr>
                    <w:t>55</w:t>
                  </w:r>
                </w:p>
              </w:tc>
              <w:tc>
                <w:tcPr>
                  <w:tcW w:w="644" w:type="pct"/>
                  <w:tcBorders>
                    <w:tl2br w:val="nil"/>
                    <w:tr2bl w:val="nil"/>
                  </w:tcBorders>
                  <w:noWrap w:val="0"/>
                  <w:vAlign w:val="center"/>
                </w:tcPr>
                <w:p>
                  <w:pPr>
                    <w:adjustRightInd w:val="0"/>
                    <w:snapToGrid w:val="0"/>
                    <w:spacing w:before="60" w:after="60" w:line="400" w:lineRule="exact"/>
                    <w:jc w:val="center"/>
                    <w:textAlignment w:val="bottom"/>
                    <w:rPr>
                      <w:rFonts w:hint="eastAsia"/>
                      <w:kern w:val="0"/>
                      <w:sz w:val="21"/>
                      <w:szCs w:val="21"/>
                    </w:rPr>
                  </w:pPr>
                  <w:r>
                    <w:rPr>
                      <w:kern w:val="0"/>
                      <w:sz w:val="21"/>
                      <w:szCs w:val="21"/>
                    </w:rPr>
                    <w:t>达标</w:t>
                  </w:r>
                </w:p>
              </w:tc>
              <w:tc>
                <w:tcPr>
                  <w:tcW w:w="1034" w:type="dxa"/>
                  <w:tcBorders>
                    <w:tl2br w:val="nil"/>
                    <w:tr2bl w:val="nil"/>
                  </w:tcBorders>
                  <w:noWrap w:val="0"/>
                  <w:vAlign w:val="center"/>
                </w:tcPr>
                <w:p>
                  <w:pPr>
                    <w:adjustRightInd w:val="0"/>
                    <w:snapToGrid w:val="0"/>
                    <w:spacing w:before="60" w:after="60" w:line="400" w:lineRule="exact"/>
                    <w:jc w:val="center"/>
                    <w:textAlignment w:val="bottom"/>
                    <w:rPr>
                      <w:kern w:val="0"/>
                      <w:sz w:val="21"/>
                      <w:szCs w:val="21"/>
                    </w:rPr>
                  </w:pPr>
                  <w:r>
                    <w:rPr>
                      <w:kern w:val="0"/>
                      <w:sz w:val="21"/>
                      <w:szCs w:val="21"/>
                    </w:rPr>
                    <w:t>达标</w:t>
                  </w:r>
                </w:p>
              </w:tc>
            </w:tr>
          </w:tbl>
          <w:p>
            <w:pPr>
              <w:adjustRightInd w:val="0"/>
              <w:snapToGrid w:val="0"/>
              <w:spacing w:before="120" w:beforeLines="50" w:line="360" w:lineRule="auto"/>
              <w:ind w:firstLine="480" w:firstLineChars="200"/>
              <w:rPr>
                <w:rFonts w:hint="eastAsia"/>
              </w:rPr>
            </w:pPr>
            <w:r>
              <w:t>预测结果表明，</w:t>
            </w:r>
            <w:r>
              <w:rPr>
                <w:rFonts w:hint="eastAsia"/>
                <w:lang w:val="en-US" w:eastAsia="zh-CN"/>
              </w:rPr>
              <w:t>本</w:t>
            </w:r>
            <w:r>
              <w:t>项目建成后各主要噪声设备选取安装低噪设备、</w:t>
            </w:r>
            <w:r>
              <w:rPr>
                <w:rFonts w:hint="eastAsia"/>
              </w:rPr>
              <w:t>合理布局、设置</w:t>
            </w:r>
            <w:r>
              <w:t>基础减振、</w:t>
            </w:r>
            <w:r>
              <w:rPr>
                <w:rFonts w:hint="eastAsia"/>
              </w:rPr>
              <w:t>增设绿化带</w:t>
            </w:r>
            <w:r>
              <w:t>隔声</w:t>
            </w:r>
            <w:r>
              <w:rPr>
                <w:rFonts w:hint="eastAsia"/>
              </w:rPr>
              <w:t>、设置隔离带</w:t>
            </w:r>
            <w:r>
              <w:t>等降噪措施及距离衰减后对厂界的影响值均较小</w:t>
            </w:r>
            <w:r>
              <w:rPr>
                <w:rFonts w:hint="eastAsia"/>
              </w:rPr>
              <w:t>。运营期</w:t>
            </w:r>
            <w:r>
              <w:rPr>
                <w:rFonts w:hint="eastAsia"/>
                <w:kern w:val="0"/>
                <w:szCs w:val="22"/>
                <w:lang w:val="zh-CN"/>
              </w:rPr>
              <w:t>项目东、</w:t>
            </w:r>
            <w:r>
              <w:rPr>
                <w:rFonts w:hint="eastAsia"/>
                <w:kern w:val="0"/>
                <w:szCs w:val="22"/>
              </w:rPr>
              <w:t>西、</w:t>
            </w:r>
            <w:r>
              <w:rPr>
                <w:rFonts w:hint="eastAsia"/>
                <w:kern w:val="0"/>
                <w:szCs w:val="22"/>
                <w:lang w:val="zh-CN"/>
              </w:rPr>
              <w:t>南、</w:t>
            </w:r>
            <w:r>
              <w:rPr>
                <w:rFonts w:hint="eastAsia"/>
                <w:kern w:val="0"/>
                <w:szCs w:val="22"/>
              </w:rPr>
              <w:t>北</w:t>
            </w:r>
            <w:r>
              <w:rPr>
                <w:rFonts w:hint="eastAsia"/>
                <w:kern w:val="0"/>
                <w:szCs w:val="22"/>
                <w:lang w:val="zh-CN"/>
              </w:rPr>
              <w:t>侧噪声满足</w:t>
            </w:r>
            <w:r>
              <w:t>《工业企业厂界环境噪声排放标准》（GB12348-2008）中</w:t>
            </w:r>
            <w:r>
              <w:rPr>
                <w:rFonts w:hint="eastAsia"/>
              </w:rPr>
              <w:t>3</w:t>
            </w:r>
            <w:r>
              <w:t>类标准</w:t>
            </w:r>
            <w:r>
              <w:rPr>
                <w:rFonts w:hint="eastAsia"/>
              </w:rPr>
              <w:t>。</w:t>
            </w:r>
          </w:p>
          <w:p>
            <w:pPr>
              <w:adjustRightInd w:val="0"/>
              <w:snapToGrid w:val="0"/>
              <w:spacing w:line="360" w:lineRule="auto"/>
              <w:ind w:firstLine="480" w:firstLineChars="200"/>
            </w:pPr>
            <w:r>
              <w:rPr>
                <w:rFonts w:hint="eastAsia"/>
              </w:rPr>
              <w:t>3.4环境噪声</w:t>
            </w:r>
            <w:r>
              <w:t>监测计划</w:t>
            </w:r>
          </w:p>
          <w:p>
            <w:pPr>
              <w:adjustRightInd w:val="0"/>
              <w:snapToGrid w:val="0"/>
              <w:spacing w:line="360" w:lineRule="auto"/>
              <w:ind w:firstLine="480" w:firstLineChars="200"/>
            </w:pPr>
            <w:r>
              <w:t>根据《排污单位自行监测技术指南 总则》（HJ819-2017），厂界声</w:t>
            </w:r>
            <w:r>
              <w:rPr>
                <w:rFonts w:hint="eastAsia"/>
              </w:rPr>
              <w:t>环境</w:t>
            </w:r>
            <w:r>
              <w:t>监测</w:t>
            </w:r>
            <w:r>
              <w:rPr>
                <w:rFonts w:hint="eastAsia"/>
              </w:rPr>
              <w:t>计划</w:t>
            </w:r>
            <w:r>
              <w:t>见下表。</w:t>
            </w:r>
          </w:p>
          <w:p>
            <w:pPr>
              <w:tabs>
                <w:tab w:val="left" w:pos="420"/>
              </w:tabs>
              <w:adjustRightInd w:val="0"/>
              <w:snapToGrid w:val="0"/>
              <w:jc w:val="center"/>
              <w:outlineLvl w:val="4"/>
              <w:rPr>
                <w:rFonts w:hint="eastAsia"/>
                <w:b/>
                <w:bCs/>
                <w:color w:val="000000"/>
              </w:rPr>
            </w:pPr>
          </w:p>
          <w:p>
            <w:pPr>
              <w:tabs>
                <w:tab w:val="left" w:pos="420"/>
              </w:tabs>
              <w:adjustRightInd w:val="0"/>
              <w:snapToGrid w:val="0"/>
              <w:jc w:val="center"/>
              <w:outlineLvl w:val="4"/>
              <w:rPr>
                <w:rFonts w:hint="eastAsia"/>
                <w:b/>
                <w:bCs/>
                <w:color w:val="000000"/>
              </w:rPr>
            </w:pPr>
          </w:p>
          <w:p>
            <w:pPr>
              <w:tabs>
                <w:tab w:val="left" w:pos="420"/>
              </w:tabs>
              <w:adjustRightInd w:val="0"/>
              <w:snapToGrid w:val="0"/>
              <w:jc w:val="center"/>
              <w:outlineLvl w:val="4"/>
              <w:rPr>
                <w:rFonts w:hint="eastAsia"/>
                <w:b/>
                <w:bCs/>
                <w:color w:val="000000"/>
              </w:rPr>
            </w:pPr>
          </w:p>
          <w:p>
            <w:pPr>
              <w:tabs>
                <w:tab w:val="left" w:pos="420"/>
              </w:tabs>
              <w:adjustRightInd w:val="0"/>
              <w:snapToGrid w:val="0"/>
              <w:jc w:val="center"/>
              <w:outlineLvl w:val="4"/>
              <w:rPr>
                <w:rStyle w:val="44"/>
                <w:bCs/>
                <w:sz w:val="24"/>
                <w:szCs w:val="24"/>
              </w:rPr>
            </w:pPr>
            <w:r>
              <w:rPr>
                <w:rFonts w:hint="eastAsia"/>
                <w:b/>
                <w:bCs/>
                <w:color w:val="000000"/>
              </w:rPr>
              <w:t>表4-</w:t>
            </w:r>
            <w:r>
              <w:rPr>
                <w:rFonts w:hint="eastAsia"/>
                <w:b/>
                <w:bCs/>
                <w:color w:val="000000"/>
                <w:lang w:val="en-US" w:eastAsia="zh-CN"/>
              </w:rPr>
              <w:t>14</w:t>
            </w:r>
            <w:r>
              <w:rPr>
                <w:rFonts w:hint="eastAsia"/>
                <w:b/>
                <w:bCs/>
                <w:color w:val="000000"/>
              </w:rPr>
              <w:t xml:space="preserve">  噪声排放</w:t>
            </w:r>
            <w:r>
              <w:rPr>
                <w:rStyle w:val="44"/>
                <w:bCs/>
                <w:sz w:val="24"/>
                <w:szCs w:val="24"/>
              </w:rPr>
              <w:t>监测计划一览表</w:t>
            </w:r>
          </w:p>
          <w:tbl>
            <w:tblPr>
              <w:tblStyle w:val="21"/>
              <w:tblW w:w="497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715"/>
              <w:gridCol w:w="1267"/>
              <w:gridCol w:w="972"/>
              <w:gridCol w:w="1079"/>
              <w:gridCol w:w="2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457" w:type="pct"/>
                  <w:tcBorders>
                    <w:tl2br w:val="nil"/>
                    <w:tr2bl w:val="nil"/>
                  </w:tcBorders>
                  <w:noWrap w:val="0"/>
                  <w:vAlign w:val="center"/>
                </w:tcPr>
                <w:p>
                  <w:pPr>
                    <w:adjustRightInd w:val="0"/>
                    <w:snapToGrid w:val="0"/>
                    <w:jc w:val="center"/>
                    <w:rPr>
                      <w:b/>
                      <w:bCs/>
                      <w:sz w:val="21"/>
                      <w:szCs w:val="21"/>
                    </w:rPr>
                  </w:pPr>
                  <w:r>
                    <w:rPr>
                      <w:b/>
                      <w:bCs/>
                      <w:sz w:val="21"/>
                      <w:szCs w:val="21"/>
                    </w:rPr>
                    <w:t>序号</w:t>
                  </w:r>
                </w:p>
              </w:tc>
              <w:tc>
                <w:tcPr>
                  <w:tcW w:w="976" w:type="pct"/>
                  <w:tcBorders>
                    <w:tl2br w:val="nil"/>
                    <w:tr2bl w:val="nil"/>
                  </w:tcBorders>
                  <w:noWrap w:val="0"/>
                  <w:vAlign w:val="center"/>
                </w:tcPr>
                <w:p>
                  <w:pPr>
                    <w:adjustRightInd w:val="0"/>
                    <w:snapToGrid w:val="0"/>
                    <w:jc w:val="center"/>
                    <w:rPr>
                      <w:b/>
                      <w:bCs/>
                      <w:sz w:val="21"/>
                      <w:szCs w:val="21"/>
                    </w:rPr>
                  </w:pPr>
                  <w:r>
                    <w:rPr>
                      <w:b/>
                      <w:bCs/>
                      <w:sz w:val="21"/>
                      <w:szCs w:val="21"/>
                    </w:rPr>
                    <w:t>监测点位</w:t>
                  </w:r>
                </w:p>
              </w:tc>
              <w:tc>
                <w:tcPr>
                  <w:tcW w:w="721" w:type="pct"/>
                  <w:tcBorders>
                    <w:tl2br w:val="nil"/>
                    <w:tr2bl w:val="nil"/>
                  </w:tcBorders>
                  <w:noWrap w:val="0"/>
                  <w:vAlign w:val="center"/>
                </w:tcPr>
                <w:p>
                  <w:pPr>
                    <w:adjustRightInd w:val="0"/>
                    <w:snapToGrid w:val="0"/>
                    <w:jc w:val="center"/>
                    <w:rPr>
                      <w:b/>
                      <w:bCs/>
                      <w:sz w:val="21"/>
                      <w:szCs w:val="21"/>
                    </w:rPr>
                  </w:pPr>
                  <w:r>
                    <w:rPr>
                      <w:b/>
                      <w:bCs/>
                      <w:sz w:val="21"/>
                      <w:szCs w:val="21"/>
                    </w:rPr>
                    <w:t>监测项目</w:t>
                  </w:r>
                </w:p>
              </w:tc>
              <w:tc>
                <w:tcPr>
                  <w:tcW w:w="553" w:type="pct"/>
                  <w:tcBorders>
                    <w:tl2br w:val="nil"/>
                    <w:tr2bl w:val="nil"/>
                  </w:tcBorders>
                  <w:noWrap w:val="0"/>
                  <w:vAlign w:val="center"/>
                </w:tcPr>
                <w:p>
                  <w:pPr>
                    <w:adjustRightInd w:val="0"/>
                    <w:snapToGrid w:val="0"/>
                    <w:jc w:val="center"/>
                    <w:rPr>
                      <w:b/>
                      <w:bCs/>
                      <w:sz w:val="21"/>
                      <w:szCs w:val="21"/>
                    </w:rPr>
                  </w:pPr>
                  <w:r>
                    <w:rPr>
                      <w:b/>
                      <w:bCs/>
                      <w:sz w:val="21"/>
                      <w:szCs w:val="21"/>
                    </w:rPr>
                    <w:t>频率</w:t>
                  </w:r>
                </w:p>
              </w:tc>
              <w:tc>
                <w:tcPr>
                  <w:tcW w:w="614" w:type="pct"/>
                  <w:tcBorders>
                    <w:tl2br w:val="nil"/>
                    <w:tr2bl w:val="nil"/>
                  </w:tcBorders>
                  <w:noWrap w:val="0"/>
                  <w:vAlign w:val="center"/>
                </w:tcPr>
                <w:p>
                  <w:pPr>
                    <w:adjustRightInd w:val="0"/>
                    <w:snapToGrid w:val="0"/>
                    <w:jc w:val="center"/>
                    <w:rPr>
                      <w:b/>
                      <w:bCs/>
                      <w:sz w:val="21"/>
                      <w:szCs w:val="21"/>
                    </w:rPr>
                  </w:pPr>
                  <w:r>
                    <w:rPr>
                      <w:b/>
                      <w:bCs/>
                      <w:sz w:val="21"/>
                      <w:szCs w:val="21"/>
                    </w:rPr>
                    <w:t>实施单位</w:t>
                  </w:r>
                </w:p>
              </w:tc>
              <w:tc>
                <w:tcPr>
                  <w:tcW w:w="1676" w:type="pct"/>
                  <w:tcBorders>
                    <w:tl2br w:val="nil"/>
                    <w:tr2bl w:val="nil"/>
                  </w:tcBorders>
                  <w:noWrap w:val="0"/>
                  <w:vAlign w:val="center"/>
                </w:tcPr>
                <w:p>
                  <w:pPr>
                    <w:adjustRightInd w:val="0"/>
                    <w:snapToGrid w:val="0"/>
                    <w:jc w:val="center"/>
                    <w:rPr>
                      <w:b/>
                      <w:bCs/>
                      <w:sz w:val="21"/>
                      <w:szCs w:val="21"/>
                    </w:rPr>
                  </w:pPr>
                  <w:r>
                    <w:rPr>
                      <w:b/>
                      <w:bCs/>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457" w:type="pct"/>
                  <w:tcBorders>
                    <w:tl2br w:val="nil"/>
                    <w:tr2bl w:val="nil"/>
                  </w:tcBorders>
                  <w:noWrap w:val="0"/>
                  <w:vAlign w:val="center"/>
                </w:tcPr>
                <w:p>
                  <w:pPr>
                    <w:adjustRightInd w:val="0"/>
                    <w:snapToGrid w:val="0"/>
                    <w:jc w:val="center"/>
                    <w:rPr>
                      <w:sz w:val="21"/>
                      <w:szCs w:val="21"/>
                    </w:rPr>
                  </w:pPr>
                  <w:r>
                    <w:rPr>
                      <w:sz w:val="21"/>
                      <w:szCs w:val="21"/>
                    </w:rPr>
                    <w:t>1</w:t>
                  </w:r>
                </w:p>
              </w:tc>
              <w:tc>
                <w:tcPr>
                  <w:tcW w:w="976" w:type="pct"/>
                  <w:tcBorders>
                    <w:tl2br w:val="nil"/>
                    <w:tr2bl w:val="nil"/>
                  </w:tcBorders>
                  <w:noWrap w:val="0"/>
                  <w:vAlign w:val="center"/>
                </w:tcPr>
                <w:p>
                  <w:pPr>
                    <w:adjustRightInd w:val="0"/>
                    <w:snapToGrid w:val="0"/>
                    <w:jc w:val="center"/>
                    <w:rPr>
                      <w:sz w:val="21"/>
                      <w:szCs w:val="21"/>
                    </w:rPr>
                  </w:pPr>
                  <w:r>
                    <w:rPr>
                      <w:rFonts w:hint="eastAsia"/>
                      <w:sz w:val="21"/>
                      <w:szCs w:val="21"/>
                    </w:rPr>
                    <w:t>项目四周外1m</w:t>
                  </w:r>
                  <w:r>
                    <w:rPr>
                      <w:sz w:val="21"/>
                      <w:szCs w:val="21"/>
                    </w:rPr>
                    <w:t>各一个监测点</w:t>
                  </w:r>
                </w:p>
              </w:tc>
              <w:tc>
                <w:tcPr>
                  <w:tcW w:w="721" w:type="pct"/>
                  <w:tcBorders>
                    <w:tl2br w:val="nil"/>
                    <w:tr2bl w:val="nil"/>
                  </w:tcBorders>
                  <w:noWrap w:val="0"/>
                  <w:vAlign w:val="center"/>
                </w:tcPr>
                <w:p>
                  <w:pPr>
                    <w:adjustRightInd w:val="0"/>
                    <w:snapToGrid w:val="0"/>
                    <w:jc w:val="center"/>
                    <w:rPr>
                      <w:sz w:val="21"/>
                      <w:szCs w:val="21"/>
                    </w:rPr>
                  </w:pPr>
                  <w:r>
                    <w:rPr>
                      <w:sz w:val="21"/>
                      <w:szCs w:val="21"/>
                    </w:rPr>
                    <w:t>等效连续A声级（Leq）</w:t>
                  </w:r>
                </w:p>
              </w:tc>
              <w:tc>
                <w:tcPr>
                  <w:tcW w:w="553" w:type="pct"/>
                  <w:tcBorders>
                    <w:tl2br w:val="nil"/>
                    <w:tr2bl w:val="nil"/>
                  </w:tcBorders>
                  <w:noWrap w:val="0"/>
                  <w:vAlign w:val="center"/>
                </w:tcPr>
                <w:p>
                  <w:pPr>
                    <w:adjustRightInd w:val="0"/>
                    <w:snapToGrid w:val="0"/>
                    <w:jc w:val="center"/>
                    <w:rPr>
                      <w:sz w:val="21"/>
                      <w:szCs w:val="21"/>
                    </w:rPr>
                  </w:pPr>
                  <w:r>
                    <w:rPr>
                      <w:sz w:val="21"/>
                      <w:szCs w:val="21"/>
                    </w:rPr>
                    <w:t>1次/</w:t>
                  </w:r>
                </w:p>
                <w:p>
                  <w:pPr>
                    <w:adjustRightInd w:val="0"/>
                    <w:snapToGrid w:val="0"/>
                    <w:jc w:val="center"/>
                    <w:rPr>
                      <w:rFonts w:hint="eastAsia"/>
                      <w:sz w:val="21"/>
                      <w:szCs w:val="21"/>
                    </w:rPr>
                  </w:pPr>
                  <w:r>
                    <w:rPr>
                      <w:sz w:val="21"/>
                      <w:szCs w:val="21"/>
                    </w:rPr>
                    <w:t>季</w:t>
                  </w:r>
                  <w:r>
                    <w:rPr>
                      <w:rFonts w:hint="eastAsia"/>
                      <w:sz w:val="21"/>
                      <w:szCs w:val="21"/>
                    </w:rPr>
                    <w:t>度</w:t>
                  </w:r>
                </w:p>
              </w:tc>
              <w:tc>
                <w:tcPr>
                  <w:tcW w:w="614" w:type="pct"/>
                  <w:tcBorders>
                    <w:tl2br w:val="nil"/>
                    <w:tr2bl w:val="nil"/>
                  </w:tcBorders>
                  <w:noWrap w:val="0"/>
                  <w:vAlign w:val="center"/>
                </w:tcPr>
                <w:p>
                  <w:pPr>
                    <w:adjustRightInd w:val="0"/>
                    <w:snapToGrid w:val="0"/>
                    <w:jc w:val="center"/>
                    <w:rPr>
                      <w:sz w:val="21"/>
                      <w:szCs w:val="21"/>
                    </w:rPr>
                  </w:pPr>
                  <w:r>
                    <w:rPr>
                      <w:sz w:val="21"/>
                      <w:szCs w:val="21"/>
                    </w:rPr>
                    <w:t>有资质的监测单位</w:t>
                  </w:r>
                </w:p>
              </w:tc>
              <w:tc>
                <w:tcPr>
                  <w:tcW w:w="1676" w:type="pct"/>
                  <w:tcBorders>
                    <w:tl2br w:val="nil"/>
                    <w:tr2bl w:val="nil"/>
                  </w:tcBorders>
                  <w:noWrap w:val="0"/>
                  <w:vAlign w:val="center"/>
                </w:tcPr>
                <w:p>
                  <w:pPr>
                    <w:adjustRightInd w:val="0"/>
                    <w:snapToGrid w:val="0"/>
                    <w:jc w:val="center"/>
                    <w:rPr>
                      <w:sz w:val="21"/>
                      <w:szCs w:val="21"/>
                    </w:rPr>
                  </w:pPr>
                  <w:r>
                    <w:rPr>
                      <w:sz w:val="21"/>
                      <w:szCs w:val="21"/>
                    </w:rPr>
                    <w:t>《工业企业厂界环境噪声排放标准》（GB12348- 2008）</w:t>
                  </w:r>
                </w:p>
                <w:p>
                  <w:pPr>
                    <w:adjustRightInd w:val="0"/>
                    <w:snapToGrid w:val="0"/>
                    <w:jc w:val="center"/>
                    <w:rPr>
                      <w:sz w:val="21"/>
                      <w:szCs w:val="21"/>
                    </w:rPr>
                  </w:pPr>
                  <w:r>
                    <w:rPr>
                      <w:sz w:val="21"/>
                      <w:szCs w:val="21"/>
                    </w:rPr>
                    <w:t>3类标准要求</w:t>
                  </w:r>
                </w:p>
              </w:tc>
            </w:tr>
          </w:tbl>
          <w:p>
            <w:pPr>
              <w:adjustRightInd w:val="0"/>
              <w:snapToGrid w:val="0"/>
              <w:spacing w:before="120" w:beforeLines="50" w:line="360" w:lineRule="auto"/>
              <w:rPr>
                <w:b/>
                <w:bCs/>
              </w:rPr>
            </w:pPr>
            <w:r>
              <w:rPr>
                <w:b/>
                <w:bCs/>
              </w:rPr>
              <w:t>4、固体</w:t>
            </w:r>
            <w:r>
              <w:rPr>
                <w:rFonts w:hint="eastAsia"/>
                <w:b/>
                <w:bCs/>
              </w:rPr>
              <w:t>废</w:t>
            </w:r>
            <w:r>
              <w:rPr>
                <w:b/>
                <w:bCs/>
              </w:rPr>
              <w:t>物污染影响及防治措施</w:t>
            </w:r>
          </w:p>
          <w:p>
            <w:pPr>
              <w:adjustRightInd w:val="0"/>
              <w:snapToGrid w:val="0"/>
              <w:spacing w:line="360" w:lineRule="auto"/>
              <w:ind w:firstLine="480" w:firstLineChars="200"/>
            </w:pPr>
            <w:r>
              <w:rPr>
                <w:rFonts w:hint="eastAsia"/>
              </w:rPr>
              <w:t>4.1固体废物污染源分析</w:t>
            </w:r>
          </w:p>
          <w:p>
            <w:pPr>
              <w:adjustRightInd w:val="0"/>
              <w:snapToGrid w:val="0"/>
              <w:spacing w:line="360" w:lineRule="auto"/>
              <w:ind w:firstLine="480" w:firstLineChars="200"/>
            </w:pPr>
            <w:r>
              <w:t>根据《固体废物鉴别标准通则》（GB34330-2017）、《国家危险废物名录》（2021年版）及《危险废物鉴别标准通则》（GB5085.7-2019）对本项目工程分析产生的固废进行鉴别。本项目产生的固废主要包括</w:t>
            </w:r>
            <w:r>
              <w:rPr>
                <w:rFonts w:hint="eastAsia"/>
              </w:rPr>
              <w:t>废包装材料、不合格品、废</w:t>
            </w:r>
            <w:r>
              <w:rPr>
                <w:rFonts w:hint="eastAsia"/>
                <w:lang w:val="en-US" w:eastAsia="zh-CN"/>
              </w:rPr>
              <w:t>矿物</w:t>
            </w:r>
            <w:r>
              <w:rPr>
                <w:rFonts w:hint="eastAsia"/>
              </w:rPr>
              <w:t>油</w:t>
            </w:r>
            <w:r>
              <w:t>、</w:t>
            </w:r>
            <w:r>
              <w:rPr>
                <w:rFonts w:hint="eastAsia"/>
                <w:lang w:val="en-US" w:eastAsia="zh-CN"/>
              </w:rPr>
              <w:t>废矿物油桶、废过滤器</w:t>
            </w:r>
            <w:r>
              <w:t>、</w:t>
            </w:r>
            <w:r>
              <w:rPr>
                <w:rFonts w:hint="eastAsia"/>
                <w:lang w:val="en-US" w:eastAsia="zh-CN"/>
              </w:rPr>
              <w:t>化学品库废物、</w:t>
            </w:r>
            <w:r>
              <w:t>生活垃圾</w:t>
            </w:r>
            <w:r>
              <w:rPr>
                <w:rFonts w:hint="eastAsia"/>
              </w:rPr>
              <w:t>、</w:t>
            </w:r>
            <w:r>
              <w:rPr>
                <w:rFonts w:hint="eastAsia"/>
                <w:lang w:val="en-US" w:eastAsia="zh-CN"/>
              </w:rPr>
              <w:t>餐厨</w:t>
            </w:r>
            <w:r>
              <w:rPr>
                <w:rFonts w:hint="eastAsia"/>
              </w:rPr>
              <w:t>垃圾</w:t>
            </w:r>
            <w:r>
              <w:t>。</w:t>
            </w:r>
          </w:p>
          <w:p>
            <w:pPr>
              <w:adjustRightInd w:val="0"/>
              <w:snapToGrid w:val="0"/>
              <w:spacing w:line="360" w:lineRule="auto"/>
              <w:ind w:firstLine="480" w:firstLineChars="200"/>
            </w:pPr>
            <w:r>
              <w:t>（1）</w:t>
            </w:r>
            <w:r>
              <w:rPr>
                <w:rFonts w:hint="eastAsia"/>
              </w:rPr>
              <w:t>废包装材料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t>本项目原辅料及产品的废包装材料属于一般工业固废，产生量约为</w:t>
            </w:r>
            <w:r>
              <w:rPr>
                <w:rFonts w:hint="eastAsia"/>
                <w:lang w:val="en-US" w:eastAsia="zh-CN"/>
              </w:rPr>
              <w:t>1</w:t>
            </w:r>
            <w:r>
              <w:rPr>
                <w:rFonts w:hint="eastAsia"/>
              </w:rPr>
              <w:t>.0</w:t>
            </w:r>
            <w:r>
              <w:t>t/a，主要为废纸箱、废胶袋、废</w:t>
            </w:r>
            <w:r>
              <w:rPr>
                <w:rFonts w:hint="eastAsia"/>
              </w:rPr>
              <w:t>包装袋</w:t>
            </w:r>
            <w:r>
              <w:t>等。根据《一般固体废物分类与代码》</w:t>
            </w:r>
            <w:r>
              <w:rPr>
                <w:rFonts w:hint="eastAsia"/>
              </w:rPr>
              <w:t>（</w:t>
            </w:r>
            <w:r>
              <w:t>GB/T 39198-2020</w:t>
            </w:r>
            <w:r>
              <w:rPr>
                <w:rFonts w:hint="eastAsia"/>
              </w:rPr>
              <w:t>）</w:t>
            </w:r>
            <w:r>
              <w:rPr>
                <w:rFonts w:hint="eastAsia"/>
                <w:lang w:eastAsia="zh-CN"/>
              </w:rPr>
              <w:t>，</w:t>
            </w:r>
            <w:r>
              <w:t>该固废代码为</w:t>
            </w:r>
            <w:r>
              <w:rPr>
                <w:rFonts w:hint="eastAsia"/>
              </w:rPr>
              <w:t>：</w:t>
            </w:r>
            <w:r>
              <w:t>1</w:t>
            </w:r>
            <w:r>
              <w:rPr>
                <w:rFonts w:hint="eastAsia"/>
                <w:lang w:val="en-US" w:eastAsia="zh-CN"/>
              </w:rPr>
              <w:t>52</w:t>
            </w:r>
            <w:r>
              <w:t>-00</w:t>
            </w:r>
            <w:r>
              <w:rPr>
                <w:rFonts w:hint="eastAsia"/>
                <w:lang w:val="en-US" w:eastAsia="zh-CN"/>
              </w:rPr>
              <w:t>2</w:t>
            </w:r>
            <w:r>
              <w:t>-</w:t>
            </w:r>
            <w:r>
              <w:rPr>
                <w:rFonts w:hint="eastAsia"/>
                <w:lang w:val="en-US" w:eastAsia="zh-CN"/>
              </w:rPr>
              <w:t>39</w:t>
            </w:r>
            <w:r>
              <w:t>，</w:t>
            </w:r>
            <w:r>
              <w:rPr>
                <w:rFonts w:hint="eastAsia"/>
                <w:lang w:val="en-US" w:eastAsia="zh-CN"/>
              </w:rPr>
              <w:t>暂存一般固废间，定期外售综合利用</w:t>
            </w:r>
            <w: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rPr>
              <w:t>（2）不合格品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lang w:val="en-US" w:eastAsia="zh-CN"/>
              </w:rPr>
              <w:t>本项目PET瓶坯生产会产生不合格品，产生量为5</w:t>
            </w:r>
            <w:r>
              <w:rPr>
                <w:rFonts w:hint="eastAsia"/>
              </w:rPr>
              <w:t>.</w:t>
            </w:r>
            <w:r>
              <w:rPr>
                <w:rFonts w:hint="eastAsia"/>
                <w:lang w:val="en-US" w:eastAsia="zh-CN"/>
              </w:rPr>
              <w:t>2</w:t>
            </w:r>
            <w:r>
              <w:t>t/a</w:t>
            </w:r>
            <w:r>
              <w:rPr>
                <w:rFonts w:hint="eastAsia"/>
                <w:lang w:eastAsia="zh-CN"/>
              </w:rPr>
              <w:t>，</w:t>
            </w:r>
            <w:r>
              <w:t>根据《一般固体废物分类与代码》</w:t>
            </w:r>
            <w:r>
              <w:rPr>
                <w:rFonts w:hint="eastAsia"/>
              </w:rPr>
              <w:t>（</w:t>
            </w:r>
            <w:r>
              <w:t>GB/T 39198-2020</w:t>
            </w:r>
            <w:r>
              <w:rPr>
                <w:rFonts w:hint="eastAsia"/>
              </w:rPr>
              <w:t>）</w:t>
            </w:r>
            <w:r>
              <w:rPr>
                <w:rFonts w:hint="eastAsia"/>
                <w:lang w:eastAsia="zh-CN"/>
              </w:rPr>
              <w:t>，</w:t>
            </w:r>
            <w:r>
              <w:t>该固废代码为</w:t>
            </w:r>
            <w:r>
              <w:rPr>
                <w:rFonts w:hint="eastAsia"/>
              </w:rPr>
              <w:t>：</w:t>
            </w:r>
            <w:r>
              <w:rPr>
                <w:rFonts w:hint="eastAsia"/>
                <w:lang w:val="en-US" w:eastAsia="zh-CN"/>
              </w:rPr>
              <w:t>292</w:t>
            </w:r>
            <w:r>
              <w:t>-00</w:t>
            </w:r>
            <w:r>
              <w:rPr>
                <w:rFonts w:hint="eastAsia"/>
                <w:lang w:val="en-US" w:eastAsia="zh-CN"/>
              </w:rPr>
              <w:t>6</w:t>
            </w:r>
            <w:r>
              <w:t>-</w:t>
            </w:r>
            <w:r>
              <w:rPr>
                <w:rFonts w:hint="eastAsia"/>
                <w:lang w:val="en-US" w:eastAsia="zh-CN"/>
              </w:rPr>
              <w:t>06</w:t>
            </w:r>
            <w:r>
              <w:t>，</w:t>
            </w:r>
            <w:r>
              <w:rPr>
                <w:rFonts w:hint="eastAsia"/>
                <w:lang w:val="en-US" w:eastAsia="zh-CN"/>
              </w:rPr>
              <w:t>暂存一般固废间，定期外售综合利用</w:t>
            </w:r>
            <w: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lang w:val="en-US"/>
              </w:rPr>
            </w:pPr>
            <w:r>
              <w:rPr>
                <w:rFonts w:hint="eastAsia"/>
                <w:lang w:eastAsia="zh-CN"/>
              </w:rPr>
              <w:t>（</w:t>
            </w:r>
            <w:r>
              <w:rPr>
                <w:rFonts w:hint="eastAsia"/>
                <w:lang w:val="en-US" w:eastAsia="zh-CN"/>
              </w:rPr>
              <w:t>3</w:t>
            </w:r>
            <w:r>
              <w:rPr>
                <w:rFonts w:hint="eastAsia"/>
                <w:lang w:eastAsia="zh-CN"/>
              </w:rPr>
              <w:t>）</w:t>
            </w:r>
            <w:r>
              <w:rPr>
                <w:rFonts w:hint="eastAsia"/>
                <w:lang w:val="en-US" w:eastAsia="zh-CN"/>
              </w:rPr>
              <w:t>废矿物油、废矿物油桶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lang w:val="en-US" w:eastAsia="zh-CN"/>
              </w:rPr>
            </w:pPr>
            <w:r>
              <w:rPr>
                <w:rFonts w:hint="eastAsia" w:cs="Times New Roman"/>
                <w:kern w:val="2"/>
                <w:sz w:val="24"/>
                <w:szCs w:val="24"/>
                <w:lang w:val="en-US" w:eastAsia="zh-CN" w:bidi="ar-SA"/>
              </w:rPr>
              <w:t>本项目生产设备需用矿物油（机油、液压油）进行使用及保养，会产生废矿物油及废矿物油桶，产生量分别为1.0</w:t>
            </w:r>
            <w:r>
              <w:t>t/a</w:t>
            </w:r>
            <w:r>
              <w:rPr>
                <w:rFonts w:hint="eastAsia"/>
                <w:lang w:eastAsia="zh-CN"/>
              </w:rPr>
              <w:t>、</w:t>
            </w:r>
            <w:r>
              <w:rPr>
                <w:rFonts w:hint="eastAsia"/>
                <w:lang w:val="en-US" w:eastAsia="zh-CN"/>
              </w:rPr>
              <w:t>0.2</w:t>
            </w:r>
            <w:r>
              <w:t>t/a</w:t>
            </w:r>
            <w:r>
              <w:rPr>
                <w:rFonts w:hint="eastAsia"/>
                <w:lang w:eastAsia="zh-CN"/>
              </w:rPr>
              <w:t>，</w:t>
            </w:r>
            <w:r>
              <w:rPr>
                <w:rFonts w:hint="eastAsia" w:hAnsi="宋体"/>
                <w:spacing w:val="-2"/>
              </w:rPr>
              <w:t>根据《国家危险废物名录》（2021年版）</w:t>
            </w:r>
            <w:r>
              <w:rPr>
                <w:rFonts w:hint="eastAsia" w:hAnsi="宋体"/>
                <w:spacing w:val="-2"/>
                <w:lang w:eastAsia="zh-CN"/>
              </w:rPr>
              <w:t>，</w:t>
            </w:r>
            <w:r>
              <w:t>该废</w:t>
            </w:r>
            <w:r>
              <w:rPr>
                <w:rFonts w:hint="eastAsia"/>
                <w:lang w:val="en-US" w:eastAsia="zh-CN"/>
              </w:rPr>
              <w:t>物类别分别为HW08、HW49，</w:t>
            </w:r>
            <w:r>
              <w:t>代码</w:t>
            </w:r>
            <w:r>
              <w:rPr>
                <w:rFonts w:hint="eastAsia"/>
                <w:lang w:val="en-US" w:eastAsia="zh-CN"/>
              </w:rPr>
              <w:t>分别</w:t>
            </w:r>
            <w:r>
              <w:t>为</w:t>
            </w:r>
            <w:r>
              <w:rPr>
                <w:rFonts w:hint="eastAsia"/>
              </w:rPr>
              <w:t>：</w:t>
            </w:r>
            <w:r>
              <w:rPr>
                <w:rFonts w:hint="eastAsia"/>
                <w:lang w:val="en-US" w:eastAsia="zh-CN"/>
              </w:rPr>
              <w:t>900</w:t>
            </w:r>
            <w:r>
              <w:t>-</w:t>
            </w:r>
            <w:r>
              <w:rPr>
                <w:rFonts w:hint="eastAsia"/>
                <w:lang w:val="en-US" w:eastAsia="zh-CN"/>
              </w:rPr>
              <w:t>219</w:t>
            </w:r>
            <w:r>
              <w:t>-</w:t>
            </w:r>
            <w:r>
              <w:rPr>
                <w:rFonts w:hint="eastAsia"/>
                <w:lang w:val="en-US" w:eastAsia="zh-CN"/>
              </w:rPr>
              <w:t>08、900</w:t>
            </w:r>
            <w:r>
              <w:t>-</w:t>
            </w:r>
            <w:r>
              <w:rPr>
                <w:rFonts w:hint="eastAsia"/>
                <w:lang w:val="en-US" w:eastAsia="zh-CN"/>
              </w:rPr>
              <w:t>041</w:t>
            </w:r>
            <w:r>
              <w:t>-</w:t>
            </w:r>
            <w:r>
              <w:rPr>
                <w:rFonts w:hint="eastAsia"/>
                <w:lang w:val="en-US" w:eastAsia="zh-CN"/>
              </w:rPr>
              <w:t>49</w:t>
            </w:r>
            <w:r>
              <w:t>，</w:t>
            </w:r>
            <w:r>
              <w:rPr>
                <w:rFonts w:hint="eastAsia"/>
                <w:lang w:val="en-US" w:eastAsia="zh-CN"/>
              </w:rPr>
              <w:t>暂存危废间，委托有资质单位定期处理。</w:t>
            </w:r>
          </w:p>
          <w:p>
            <w:pPr>
              <w:keepNext w:val="0"/>
              <w:keepLines w:val="0"/>
              <w:pageBreakBefore w:val="0"/>
              <w:widowControl w:val="0"/>
              <w:numPr>
                <w:ilvl w:val="0"/>
                <w:numId w:val="6"/>
              </w:numPr>
              <w:tabs>
                <w:tab w:val="left" w:pos="631"/>
              </w:tabs>
              <w:kinsoku/>
              <w:wordWrap/>
              <w:overflowPunct/>
              <w:topLinePunct w:val="0"/>
              <w:autoSpaceDE/>
              <w:autoSpaceDN/>
              <w:bidi w:val="0"/>
              <w:adjustRightInd w:val="0"/>
              <w:snapToGrid w:val="0"/>
              <w:spacing w:line="360" w:lineRule="auto"/>
              <w:ind w:firstLine="480" w:firstLineChars="200"/>
              <w:jc w:val="left"/>
              <w:textAlignment w:val="auto"/>
              <w:rPr>
                <w:rFonts w:hint="eastAsia"/>
                <w:lang w:val="en-US" w:eastAsia="zh-CN"/>
              </w:rPr>
            </w:pPr>
            <w:r>
              <w:rPr>
                <w:rFonts w:hint="eastAsia"/>
                <w:lang w:val="en-US" w:eastAsia="zh-CN"/>
              </w:rPr>
              <w:t>废过滤器、废活性炭、废反渗透膜</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hAnsi="宋体"/>
                <w:color w:val="auto"/>
                <w:sz w:val="24"/>
              </w:rPr>
            </w:pPr>
            <w:r>
              <w:rPr>
                <w:rFonts w:hint="eastAsia" w:hAnsi="宋体"/>
                <w:color w:val="auto"/>
                <w:sz w:val="24"/>
              </w:rPr>
              <w:t>本项目水处理生产线中的活性炭、反渗透膜和过滤器均需要定期更换。其中，活性炭过滤一段时间后，在厂区内通过蒸汽进行再生，重复使用。使用一段时间后，再生后的活性炭吸附过滤效果变差，需要更换。根据建设单位提供的材料，活性炭通常每两年更换一次，每次</w:t>
            </w:r>
            <w:r>
              <w:rPr>
                <w:rFonts w:hint="eastAsia" w:hAnsi="宋体"/>
                <w:color w:val="auto"/>
                <w:sz w:val="24"/>
                <w:lang w:val="en-US" w:eastAsia="zh-CN"/>
              </w:rPr>
              <w:t>10</w:t>
            </w:r>
            <w:r>
              <w:rPr>
                <w:rFonts w:hint="eastAsia" w:hAnsi="宋体"/>
                <w:color w:val="auto"/>
                <w:sz w:val="24"/>
              </w:rPr>
              <w:t>吨。则废活性炭产生量平均约为</w:t>
            </w:r>
            <w:r>
              <w:rPr>
                <w:rFonts w:hint="eastAsia" w:hAnsi="宋体"/>
                <w:color w:val="auto"/>
                <w:sz w:val="24"/>
                <w:lang w:val="en-US" w:eastAsia="zh-CN"/>
              </w:rPr>
              <w:t>5.0</w:t>
            </w:r>
            <w:r>
              <w:rPr>
                <w:rFonts w:hint="eastAsia"/>
                <w:color w:val="auto"/>
                <w:sz w:val="24"/>
              </w:rPr>
              <w:t>t/a。</w:t>
            </w:r>
            <w:r>
              <w:rPr>
                <w:rFonts w:hint="eastAsia" w:hAnsi="宋体"/>
                <w:color w:val="auto"/>
                <w:sz w:val="24"/>
              </w:rPr>
              <w:t>根据建设单位提供的材料，反渗透膜使用寿命为5年，一条水处理生产线全部更换，约产生60根</w:t>
            </w:r>
            <w:r>
              <w:rPr>
                <w:rFonts w:hint="eastAsia" w:hAnsi="宋体"/>
                <w:color w:val="auto"/>
                <w:sz w:val="24"/>
                <w:lang w:val="en-US" w:eastAsia="zh-CN"/>
              </w:rPr>
              <w:t>废</w:t>
            </w:r>
            <w:r>
              <w:rPr>
                <w:rFonts w:hint="eastAsia" w:hAnsi="宋体"/>
                <w:color w:val="auto"/>
                <w:sz w:val="24"/>
              </w:rPr>
              <w:t>反渗透膜</w:t>
            </w:r>
            <w:r>
              <w:rPr>
                <w:rFonts w:hint="eastAsia" w:hAnsi="宋体"/>
                <w:color w:val="auto"/>
                <w:sz w:val="24"/>
                <w:lang w:eastAsia="zh-CN"/>
              </w:rPr>
              <w:t>，</w:t>
            </w:r>
            <w:r>
              <w:rPr>
                <w:rFonts w:hint="eastAsia" w:hAnsi="宋体"/>
                <w:color w:val="auto"/>
                <w:sz w:val="24"/>
                <w:lang w:val="en-US" w:eastAsia="zh-CN"/>
              </w:rPr>
              <w:t>约0.002</w:t>
            </w:r>
            <w:r>
              <w:rPr>
                <w:rFonts w:hint="eastAsia"/>
                <w:color w:val="auto"/>
                <w:sz w:val="24"/>
              </w:rPr>
              <w:t>t/a</w:t>
            </w:r>
            <w:r>
              <w:rPr>
                <w:rFonts w:hint="eastAsia" w:hAnsi="宋体"/>
                <w:color w:val="auto"/>
                <w:sz w:val="24"/>
                <w:lang w:val="en-US" w:eastAsia="zh-CN"/>
              </w:rPr>
              <w:t>。</w:t>
            </w:r>
            <w:r>
              <w:rPr>
                <w:rFonts w:hint="eastAsia" w:hAnsi="宋体"/>
                <w:color w:val="auto"/>
                <w:sz w:val="24"/>
              </w:rPr>
              <w:t>过滤器使用寿命约3-6个月。全部更换约产生100根</w:t>
            </w:r>
            <w:r>
              <w:rPr>
                <w:rFonts w:hint="eastAsia" w:hAnsi="宋体"/>
                <w:color w:val="auto"/>
                <w:sz w:val="24"/>
                <w:lang w:val="en-US" w:eastAsia="zh-CN"/>
              </w:rPr>
              <w:t>废</w:t>
            </w:r>
            <w:r>
              <w:rPr>
                <w:rFonts w:hint="eastAsia" w:hAnsi="宋体"/>
                <w:color w:val="auto"/>
                <w:sz w:val="24"/>
              </w:rPr>
              <w:t>过滤器</w:t>
            </w:r>
            <w:r>
              <w:rPr>
                <w:rFonts w:hint="eastAsia" w:hAnsi="宋体"/>
                <w:color w:val="auto"/>
                <w:sz w:val="24"/>
                <w:lang w:eastAsia="zh-CN"/>
              </w:rPr>
              <w:t>，</w:t>
            </w:r>
            <w:r>
              <w:rPr>
                <w:rFonts w:hint="eastAsia" w:hAnsi="宋体"/>
                <w:color w:val="auto"/>
                <w:sz w:val="24"/>
                <w:lang w:val="en-US" w:eastAsia="zh-CN"/>
              </w:rPr>
              <w:t>约1.0</w:t>
            </w:r>
            <w:r>
              <w:rPr>
                <w:rFonts w:hint="eastAsia"/>
                <w:color w:val="auto"/>
                <w:sz w:val="24"/>
              </w:rPr>
              <w:t>t/a</w:t>
            </w:r>
            <w:r>
              <w:rPr>
                <w:rFonts w:hint="eastAsia" w:hAnsi="宋体"/>
                <w:color w:val="auto"/>
                <w:sz w:val="24"/>
                <w:lang w:val="en-US" w:eastAsia="zh-CN"/>
              </w:rPr>
              <w:t>。</w:t>
            </w:r>
            <w:r>
              <w:rPr>
                <w:rFonts w:hint="eastAsia" w:hAnsi="宋体"/>
                <w:color w:val="auto"/>
                <w:sz w:val="24"/>
              </w:rPr>
              <w:t>水处理生产线更换产生的废活性炭、废反渗透膜和废过滤器属于一般固体废物，</w:t>
            </w:r>
            <w:r>
              <w:rPr>
                <w:rFonts w:hint="eastAsia" w:hAnsi="宋体"/>
                <w:color w:val="auto"/>
                <w:sz w:val="24"/>
                <w:lang w:val="en-US" w:eastAsia="zh-CN"/>
              </w:rPr>
              <w:t>暂存一般固废间，</w:t>
            </w:r>
            <w:r>
              <w:rPr>
                <w:rFonts w:hint="eastAsia" w:hAnsi="宋体"/>
                <w:color w:val="auto"/>
                <w:sz w:val="24"/>
              </w:rPr>
              <w:t>分别由供应厂家进行回收。</w:t>
            </w:r>
          </w:p>
          <w:p>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0"/>
              <w:jc w:val="left"/>
              <w:textAlignment w:val="auto"/>
              <w:rPr>
                <w:rFonts w:hint="eastAsia" w:cs="Times New Roman"/>
                <w:kern w:val="2"/>
                <w:sz w:val="24"/>
                <w:szCs w:val="24"/>
                <w:lang w:val="en-US" w:eastAsia="zh-CN" w:bidi="ar-SA"/>
              </w:rPr>
            </w:pPr>
            <w:r>
              <w:rPr>
                <w:rFonts w:hint="eastAsia" w:cs="Times New Roman"/>
                <w:kern w:val="2"/>
                <w:sz w:val="24"/>
                <w:szCs w:val="24"/>
                <w:lang w:val="en-US" w:eastAsia="zh-CN" w:bidi="ar-SA"/>
              </w:rPr>
              <w:t>（5）化学品库废物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pPr>
            <w:r>
              <w:rPr>
                <w:rFonts w:hint="eastAsia" w:cs="Times New Roman"/>
                <w:kern w:val="2"/>
                <w:sz w:val="24"/>
                <w:szCs w:val="24"/>
                <w:lang w:val="en-US" w:eastAsia="zh-CN" w:bidi="ar-SA"/>
              </w:rPr>
              <w:t>本项目水处理生产线清洗消毒所使用的存放在化学品库的清洗剂、阻垢剂、润滑剂等，会产生废清洗剂包装桶、废阻垢剂包装桶、废润滑剂包装桶等。产生量为4.7</w:t>
            </w:r>
            <w:r>
              <w:t>t/a</w:t>
            </w:r>
            <w:r>
              <w:rPr>
                <w:rFonts w:hint="eastAsia"/>
                <w:lang w:eastAsia="zh-CN"/>
              </w:rPr>
              <w:t>，</w:t>
            </w:r>
            <w:r>
              <w:rPr>
                <w:rFonts w:hint="eastAsia"/>
                <w:lang w:val="en-US" w:eastAsia="zh-CN"/>
              </w:rPr>
              <w:t>暂存一般固废间，定期外售综合利用</w:t>
            </w:r>
            <w:r>
              <w:t>。</w:t>
            </w:r>
          </w:p>
          <w:p>
            <w:pPr>
              <w:pStyle w:val="7"/>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rPr>
                <w:rFonts w:ascii="Times New Roman" w:hAnsi="Times New Roman" w:cs="Times New Roman"/>
              </w:rPr>
            </w:pPr>
            <w:r>
              <w:rPr>
                <w:rFonts w:hint="eastAsia" w:ascii="Times New Roman" w:hAnsi="Times New Roman" w:cs="Times New Roman"/>
              </w:rPr>
              <w:t>（</w:t>
            </w:r>
            <w:r>
              <w:rPr>
                <w:rFonts w:hint="eastAsia" w:ascii="Times New Roman" w:hAnsi="Times New Roman" w:cs="Times New Roman"/>
                <w:lang w:val="en-US" w:eastAsia="zh-CN"/>
              </w:rPr>
              <w:t>6</w:t>
            </w:r>
            <w:r>
              <w:rPr>
                <w:rFonts w:hint="eastAsia" w:ascii="Times New Roman" w:hAnsi="Times New Roman" w:cs="Times New Roman"/>
              </w:rPr>
              <w:t>）生活垃圾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4"/>
              <w:rPr>
                <w:color w:val="0000FF"/>
              </w:rPr>
            </w:pPr>
            <w:r>
              <w:rPr>
                <w:color w:val="000000"/>
              </w:rPr>
              <w:t>本项目</w:t>
            </w:r>
            <w:r>
              <w:rPr>
                <w:rFonts w:hint="eastAsia"/>
                <w:color w:val="000000"/>
              </w:rPr>
              <w:t>新增</w:t>
            </w:r>
            <w:r>
              <w:rPr>
                <w:color w:val="000000"/>
              </w:rPr>
              <w:t>员工为</w:t>
            </w:r>
            <w:r>
              <w:rPr>
                <w:rFonts w:hint="eastAsia"/>
                <w:color w:val="000000"/>
                <w:lang w:val="en-US" w:eastAsia="zh-CN"/>
              </w:rPr>
              <w:t>9</w:t>
            </w:r>
            <w:r>
              <w:rPr>
                <w:rFonts w:hint="eastAsia"/>
                <w:color w:val="000000"/>
              </w:rPr>
              <w:t>人</w:t>
            </w:r>
            <w:r>
              <w:rPr>
                <w:color w:val="000000"/>
              </w:rPr>
              <w:t>，</w:t>
            </w:r>
            <w:r>
              <w:rPr>
                <w:bCs/>
                <w:color w:val="000000"/>
              </w:rPr>
              <w:t>员工</w:t>
            </w:r>
            <w:r>
              <w:rPr>
                <w:color w:val="000000"/>
              </w:rPr>
              <w:t>每人每日排放生活垃圾按0.5</w:t>
            </w:r>
            <w:r>
              <w:rPr>
                <w:rFonts w:hint="eastAsia"/>
                <w:color w:val="000000"/>
              </w:rPr>
              <w:t xml:space="preserve"> </w:t>
            </w:r>
            <w:r>
              <w:rPr>
                <w:color w:val="000000"/>
              </w:rPr>
              <w:t>kg计，每年工作</w:t>
            </w:r>
            <w:r>
              <w:rPr>
                <w:rFonts w:hint="eastAsia"/>
                <w:color w:val="000000"/>
              </w:rPr>
              <w:t>3</w:t>
            </w:r>
            <w:r>
              <w:rPr>
                <w:rFonts w:hint="eastAsia"/>
                <w:color w:val="000000"/>
                <w:lang w:val="en-US" w:eastAsia="zh-CN"/>
              </w:rPr>
              <w:t>0</w:t>
            </w:r>
            <w:r>
              <w:rPr>
                <w:color w:val="000000"/>
              </w:rPr>
              <w:t>0天，则垃圾产生量约为</w:t>
            </w:r>
            <w:r>
              <w:rPr>
                <w:rFonts w:hint="eastAsia"/>
                <w:color w:val="000000"/>
                <w:lang w:val="en-US" w:eastAsia="zh-CN"/>
              </w:rPr>
              <w:t>1.35</w:t>
            </w:r>
            <w:r>
              <w:rPr>
                <w:color w:val="000000"/>
              </w:rPr>
              <w:t>t/a，交由环卫部门清运。</w:t>
            </w:r>
          </w:p>
          <w:p>
            <w:pPr>
              <w:keepNext w:val="0"/>
              <w:keepLines w:val="0"/>
              <w:pageBreakBefore w:val="0"/>
              <w:widowControl w:val="0"/>
              <w:numPr>
                <w:ilvl w:val="0"/>
                <w:numId w:val="0"/>
              </w:numPr>
              <w:tabs>
                <w:tab w:val="left" w:pos="730"/>
              </w:tabs>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餐厨垃圾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4" w:firstLineChars="202"/>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根据《餐厨垃圾处理技术规范》（CJJ184-2012），人均餐饮垃圾日产生量基数取0.05kg/人</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rPr>
              <w:t>次，食堂日接待人数</w:t>
            </w:r>
            <w:r>
              <w:rPr>
                <w:rFonts w:hint="eastAsia"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rPr>
              <w:t>人，则项目食堂餐厨垃圾产生量为</w:t>
            </w:r>
            <w:r>
              <w:rPr>
                <w:rFonts w:hint="eastAsia" w:ascii="Times New Roman" w:hAnsi="Times New Roman" w:eastAsia="宋体" w:cs="Times New Roman"/>
                <w:color w:val="auto"/>
                <w:sz w:val="24"/>
                <w:lang w:val="en-US" w:eastAsia="zh-CN"/>
              </w:rPr>
              <w:t>0.9</w:t>
            </w:r>
            <w:r>
              <w:rPr>
                <w:rFonts w:hint="default" w:ascii="Times New Roman" w:hAnsi="Times New Roman" w:eastAsia="宋体" w:cs="Times New Roman"/>
                <w:color w:val="auto"/>
                <w:sz w:val="24"/>
              </w:rPr>
              <w:t>kg/d，</w:t>
            </w:r>
            <w:r>
              <w:rPr>
                <w:rFonts w:hint="eastAsia" w:ascii="Times New Roman" w:hAnsi="Times New Roman" w:eastAsia="宋体" w:cs="Times New Roman"/>
                <w:color w:val="auto"/>
                <w:sz w:val="24"/>
                <w:lang w:val="en-US" w:eastAsia="zh-CN"/>
              </w:rPr>
              <w:t>0.27</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eastAsia="zh-CN"/>
              </w:rPr>
              <w:t>经餐厨垃圾专用收集容器收集后，</w:t>
            </w:r>
            <w:r>
              <w:rPr>
                <w:rFonts w:hint="eastAsia" w:ascii="Times New Roman" w:hAnsi="Times New Roman" w:eastAsia="宋体" w:cs="Times New Roman"/>
                <w:color w:val="auto"/>
                <w:sz w:val="24"/>
                <w:lang w:val="en-US" w:eastAsia="zh-CN"/>
              </w:rPr>
              <w:t>定期</w:t>
            </w:r>
            <w:r>
              <w:rPr>
                <w:rFonts w:hint="default" w:ascii="Times New Roman" w:hAnsi="Times New Roman" w:eastAsia="宋体" w:cs="Times New Roman"/>
                <w:color w:val="auto"/>
                <w:sz w:val="24"/>
              </w:rPr>
              <w:t>交由</w:t>
            </w:r>
            <w:r>
              <w:rPr>
                <w:rFonts w:hint="eastAsia" w:ascii="Times New Roman" w:hAnsi="Times New Roman" w:eastAsia="宋体" w:cs="Times New Roman"/>
                <w:color w:val="auto"/>
                <w:sz w:val="24"/>
                <w:lang w:val="en-US" w:eastAsia="zh-CN"/>
              </w:rPr>
              <w:t>环卫部门</w:t>
            </w:r>
            <w:r>
              <w:rPr>
                <w:rFonts w:hint="default" w:ascii="Times New Roman" w:hAnsi="Times New Roman" w:eastAsia="宋体" w:cs="Times New Roman"/>
                <w:color w:val="auto"/>
                <w:sz w:val="24"/>
              </w:rPr>
              <w:t>进行处理。</w:t>
            </w:r>
          </w:p>
          <w:p>
            <w:pPr>
              <w:adjustRightInd w:val="0"/>
              <w:snapToGrid w:val="0"/>
              <w:spacing w:line="360" w:lineRule="auto"/>
              <w:ind w:firstLine="480" w:firstLineChars="200"/>
              <w:rPr>
                <w:rFonts w:hint="default" w:eastAsia="宋体"/>
                <w:lang w:val="en-US" w:eastAsia="zh-CN"/>
              </w:rPr>
            </w:pPr>
            <w:r>
              <w:rPr>
                <w:rFonts w:hint="eastAsia"/>
                <w:lang w:eastAsia="zh-CN"/>
              </w:rPr>
              <w:t>（</w:t>
            </w:r>
            <w:r>
              <w:rPr>
                <w:rFonts w:hint="eastAsia"/>
                <w:lang w:val="en-US" w:eastAsia="zh-CN"/>
              </w:rPr>
              <w:t>8</w:t>
            </w:r>
            <w:r>
              <w:rPr>
                <w:rFonts w:hint="eastAsia"/>
                <w:lang w:eastAsia="zh-CN"/>
              </w:rPr>
              <w:t>）</w:t>
            </w:r>
            <w:r>
              <w:rPr>
                <w:rFonts w:hint="eastAsia"/>
                <w:lang w:val="en-US" w:eastAsia="zh-CN"/>
              </w:rPr>
              <w:t>检验室废物</w:t>
            </w:r>
          </w:p>
          <w:p>
            <w:pPr>
              <w:adjustRightInd w:val="0"/>
              <w:snapToGrid w:val="0"/>
              <w:spacing w:line="360" w:lineRule="auto"/>
              <w:ind w:firstLine="480" w:firstLineChars="200"/>
              <w:rPr>
                <w:rFonts w:hint="default" w:eastAsia="宋体"/>
                <w:lang w:val="en-US" w:eastAsia="zh-CN"/>
              </w:rPr>
            </w:pPr>
            <w:r>
              <w:rPr>
                <w:rFonts w:hint="eastAsia"/>
                <w:lang w:val="en-US" w:eastAsia="zh-CN"/>
              </w:rPr>
              <w:t>本项目实施后，</w:t>
            </w:r>
            <w:r>
              <w:rPr>
                <w:rFonts w:hint="eastAsia" w:ascii="Times New Roman" w:hAnsi="Times New Roman" w:eastAsia="宋体" w:cs="Times New Roman"/>
                <w:lang w:val="en-US" w:eastAsia="zh-CN"/>
              </w:rPr>
              <w:t>pH值、色度、浊度、电导率等检测依托现有仪器，不会新增检验室废物产生量，检验室固废及废液等已经在现有工程统计。</w:t>
            </w:r>
          </w:p>
          <w:p>
            <w:pPr>
              <w:adjustRightInd w:val="0"/>
              <w:snapToGrid w:val="0"/>
              <w:spacing w:line="360" w:lineRule="auto"/>
              <w:ind w:firstLine="480" w:firstLineChars="200"/>
              <w:rPr>
                <w:rFonts w:hint="eastAsia"/>
              </w:rPr>
            </w:pPr>
            <w:r>
              <w:rPr>
                <w:rFonts w:hint="eastAsia"/>
              </w:rPr>
              <w:t>4.2固体废物处置利用情况</w:t>
            </w:r>
          </w:p>
          <w:p>
            <w:pPr>
              <w:adjustRightInd w:val="0"/>
              <w:snapToGrid w:val="0"/>
              <w:spacing w:line="360" w:lineRule="auto"/>
              <w:ind w:firstLine="480" w:firstLineChars="200"/>
            </w:pPr>
            <w:r>
              <w:rPr>
                <w:rFonts w:hint="eastAsia"/>
              </w:rPr>
              <w:t>本</w:t>
            </w:r>
            <w:r>
              <w:t>项目固体废物利用处置方式见</w:t>
            </w:r>
            <w:r>
              <w:rPr>
                <w:rFonts w:hint="eastAsia"/>
              </w:rPr>
              <w:t>下表</w:t>
            </w:r>
            <w:r>
              <w:t>。</w:t>
            </w:r>
          </w:p>
          <w:p>
            <w:pPr>
              <w:adjustRightInd w:val="0"/>
              <w:snapToGrid w:val="0"/>
              <w:jc w:val="center"/>
            </w:pPr>
            <w:r>
              <w:rPr>
                <w:b/>
              </w:rPr>
              <w:t>表4-</w:t>
            </w:r>
            <w:r>
              <w:rPr>
                <w:rFonts w:hint="eastAsia"/>
                <w:b/>
                <w:lang w:val="en-US" w:eastAsia="zh-CN"/>
              </w:rPr>
              <w:t>15</w:t>
            </w:r>
            <w:r>
              <w:rPr>
                <w:b/>
              </w:rPr>
              <w:t xml:space="preserve">  项目副产物产生情况及副产物属性判定表（固体废物属性）汇总表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72"/>
              <w:gridCol w:w="1098"/>
              <w:gridCol w:w="986"/>
              <w:gridCol w:w="573"/>
              <w:gridCol w:w="1135"/>
              <w:gridCol w:w="971"/>
              <w:gridCol w:w="910"/>
              <w:gridCol w:w="764"/>
              <w:gridCol w:w="18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4" w:type="pct"/>
                  <w:vMerge w:val="restart"/>
                  <w:tcBorders>
                    <w:tl2br w:val="nil"/>
                    <w:tr2bl w:val="nil"/>
                  </w:tcBorders>
                  <w:noWrap w:val="0"/>
                  <w:vAlign w:val="center"/>
                </w:tcPr>
                <w:p>
                  <w:pPr>
                    <w:adjustRightInd w:val="0"/>
                    <w:snapToGrid w:val="0"/>
                    <w:jc w:val="center"/>
                    <w:rPr>
                      <w:b/>
                      <w:sz w:val="21"/>
                      <w:szCs w:val="21"/>
                    </w:rPr>
                  </w:pPr>
                  <w:r>
                    <w:rPr>
                      <w:b/>
                      <w:sz w:val="21"/>
                      <w:szCs w:val="21"/>
                    </w:rPr>
                    <w:t>序号</w:t>
                  </w:r>
                </w:p>
              </w:tc>
              <w:tc>
                <w:tcPr>
                  <w:tcW w:w="621" w:type="pct"/>
                  <w:vMerge w:val="restart"/>
                  <w:tcBorders>
                    <w:tl2br w:val="nil"/>
                    <w:tr2bl w:val="nil"/>
                  </w:tcBorders>
                  <w:noWrap w:val="0"/>
                  <w:vAlign w:val="center"/>
                </w:tcPr>
                <w:p>
                  <w:pPr>
                    <w:adjustRightInd w:val="0"/>
                    <w:snapToGrid w:val="0"/>
                    <w:jc w:val="center"/>
                    <w:rPr>
                      <w:b/>
                      <w:sz w:val="21"/>
                      <w:szCs w:val="21"/>
                    </w:rPr>
                  </w:pPr>
                  <w:r>
                    <w:rPr>
                      <w:b/>
                      <w:sz w:val="21"/>
                      <w:szCs w:val="21"/>
                    </w:rPr>
                    <w:t>副产物</w:t>
                  </w:r>
                </w:p>
                <w:p>
                  <w:pPr>
                    <w:adjustRightInd w:val="0"/>
                    <w:snapToGrid w:val="0"/>
                    <w:jc w:val="center"/>
                    <w:rPr>
                      <w:b/>
                      <w:sz w:val="21"/>
                      <w:szCs w:val="21"/>
                    </w:rPr>
                  </w:pPr>
                  <w:r>
                    <w:rPr>
                      <w:b/>
                      <w:sz w:val="21"/>
                      <w:szCs w:val="21"/>
                    </w:rPr>
                    <w:t>名称</w:t>
                  </w:r>
                </w:p>
              </w:tc>
              <w:tc>
                <w:tcPr>
                  <w:tcW w:w="558" w:type="pct"/>
                  <w:vMerge w:val="restart"/>
                  <w:tcBorders>
                    <w:tl2br w:val="nil"/>
                    <w:tr2bl w:val="nil"/>
                  </w:tcBorders>
                  <w:noWrap w:val="0"/>
                  <w:vAlign w:val="center"/>
                </w:tcPr>
                <w:p>
                  <w:pPr>
                    <w:adjustRightInd w:val="0"/>
                    <w:snapToGrid w:val="0"/>
                    <w:jc w:val="center"/>
                    <w:rPr>
                      <w:b/>
                      <w:sz w:val="21"/>
                      <w:szCs w:val="21"/>
                    </w:rPr>
                  </w:pPr>
                  <w:r>
                    <w:rPr>
                      <w:b/>
                      <w:sz w:val="21"/>
                      <w:szCs w:val="21"/>
                    </w:rPr>
                    <w:t>产生工序</w:t>
                  </w:r>
                </w:p>
              </w:tc>
              <w:tc>
                <w:tcPr>
                  <w:tcW w:w="324" w:type="pct"/>
                  <w:vMerge w:val="restart"/>
                  <w:tcBorders>
                    <w:tl2br w:val="nil"/>
                    <w:tr2bl w:val="nil"/>
                  </w:tcBorders>
                  <w:noWrap w:val="0"/>
                  <w:vAlign w:val="center"/>
                </w:tcPr>
                <w:p>
                  <w:pPr>
                    <w:adjustRightInd w:val="0"/>
                    <w:snapToGrid w:val="0"/>
                    <w:jc w:val="center"/>
                    <w:rPr>
                      <w:b/>
                      <w:sz w:val="21"/>
                      <w:szCs w:val="21"/>
                    </w:rPr>
                  </w:pPr>
                  <w:r>
                    <w:rPr>
                      <w:b/>
                      <w:sz w:val="21"/>
                      <w:szCs w:val="21"/>
                    </w:rPr>
                    <w:t>形态</w:t>
                  </w:r>
                </w:p>
              </w:tc>
              <w:tc>
                <w:tcPr>
                  <w:tcW w:w="642" w:type="pct"/>
                  <w:vMerge w:val="restart"/>
                  <w:tcBorders>
                    <w:tl2br w:val="nil"/>
                    <w:tr2bl w:val="nil"/>
                  </w:tcBorders>
                  <w:noWrap w:val="0"/>
                  <w:vAlign w:val="center"/>
                </w:tcPr>
                <w:p>
                  <w:pPr>
                    <w:adjustRightInd w:val="0"/>
                    <w:snapToGrid w:val="0"/>
                    <w:jc w:val="center"/>
                    <w:rPr>
                      <w:b/>
                      <w:sz w:val="21"/>
                      <w:szCs w:val="21"/>
                    </w:rPr>
                  </w:pPr>
                  <w:r>
                    <w:rPr>
                      <w:b/>
                      <w:sz w:val="21"/>
                      <w:szCs w:val="21"/>
                    </w:rPr>
                    <w:t>主要成分</w:t>
                  </w:r>
                </w:p>
              </w:tc>
              <w:tc>
                <w:tcPr>
                  <w:tcW w:w="549" w:type="pct"/>
                  <w:vMerge w:val="restart"/>
                  <w:tcBorders>
                    <w:tl2br w:val="nil"/>
                    <w:tr2bl w:val="nil"/>
                  </w:tcBorders>
                  <w:noWrap w:val="0"/>
                  <w:vAlign w:val="center"/>
                </w:tcPr>
                <w:p>
                  <w:pPr>
                    <w:adjustRightInd w:val="0"/>
                    <w:snapToGrid w:val="0"/>
                    <w:jc w:val="center"/>
                    <w:rPr>
                      <w:b/>
                      <w:sz w:val="21"/>
                      <w:szCs w:val="21"/>
                    </w:rPr>
                  </w:pPr>
                  <w:r>
                    <w:rPr>
                      <w:b/>
                      <w:sz w:val="21"/>
                      <w:szCs w:val="21"/>
                    </w:rPr>
                    <w:t>预测</w:t>
                  </w:r>
                </w:p>
                <w:p>
                  <w:pPr>
                    <w:adjustRightInd w:val="0"/>
                    <w:snapToGrid w:val="0"/>
                    <w:jc w:val="center"/>
                    <w:rPr>
                      <w:b/>
                      <w:sz w:val="21"/>
                      <w:szCs w:val="21"/>
                    </w:rPr>
                  </w:pPr>
                  <w:r>
                    <w:rPr>
                      <w:b/>
                      <w:sz w:val="21"/>
                      <w:szCs w:val="21"/>
                    </w:rPr>
                    <w:t>产生量</w:t>
                  </w:r>
                </w:p>
                <w:p>
                  <w:pPr>
                    <w:adjustRightInd w:val="0"/>
                    <w:snapToGrid w:val="0"/>
                    <w:jc w:val="center"/>
                    <w:rPr>
                      <w:b/>
                      <w:sz w:val="21"/>
                      <w:szCs w:val="21"/>
                    </w:rPr>
                  </w:pPr>
                  <w:r>
                    <w:rPr>
                      <w:b/>
                      <w:sz w:val="21"/>
                      <w:szCs w:val="21"/>
                    </w:rPr>
                    <w:t>(t/a)</w:t>
                  </w:r>
                </w:p>
              </w:tc>
              <w:tc>
                <w:tcPr>
                  <w:tcW w:w="1978" w:type="pct"/>
                  <w:gridSpan w:val="3"/>
                  <w:tcBorders>
                    <w:tl2br w:val="nil"/>
                    <w:tr2bl w:val="nil"/>
                  </w:tcBorders>
                  <w:noWrap w:val="0"/>
                  <w:vAlign w:val="center"/>
                </w:tcPr>
                <w:p>
                  <w:pPr>
                    <w:adjustRightInd w:val="0"/>
                    <w:snapToGrid w:val="0"/>
                    <w:jc w:val="center"/>
                    <w:rPr>
                      <w:b/>
                      <w:sz w:val="21"/>
                      <w:szCs w:val="21"/>
                    </w:rPr>
                  </w:pPr>
                  <w:r>
                    <w:rPr>
                      <w:b/>
                      <w:sz w:val="21"/>
                      <w:szCs w:val="21"/>
                    </w:rPr>
                    <w:t>种类判定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4" w:type="pct"/>
                  <w:vMerge w:val="continue"/>
                  <w:tcBorders>
                    <w:tl2br w:val="nil"/>
                    <w:tr2bl w:val="nil"/>
                  </w:tcBorders>
                  <w:noWrap w:val="0"/>
                  <w:vAlign w:val="center"/>
                </w:tcPr>
                <w:p>
                  <w:pPr>
                    <w:adjustRightInd w:val="0"/>
                    <w:snapToGrid w:val="0"/>
                    <w:jc w:val="center"/>
                    <w:rPr>
                      <w:sz w:val="21"/>
                      <w:szCs w:val="21"/>
                    </w:rPr>
                  </w:pPr>
                </w:p>
              </w:tc>
              <w:tc>
                <w:tcPr>
                  <w:tcW w:w="621" w:type="pct"/>
                  <w:vMerge w:val="continue"/>
                  <w:tcBorders>
                    <w:tl2br w:val="nil"/>
                    <w:tr2bl w:val="nil"/>
                  </w:tcBorders>
                  <w:noWrap w:val="0"/>
                  <w:vAlign w:val="center"/>
                </w:tcPr>
                <w:p>
                  <w:pPr>
                    <w:adjustRightInd w:val="0"/>
                    <w:snapToGrid w:val="0"/>
                    <w:jc w:val="center"/>
                    <w:rPr>
                      <w:sz w:val="21"/>
                      <w:szCs w:val="21"/>
                    </w:rPr>
                  </w:pPr>
                </w:p>
              </w:tc>
              <w:tc>
                <w:tcPr>
                  <w:tcW w:w="558" w:type="pct"/>
                  <w:vMerge w:val="continue"/>
                  <w:tcBorders>
                    <w:tl2br w:val="nil"/>
                    <w:tr2bl w:val="nil"/>
                  </w:tcBorders>
                  <w:noWrap w:val="0"/>
                  <w:vAlign w:val="center"/>
                </w:tcPr>
                <w:p>
                  <w:pPr>
                    <w:adjustRightInd w:val="0"/>
                    <w:snapToGrid w:val="0"/>
                    <w:jc w:val="center"/>
                    <w:rPr>
                      <w:sz w:val="21"/>
                      <w:szCs w:val="21"/>
                    </w:rPr>
                  </w:pPr>
                </w:p>
              </w:tc>
              <w:tc>
                <w:tcPr>
                  <w:tcW w:w="324" w:type="pct"/>
                  <w:vMerge w:val="continue"/>
                  <w:tcBorders>
                    <w:tl2br w:val="nil"/>
                    <w:tr2bl w:val="nil"/>
                  </w:tcBorders>
                  <w:noWrap w:val="0"/>
                  <w:vAlign w:val="center"/>
                </w:tcPr>
                <w:p>
                  <w:pPr>
                    <w:adjustRightInd w:val="0"/>
                    <w:snapToGrid w:val="0"/>
                    <w:jc w:val="center"/>
                    <w:rPr>
                      <w:sz w:val="21"/>
                      <w:szCs w:val="21"/>
                    </w:rPr>
                  </w:pPr>
                </w:p>
              </w:tc>
              <w:tc>
                <w:tcPr>
                  <w:tcW w:w="642" w:type="pct"/>
                  <w:vMerge w:val="continue"/>
                  <w:tcBorders>
                    <w:tl2br w:val="nil"/>
                    <w:tr2bl w:val="nil"/>
                  </w:tcBorders>
                  <w:noWrap w:val="0"/>
                  <w:vAlign w:val="center"/>
                </w:tcPr>
                <w:p>
                  <w:pPr>
                    <w:adjustRightInd w:val="0"/>
                    <w:snapToGrid w:val="0"/>
                    <w:jc w:val="center"/>
                    <w:rPr>
                      <w:sz w:val="21"/>
                      <w:szCs w:val="21"/>
                    </w:rPr>
                  </w:pPr>
                </w:p>
              </w:tc>
              <w:tc>
                <w:tcPr>
                  <w:tcW w:w="549" w:type="pct"/>
                  <w:vMerge w:val="continue"/>
                  <w:tcBorders>
                    <w:tl2br w:val="nil"/>
                    <w:tr2bl w:val="nil"/>
                  </w:tcBorders>
                  <w:noWrap w:val="0"/>
                  <w:vAlign w:val="center"/>
                </w:tcPr>
                <w:p>
                  <w:pPr>
                    <w:adjustRightInd w:val="0"/>
                    <w:snapToGrid w:val="0"/>
                    <w:jc w:val="center"/>
                    <w:rPr>
                      <w:sz w:val="21"/>
                      <w:szCs w:val="21"/>
                    </w:rPr>
                  </w:pPr>
                </w:p>
              </w:tc>
              <w:tc>
                <w:tcPr>
                  <w:tcW w:w="515" w:type="pct"/>
                  <w:tcBorders>
                    <w:tl2br w:val="nil"/>
                    <w:tr2bl w:val="nil"/>
                  </w:tcBorders>
                  <w:noWrap w:val="0"/>
                  <w:vAlign w:val="center"/>
                </w:tcPr>
                <w:p>
                  <w:pPr>
                    <w:adjustRightInd w:val="0"/>
                    <w:snapToGrid w:val="0"/>
                    <w:jc w:val="center"/>
                    <w:rPr>
                      <w:b/>
                      <w:sz w:val="21"/>
                      <w:szCs w:val="21"/>
                    </w:rPr>
                  </w:pPr>
                  <w:r>
                    <w:rPr>
                      <w:b/>
                      <w:sz w:val="21"/>
                      <w:szCs w:val="21"/>
                    </w:rPr>
                    <w:t>固体</w:t>
                  </w:r>
                </w:p>
                <w:p>
                  <w:pPr>
                    <w:adjustRightInd w:val="0"/>
                    <w:snapToGrid w:val="0"/>
                    <w:jc w:val="center"/>
                    <w:rPr>
                      <w:b/>
                      <w:sz w:val="21"/>
                      <w:szCs w:val="21"/>
                    </w:rPr>
                  </w:pPr>
                  <w:r>
                    <w:rPr>
                      <w:b/>
                      <w:sz w:val="21"/>
                      <w:szCs w:val="21"/>
                    </w:rPr>
                    <w:t>废物</w:t>
                  </w:r>
                </w:p>
              </w:tc>
              <w:tc>
                <w:tcPr>
                  <w:tcW w:w="432" w:type="pct"/>
                  <w:tcBorders>
                    <w:tl2br w:val="nil"/>
                    <w:tr2bl w:val="nil"/>
                  </w:tcBorders>
                  <w:noWrap w:val="0"/>
                  <w:vAlign w:val="center"/>
                </w:tcPr>
                <w:p>
                  <w:pPr>
                    <w:adjustRightInd w:val="0"/>
                    <w:snapToGrid w:val="0"/>
                    <w:jc w:val="center"/>
                    <w:rPr>
                      <w:b/>
                      <w:sz w:val="21"/>
                      <w:szCs w:val="21"/>
                    </w:rPr>
                  </w:pPr>
                  <w:r>
                    <w:rPr>
                      <w:b/>
                      <w:sz w:val="21"/>
                      <w:szCs w:val="21"/>
                    </w:rPr>
                    <w:t>副产品</w:t>
                  </w:r>
                </w:p>
              </w:tc>
              <w:tc>
                <w:tcPr>
                  <w:tcW w:w="1030" w:type="pct"/>
                  <w:tcBorders>
                    <w:tl2br w:val="nil"/>
                    <w:tr2bl w:val="nil"/>
                  </w:tcBorders>
                  <w:noWrap w:val="0"/>
                  <w:vAlign w:val="center"/>
                </w:tcPr>
                <w:p>
                  <w:pPr>
                    <w:adjustRightInd w:val="0"/>
                    <w:snapToGrid w:val="0"/>
                    <w:jc w:val="center"/>
                    <w:rPr>
                      <w:b/>
                      <w:sz w:val="21"/>
                      <w:szCs w:val="21"/>
                    </w:rPr>
                  </w:pPr>
                  <w:r>
                    <w:rPr>
                      <w:b/>
                      <w:sz w:val="21"/>
                      <w:szCs w:val="21"/>
                    </w:rPr>
                    <w:t>种类判定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324" w:type="pct"/>
                  <w:tcBorders>
                    <w:tl2br w:val="nil"/>
                    <w:tr2bl w:val="nil"/>
                  </w:tcBorders>
                  <w:noWrap w:val="0"/>
                  <w:vAlign w:val="center"/>
                </w:tcPr>
                <w:p>
                  <w:pPr>
                    <w:adjustRightInd w:val="0"/>
                    <w:snapToGrid w:val="0"/>
                    <w:jc w:val="center"/>
                    <w:rPr>
                      <w:sz w:val="21"/>
                      <w:szCs w:val="21"/>
                    </w:rPr>
                  </w:pPr>
                  <w:r>
                    <w:rPr>
                      <w:rFonts w:hint="eastAsia"/>
                      <w:sz w:val="21"/>
                      <w:szCs w:val="21"/>
                    </w:rPr>
                    <w:t>1</w:t>
                  </w:r>
                </w:p>
              </w:tc>
              <w:tc>
                <w:tcPr>
                  <w:tcW w:w="621" w:type="pct"/>
                  <w:tcBorders>
                    <w:tl2br w:val="nil"/>
                    <w:tr2bl w:val="nil"/>
                  </w:tcBorders>
                  <w:noWrap w:val="0"/>
                  <w:vAlign w:val="center"/>
                </w:tcPr>
                <w:p>
                  <w:pPr>
                    <w:adjustRightInd w:val="0"/>
                    <w:snapToGrid w:val="0"/>
                    <w:jc w:val="center"/>
                    <w:rPr>
                      <w:rFonts w:hint="eastAsia"/>
                      <w:sz w:val="21"/>
                      <w:szCs w:val="21"/>
                    </w:rPr>
                  </w:pPr>
                  <w:r>
                    <w:rPr>
                      <w:rFonts w:hint="eastAsia"/>
                      <w:sz w:val="21"/>
                      <w:szCs w:val="21"/>
                    </w:rPr>
                    <w:t>废包装</w:t>
                  </w:r>
                </w:p>
                <w:p>
                  <w:pPr>
                    <w:adjustRightInd w:val="0"/>
                    <w:snapToGrid w:val="0"/>
                    <w:jc w:val="center"/>
                    <w:rPr>
                      <w:sz w:val="21"/>
                      <w:szCs w:val="21"/>
                    </w:rPr>
                  </w:pPr>
                  <w:r>
                    <w:rPr>
                      <w:rFonts w:hint="eastAsia"/>
                      <w:sz w:val="21"/>
                      <w:szCs w:val="21"/>
                    </w:rPr>
                    <w:t>材料</w:t>
                  </w:r>
                </w:p>
              </w:tc>
              <w:tc>
                <w:tcPr>
                  <w:tcW w:w="558" w:type="pct"/>
                  <w:tcBorders>
                    <w:tl2br w:val="nil"/>
                    <w:tr2bl w:val="nil"/>
                  </w:tcBorders>
                  <w:noWrap w:val="0"/>
                  <w:vAlign w:val="center"/>
                </w:tcPr>
                <w:p>
                  <w:pPr>
                    <w:pStyle w:val="47"/>
                    <w:widowControl w:val="0"/>
                    <w:adjustRightInd w:val="0"/>
                    <w:snapToGrid w:val="0"/>
                    <w:rPr>
                      <w:rFonts w:ascii="Times New Roman" w:hAnsi="Times New Roman"/>
                      <w:sz w:val="21"/>
                      <w:szCs w:val="21"/>
                    </w:rPr>
                  </w:pPr>
                  <w:r>
                    <w:rPr>
                      <w:rFonts w:hint="eastAsia" w:ascii="Times New Roman" w:hAnsi="Times New Roman"/>
                      <w:sz w:val="21"/>
                      <w:szCs w:val="21"/>
                    </w:rPr>
                    <w:t>原料拆包、产品包装</w:t>
                  </w:r>
                </w:p>
              </w:tc>
              <w:tc>
                <w:tcPr>
                  <w:tcW w:w="324" w:type="pct"/>
                  <w:tcBorders>
                    <w:tl2br w:val="nil"/>
                    <w:tr2bl w:val="nil"/>
                  </w:tcBorders>
                  <w:noWrap w:val="0"/>
                  <w:vAlign w:val="center"/>
                </w:tcPr>
                <w:p>
                  <w:pPr>
                    <w:adjustRightInd w:val="0"/>
                    <w:snapToGrid w:val="0"/>
                    <w:jc w:val="center"/>
                    <w:rPr>
                      <w:rFonts w:hint="eastAsia"/>
                      <w:bCs/>
                      <w:sz w:val="21"/>
                      <w:szCs w:val="21"/>
                    </w:rPr>
                  </w:pPr>
                  <w:r>
                    <w:rPr>
                      <w:rFonts w:hint="eastAsia"/>
                      <w:bCs/>
                      <w:sz w:val="21"/>
                      <w:szCs w:val="21"/>
                    </w:rPr>
                    <w:t>固态</w:t>
                  </w:r>
                </w:p>
              </w:tc>
              <w:tc>
                <w:tcPr>
                  <w:tcW w:w="642"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废纸、塑料</w:t>
                  </w:r>
                </w:p>
              </w:tc>
              <w:tc>
                <w:tcPr>
                  <w:tcW w:w="549" w:type="pct"/>
                  <w:tcBorders>
                    <w:tl2br w:val="nil"/>
                    <w:tr2bl w:val="nil"/>
                  </w:tcBorders>
                  <w:noWrap w:val="0"/>
                  <w:vAlign w:val="center"/>
                </w:tcPr>
                <w:p>
                  <w:pPr>
                    <w:adjustRightInd w:val="0"/>
                    <w:snapToGrid w:val="0"/>
                    <w:jc w:val="center"/>
                    <w:rPr>
                      <w:sz w:val="21"/>
                      <w:szCs w:val="21"/>
                    </w:rPr>
                  </w:pPr>
                  <w:r>
                    <w:rPr>
                      <w:rFonts w:hint="eastAsia"/>
                      <w:sz w:val="21"/>
                      <w:szCs w:val="21"/>
                      <w:lang w:val="en-US" w:eastAsia="zh-CN"/>
                    </w:rPr>
                    <w:t>1</w:t>
                  </w:r>
                  <w:r>
                    <w:rPr>
                      <w:rFonts w:hint="eastAsia"/>
                      <w:sz w:val="21"/>
                      <w:szCs w:val="21"/>
                    </w:rPr>
                    <w:t>.0</w:t>
                  </w:r>
                </w:p>
              </w:tc>
              <w:tc>
                <w:tcPr>
                  <w:tcW w:w="515"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432"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1030" w:type="pct"/>
                  <w:vMerge w:val="restart"/>
                  <w:tcBorders>
                    <w:tl2br w:val="nil"/>
                    <w:tr2bl w:val="nil"/>
                  </w:tcBorders>
                  <w:noWrap w:val="0"/>
                  <w:vAlign w:val="center"/>
                </w:tcPr>
                <w:p>
                  <w:pPr>
                    <w:adjustRightInd w:val="0"/>
                    <w:snapToGrid w:val="0"/>
                    <w:jc w:val="center"/>
                    <w:rPr>
                      <w:rFonts w:hint="eastAsia"/>
                      <w:bCs/>
                      <w:sz w:val="21"/>
                      <w:szCs w:val="21"/>
                    </w:rPr>
                  </w:pPr>
                  <w:r>
                    <w:rPr>
                      <w:rFonts w:hint="eastAsia"/>
                      <w:bCs/>
                      <w:sz w:val="21"/>
                      <w:szCs w:val="21"/>
                    </w:rPr>
                    <w:t>《固体废物鉴别</w:t>
                  </w:r>
                </w:p>
                <w:p>
                  <w:pPr>
                    <w:adjustRightInd w:val="0"/>
                    <w:snapToGrid w:val="0"/>
                    <w:jc w:val="center"/>
                    <w:rPr>
                      <w:bCs/>
                      <w:sz w:val="21"/>
                      <w:szCs w:val="21"/>
                    </w:rPr>
                  </w:pPr>
                  <w:r>
                    <w:rPr>
                      <w:rFonts w:hint="eastAsia"/>
                      <w:bCs/>
                      <w:sz w:val="21"/>
                      <w:szCs w:val="21"/>
                    </w:rPr>
                    <w:t>标准通则》（GB34330-2017）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324" w:type="pct"/>
                  <w:tcBorders>
                    <w:tl2br w:val="nil"/>
                    <w:tr2bl w:val="nil"/>
                  </w:tcBorders>
                  <w:noWrap w:val="0"/>
                  <w:vAlign w:val="center"/>
                </w:tcPr>
                <w:p>
                  <w:pPr>
                    <w:adjustRightInd w:val="0"/>
                    <w:snapToGrid w:val="0"/>
                    <w:jc w:val="center"/>
                    <w:rPr>
                      <w:bCs/>
                      <w:sz w:val="21"/>
                      <w:szCs w:val="21"/>
                    </w:rPr>
                  </w:pPr>
                  <w:r>
                    <w:rPr>
                      <w:rFonts w:hint="eastAsia"/>
                      <w:bCs/>
                      <w:sz w:val="21"/>
                      <w:szCs w:val="21"/>
                    </w:rPr>
                    <w:t>2</w:t>
                  </w:r>
                </w:p>
              </w:tc>
              <w:tc>
                <w:tcPr>
                  <w:tcW w:w="621"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不合格品</w:t>
                  </w:r>
                </w:p>
              </w:tc>
              <w:tc>
                <w:tcPr>
                  <w:tcW w:w="558" w:type="pct"/>
                  <w:tcBorders>
                    <w:tl2br w:val="nil"/>
                    <w:tr2bl w:val="nil"/>
                  </w:tcBorders>
                  <w:noWrap w:val="0"/>
                  <w:vAlign w:val="center"/>
                </w:tcPr>
                <w:p>
                  <w:pPr>
                    <w:pStyle w:val="47"/>
                    <w:widowControl w:val="0"/>
                    <w:adjustRightInd w:val="0"/>
                    <w:snapToGrid w:val="0"/>
                    <w:rPr>
                      <w:rFonts w:hint="eastAsia" w:ascii="Times New Roman" w:hAnsi="Times New Roman" w:eastAsia="宋体"/>
                      <w:bCs/>
                      <w:sz w:val="21"/>
                      <w:szCs w:val="21"/>
                      <w:lang w:eastAsia="zh-CN"/>
                    </w:rPr>
                  </w:pPr>
                  <w:r>
                    <w:rPr>
                      <w:rFonts w:hint="eastAsia" w:ascii="Times New Roman" w:hAnsi="Times New Roman"/>
                      <w:bCs/>
                      <w:sz w:val="21"/>
                      <w:szCs w:val="21"/>
                      <w:lang w:val="en-US" w:eastAsia="zh-CN"/>
                    </w:rPr>
                    <w:t>检测</w:t>
                  </w:r>
                </w:p>
              </w:tc>
              <w:tc>
                <w:tcPr>
                  <w:tcW w:w="324" w:type="pct"/>
                  <w:tcBorders>
                    <w:tl2br w:val="nil"/>
                    <w:tr2bl w:val="nil"/>
                  </w:tcBorders>
                  <w:noWrap w:val="0"/>
                  <w:vAlign w:val="center"/>
                </w:tcPr>
                <w:p>
                  <w:pPr>
                    <w:adjustRightInd w:val="0"/>
                    <w:snapToGrid w:val="0"/>
                    <w:jc w:val="center"/>
                    <w:rPr>
                      <w:rFonts w:hint="eastAsia"/>
                      <w:bCs/>
                      <w:sz w:val="21"/>
                      <w:szCs w:val="21"/>
                    </w:rPr>
                  </w:pPr>
                  <w:r>
                    <w:rPr>
                      <w:rFonts w:hint="eastAsia"/>
                      <w:bCs/>
                      <w:sz w:val="21"/>
                      <w:szCs w:val="21"/>
                    </w:rPr>
                    <w:t>固态</w:t>
                  </w:r>
                </w:p>
              </w:tc>
              <w:tc>
                <w:tcPr>
                  <w:tcW w:w="642" w:type="pct"/>
                  <w:tcBorders>
                    <w:tl2br w:val="nil"/>
                    <w:tr2bl w:val="nil"/>
                  </w:tcBorders>
                  <w:noWrap w:val="0"/>
                  <w:vAlign w:val="center"/>
                </w:tcPr>
                <w:p>
                  <w:pPr>
                    <w:adjustRightInd w:val="0"/>
                    <w:snapToGrid w:val="0"/>
                    <w:jc w:val="center"/>
                    <w:rPr>
                      <w:rFonts w:hint="eastAsia" w:eastAsia="宋体"/>
                      <w:bCs/>
                      <w:sz w:val="21"/>
                      <w:szCs w:val="21"/>
                      <w:lang w:val="en-US" w:eastAsia="zh-CN"/>
                    </w:rPr>
                  </w:pPr>
                  <w:r>
                    <w:rPr>
                      <w:rFonts w:hint="eastAsia"/>
                      <w:bCs/>
                      <w:sz w:val="21"/>
                      <w:szCs w:val="21"/>
                      <w:lang w:val="en-US" w:eastAsia="zh-CN"/>
                    </w:rPr>
                    <w:t>塑料</w:t>
                  </w:r>
                </w:p>
              </w:tc>
              <w:tc>
                <w:tcPr>
                  <w:tcW w:w="549"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5.2</w:t>
                  </w:r>
                </w:p>
              </w:tc>
              <w:tc>
                <w:tcPr>
                  <w:tcW w:w="515"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432"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1030" w:type="pct"/>
                  <w:vMerge w:val="continue"/>
                  <w:tcBorders>
                    <w:tl2br w:val="nil"/>
                    <w:tr2bl w:val="nil"/>
                  </w:tcBorders>
                  <w:noWrap w:val="0"/>
                  <w:vAlign w:val="center"/>
                </w:tcPr>
                <w:p>
                  <w:pPr>
                    <w:adjustRightInd w:val="0"/>
                    <w:snapToGrid w:val="0"/>
                    <w:jc w:val="center"/>
                    <w:rPr>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24" w:type="pct"/>
                  <w:tcBorders>
                    <w:tl2br w:val="nil"/>
                    <w:tr2bl w:val="nil"/>
                  </w:tcBorders>
                  <w:noWrap w:val="0"/>
                  <w:vAlign w:val="center"/>
                </w:tcPr>
                <w:p>
                  <w:pPr>
                    <w:adjustRightInd w:val="0"/>
                    <w:snapToGrid w:val="0"/>
                    <w:jc w:val="center"/>
                    <w:rPr>
                      <w:sz w:val="21"/>
                      <w:szCs w:val="21"/>
                    </w:rPr>
                  </w:pPr>
                  <w:r>
                    <w:rPr>
                      <w:rFonts w:hint="eastAsia"/>
                      <w:sz w:val="21"/>
                      <w:szCs w:val="21"/>
                    </w:rPr>
                    <w:t>3</w:t>
                  </w:r>
                </w:p>
              </w:tc>
              <w:tc>
                <w:tcPr>
                  <w:tcW w:w="621" w:type="pct"/>
                  <w:tcBorders>
                    <w:tl2br w:val="nil"/>
                    <w:tr2bl w:val="nil"/>
                  </w:tcBorders>
                  <w:noWrap w:val="0"/>
                  <w:vAlign w:val="center"/>
                </w:tcPr>
                <w:p>
                  <w:pPr>
                    <w:adjustRightInd w:val="0"/>
                    <w:snapToGrid w:val="0"/>
                    <w:jc w:val="center"/>
                    <w:rPr>
                      <w:rFonts w:hint="eastAsia" w:eastAsia="宋体"/>
                      <w:sz w:val="21"/>
                      <w:szCs w:val="21"/>
                      <w:lang w:val="en-US" w:eastAsia="zh-CN"/>
                    </w:rPr>
                  </w:pPr>
                  <w:r>
                    <w:rPr>
                      <w:rFonts w:hint="eastAsia"/>
                      <w:sz w:val="21"/>
                      <w:szCs w:val="21"/>
                      <w:lang w:val="en-US" w:eastAsia="zh-CN"/>
                    </w:rPr>
                    <w:t>废矿物油</w:t>
                  </w:r>
                </w:p>
              </w:tc>
              <w:tc>
                <w:tcPr>
                  <w:tcW w:w="558" w:type="pct"/>
                  <w:tcBorders>
                    <w:tl2br w:val="nil"/>
                    <w:tr2bl w:val="nil"/>
                  </w:tcBorders>
                  <w:noWrap w:val="0"/>
                  <w:vAlign w:val="center"/>
                </w:tcPr>
                <w:p>
                  <w:pPr>
                    <w:pStyle w:val="47"/>
                    <w:widowControl w:val="0"/>
                    <w:adjustRightInd w:val="0"/>
                    <w:snapToGrid w:val="0"/>
                    <w:rPr>
                      <w:rFonts w:ascii="Times New Roman" w:hAnsi="Times New Roman"/>
                      <w:sz w:val="21"/>
                      <w:szCs w:val="21"/>
                    </w:rPr>
                  </w:pPr>
                  <w:r>
                    <w:rPr>
                      <w:rFonts w:hint="eastAsia" w:ascii="Times New Roman" w:hAnsi="Times New Roman"/>
                      <w:sz w:val="21"/>
                      <w:szCs w:val="21"/>
                    </w:rPr>
                    <w:t>设备保养</w:t>
                  </w:r>
                </w:p>
              </w:tc>
              <w:tc>
                <w:tcPr>
                  <w:tcW w:w="324" w:type="pct"/>
                  <w:tcBorders>
                    <w:tl2br w:val="nil"/>
                    <w:tr2bl w:val="nil"/>
                  </w:tcBorders>
                  <w:noWrap w:val="0"/>
                  <w:vAlign w:val="center"/>
                </w:tcPr>
                <w:p>
                  <w:pPr>
                    <w:adjustRightInd w:val="0"/>
                    <w:snapToGrid w:val="0"/>
                    <w:jc w:val="center"/>
                    <w:rPr>
                      <w:rFonts w:hint="eastAsia"/>
                      <w:bCs/>
                      <w:sz w:val="21"/>
                      <w:szCs w:val="21"/>
                    </w:rPr>
                  </w:pPr>
                  <w:r>
                    <w:rPr>
                      <w:rFonts w:hint="eastAsia"/>
                      <w:bCs/>
                      <w:sz w:val="21"/>
                      <w:szCs w:val="21"/>
                      <w:lang w:val="en-US" w:eastAsia="zh-CN"/>
                    </w:rPr>
                    <w:t>液</w:t>
                  </w:r>
                  <w:r>
                    <w:rPr>
                      <w:rFonts w:hint="eastAsia"/>
                      <w:bCs/>
                      <w:sz w:val="21"/>
                      <w:szCs w:val="21"/>
                    </w:rPr>
                    <w:t>态</w:t>
                  </w:r>
                </w:p>
              </w:tc>
              <w:tc>
                <w:tcPr>
                  <w:tcW w:w="642" w:type="pct"/>
                  <w:tcBorders>
                    <w:tl2br w:val="nil"/>
                    <w:tr2bl w:val="nil"/>
                  </w:tcBorders>
                  <w:noWrap w:val="0"/>
                  <w:vAlign w:val="center"/>
                </w:tcPr>
                <w:p>
                  <w:pPr>
                    <w:adjustRightInd w:val="0"/>
                    <w:snapToGrid w:val="0"/>
                    <w:jc w:val="center"/>
                    <w:rPr>
                      <w:rFonts w:hint="eastAsia"/>
                      <w:bCs/>
                      <w:sz w:val="21"/>
                      <w:szCs w:val="21"/>
                    </w:rPr>
                  </w:pPr>
                  <w:r>
                    <w:rPr>
                      <w:rFonts w:hint="eastAsia"/>
                      <w:bCs/>
                      <w:sz w:val="21"/>
                      <w:szCs w:val="21"/>
                    </w:rPr>
                    <w:t>基础油、</w:t>
                  </w:r>
                </w:p>
                <w:p>
                  <w:pPr>
                    <w:adjustRightInd w:val="0"/>
                    <w:snapToGrid w:val="0"/>
                    <w:jc w:val="center"/>
                    <w:rPr>
                      <w:bCs/>
                      <w:sz w:val="21"/>
                      <w:szCs w:val="21"/>
                    </w:rPr>
                  </w:pPr>
                  <w:r>
                    <w:rPr>
                      <w:rFonts w:hint="eastAsia"/>
                      <w:bCs/>
                      <w:sz w:val="21"/>
                      <w:szCs w:val="21"/>
                    </w:rPr>
                    <w:t>添加剂</w:t>
                  </w:r>
                </w:p>
              </w:tc>
              <w:tc>
                <w:tcPr>
                  <w:tcW w:w="549"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rPr>
                    <w:t>1</w:t>
                  </w:r>
                  <w:r>
                    <w:rPr>
                      <w:rFonts w:hint="eastAsia"/>
                      <w:bCs/>
                      <w:sz w:val="21"/>
                      <w:szCs w:val="21"/>
                      <w:lang w:val="en-US" w:eastAsia="zh-CN"/>
                    </w:rPr>
                    <w:t>.0</w:t>
                  </w:r>
                </w:p>
              </w:tc>
              <w:tc>
                <w:tcPr>
                  <w:tcW w:w="515"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432"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1030" w:type="pct"/>
                  <w:vMerge w:val="continue"/>
                  <w:tcBorders>
                    <w:tl2br w:val="nil"/>
                    <w:tr2bl w:val="nil"/>
                  </w:tcBorders>
                  <w:noWrap w:val="0"/>
                  <w:vAlign w:val="center"/>
                </w:tcPr>
                <w:p>
                  <w:pPr>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324" w:type="pct"/>
                  <w:tcBorders>
                    <w:tl2br w:val="nil"/>
                    <w:tr2bl w:val="nil"/>
                  </w:tcBorders>
                  <w:noWrap w:val="0"/>
                  <w:vAlign w:val="center"/>
                </w:tcPr>
                <w:p>
                  <w:pPr>
                    <w:adjustRightInd w:val="0"/>
                    <w:snapToGrid w:val="0"/>
                    <w:jc w:val="center"/>
                    <w:rPr>
                      <w:rFonts w:hint="eastAsia" w:eastAsia="宋体"/>
                      <w:sz w:val="21"/>
                      <w:szCs w:val="21"/>
                      <w:lang w:val="en-US" w:eastAsia="zh-CN"/>
                    </w:rPr>
                  </w:pPr>
                  <w:r>
                    <w:rPr>
                      <w:rFonts w:hint="eastAsia"/>
                      <w:sz w:val="21"/>
                      <w:szCs w:val="21"/>
                      <w:lang w:val="en-US" w:eastAsia="zh-CN"/>
                    </w:rPr>
                    <w:t>4</w:t>
                  </w:r>
                </w:p>
              </w:tc>
              <w:tc>
                <w:tcPr>
                  <w:tcW w:w="621" w:type="pct"/>
                  <w:tcBorders>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废矿物油桶</w:t>
                  </w:r>
                </w:p>
              </w:tc>
              <w:tc>
                <w:tcPr>
                  <w:tcW w:w="558" w:type="pct"/>
                  <w:tcBorders>
                    <w:tl2br w:val="nil"/>
                    <w:tr2bl w:val="nil"/>
                  </w:tcBorders>
                  <w:noWrap w:val="0"/>
                  <w:vAlign w:val="center"/>
                </w:tcPr>
                <w:p>
                  <w:pPr>
                    <w:pStyle w:val="47"/>
                    <w:widowControl w:val="0"/>
                    <w:adjustRightInd w:val="0"/>
                    <w:snapToGrid w:val="0"/>
                    <w:rPr>
                      <w:rFonts w:ascii="Times New Roman" w:hAnsi="Times New Roman"/>
                      <w:sz w:val="21"/>
                      <w:szCs w:val="21"/>
                    </w:rPr>
                  </w:pPr>
                  <w:r>
                    <w:rPr>
                      <w:rFonts w:hint="eastAsia" w:ascii="Times New Roman" w:hAnsi="Times New Roman"/>
                      <w:sz w:val="21"/>
                      <w:szCs w:val="21"/>
                    </w:rPr>
                    <w:t>设备保养</w:t>
                  </w:r>
                </w:p>
              </w:tc>
              <w:tc>
                <w:tcPr>
                  <w:tcW w:w="324" w:type="pct"/>
                  <w:tcBorders>
                    <w:tl2br w:val="nil"/>
                    <w:tr2bl w:val="nil"/>
                  </w:tcBorders>
                  <w:noWrap w:val="0"/>
                  <w:vAlign w:val="center"/>
                </w:tcPr>
                <w:p>
                  <w:pPr>
                    <w:adjustRightInd w:val="0"/>
                    <w:snapToGrid w:val="0"/>
                    <w:jc w:val="center"/>
                    <w:rPr>
                      <w:rFonts w:hint="eastAsia"/>
                      <w:bCs/>
                      <w:sz w:val="21"/>
                      <w:szCs w:val="21"/>
                    </w:rPr>
                  </w:pPr>
                  <w:r>
                    <w:rPr>
                      <w:rFonts w:hint="eastAsia"/>
                      <w:bCs/>
                      <w:sz w:val="21"/>
                      <w:szCs w:val="21"/>
                    </w:rPr>
                    <w:t>固态</w:t>
                  </w:r>
                </w:p>
              </w:tc>
              <w:tc>
                <w:tcPr>
                  <w:tcW w:w="642" w:type="pct"/>
                  <w:tcBorders>
                    <w:tl2br w:val="nil"/>
                    <w:tr2bl w:val="nil"/>
                  </w:tcBorders>
                  <w:noWrap w:val="0"/>
                  <w:vAlign w:val="center"/>
                </w:tcPr>
                <w:p>
                  <w:pPr>
                    <w:adjustRightInd w:val="0"/>
                    <w:snapToGrid w:val="0"/>
                    <w:jc w:val="center"/>
                    <w:rPr>
                      <w:rFonts w:hint="eastAsia" w:eastAsia="宋体"/>
                      <w:bCs/>
                      <w:sz w:val="21"/>
                      <w:szCs w:val="21"/>
                      <w:lang w:val="en-US" w:eastAsia="zh-CN"/>
                    </w:rPr>
                  </w:pPr>
                  <w:r>
                    <w:rPr>
                      <w:rFonts w:hint="eastAsia"/>
                      <w:bCs/>
                      <w:sz w:val="21"/>
                      <w:szCs w:val="21"/>
                      <w:lang w:val="en-US" w:eastAsia="zh-CN"/>
                    </w:rPr>
                    <w:t>金属</w:t>
                  </w:r>
                </w:p>
              </w:tc>
              <w:tc>
                <w:tcPr>
                  <w:tcW w:w="549"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0.2</w:t>
                  </w:r>
                </w:p>
              </w:tc>
              <w:tc>
                <w:tcPr>
                  <w:tcW w:w="515"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432"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1030" w:type="pct"/>
                  <w:vMerge w:val="continue"/>
                  <w:tcBorders>
                    <w:tl2br w:val="nil"/>
                    <w:tr2bl w:val="nil"/>
                  </w:tcBorders>
                  <w:noWrap w:val="0"/>
                  <w:vAlign w:val="center"/>
                </w:tcPr>
                <w:p>
                  <w:pPr>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324" w:type="pct"/>
                  <w:tcBorders>
                    <w:tl2br w:val="nil"/>
                    <w:tr2bl w:val="nil"/>
                  </w:tcBorders>
                  <w:noWrap w:val="0"/>
                  <w:vAlign w:val="center"/>
                </w:tcPr>
                <w:p>
                  <w:pPr>
                    <w:adjustRightInd w:val="0"/>
                    <w:snapToGrid w:val="0"/>
                    <w:jc w:val="center"/>
                    <w:rPr>
                      <w:rFonts w:hint="eastAsia" w:eastAsia="宋体"/>
                      <w:sz w:val="21"/>
                      <w:szCs w:val="21"/>
                      <w:lang w:val="en-US" w:eastAsia="zh-CN"/>
                    </w:rPr>
                  </w:pPr>
                  <w:r>
                    <w:rPr>
                      <w:rFonts w:hint="eastAsia"/>
                      <w:sz w:val="21"/>
                      <w:szCs w:val="21"/>
                      <w:lang w:val="en-US" w:eastAsia="zh-CN"/>
                    </w:rPr>
                    <w:t>5</w:t>
                  </w:r>
                </w:p>
              </w:tc>
              <w:tc>
                <w:tcPr>
                  <w:tcW w:w="621" w:type="pct"/>
                  <w:tcBorders>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废过滤器</w:t>
                  </w:r>
                </w:p>
              </w:tc>
              <w:tc>
                <w:tcPr>
                  <w:tcW w:w="558" w:type="pct"/>
                  <w:tcBorders>
                    <w:tl2br w:val="nil"/>
                    <w:tr2bl w:val="nil"/>
                  </w:tcBorders>
                  <w:noWrap w:val="0"/>
                  <w:vAlign w:val="center"/>
                </w:tcPr>
                <w:p>
                  <w:pPr>
                    <w:pStyle w:val="47"/>
                    <w:widowControl w:val="0"/>
                    <w:adjustRightInd w:val="0"/>
                    <w:snapToGrid w:val="0"/>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水处理</w:t>
                  </w:r>
                </w:p>
              </w:tc>
              <w:tc>
                <w:tcPr>
                  <w:tcW w:w="324" w:type="pct"/>
                  <w:tcBorders>
                    <w:tl2br w:val="nil"/>
                    <w:tr2bl w:val="nil"/>
                  </w:tcBorders>
                  <w:noWrap w:val="0"/>
                  <w:vAlign w:val="center"/>
                </w:tcPr>
                <w:p>
                  <w:pPr>
                    <w:adjustRightInd w:val="0"/>
                    <w:snapToGrid w:val="0"/>
                    <w:jc w:val="center"/>
                    <w:rPr>
                      <w:rFonts w:hint="eastAsia"/>
                      <w:bCs/>
                      <w:sz w:val="21"/>
                      <w:szCs w:val="21"/>
                    </w:rPr>
                  </w:pPr>
                  <w:r>
                    <w:rPr>
                      <w:rFonts w:hint="eastAsia"/>
                      <w:bCs/>
                      <w:sz w:val="21"/>
                      <w:szCs w:val="21"/>
                    </w:rPr>
                    <w:t>固态</w:t>
                  </w:r>
                </w:p>
              </w:tc>
              <w:tc>
                <w:tcPr>
                  <w:tcW w:w="642" w:type="pct"/>
                  <w:tcBorders>
                    <w:tl2br w:val="nil"/>
                    <w:tr2bl w:val="nil"/>
                  </w:tcBorders>
                  <w:noWrap w:val="0"/>
                  <w:vAlign w:val="center"/>
                </w:tcPr>
                <w:p>
                  <w:pPr>
                    <w:adjustRightInd w:val="0"/>
                    <w:snapToGrid w:val="0"/>
                    <w:jc w:val="center"/>
                    <w:rPr>
                      <w:rFonts w:hint="eastAsia" w:eastAsia="宋体"/>
                      <w:bCs/>
                      <w:sz w:val="21"/>
                      <w:szCs w:val="21"/>
                      <w:lang w:val="en-US" w:eastAsia="zh-CN"/>
                    </w:rPr>
                  </w:pPr>
                  <w:r>
                    <w:rPr>
                      <w:rFonts w:hint="eastAsia"/>
                      <w:bCs/>
                      <w:sz w:val="21"/>
                      <w:szCs w:val="21"/>
                      <w:lang w:val="en-US" w:eastAsia="zh-CN"/>
                    </w:rPr>
                    <w:t>/</w:t>
                  </w:r>
                </w:p>
              </w:tc>
              <w:tc>
                <w:tcPr>
                  <w:tcW w:w="549"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1.0</w:t>
                  </w:r>
                </w:p>
              </w:tc>
              <w:tc>
                <w:tcPr>
                  <w:tcW w:w="515"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432"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1030" w:type="pct"/>
                  <w:vMerge w:val="continue"/>
                  <w:tcBorders>
                    <w:tl2br w:val="nil"/>
                    <w:tr2bl w:val="nil"/>
                  </w:tcBorders>
                  <w:noWrap w:val="0"/>
                  <w:vAlign w:val="center"/>
                </w:tcPr>
                <w:p>
                  <w:pPr>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324" w:type="pct"/>
                  <w:tcBorders>
                    <w:tl2br w:val="nil"/>
                    <w:tr2bl w:val="nil"/>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6</w:t>
                  </w:r>
                </w:p>
              </w:tc>
              <w:tc>
                <w:tcPr>
                  <w:tcW w:w="621" w:type="pct"/>
                  <w:tcBorders>
                    <w:tl2br w:val="nil"/>
                    <w:tr2bl w:val="nil"/>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废活性炭</w:t>
                  </w:r>
                </w:p>
              </w:tc>
              <w:tc>
                <w:tcPr>
                  <w:tcW w:w="558" w:type="pct"/>
                  <w:tcBorders>
                    <w:tl2br w:val="nil"/>
                    <w:tr2bl w:val="nil"/>
                  </w:tcBorders>
                  <w:noWrap w:val="0"/>
                  <w:vAlign w:val="center"/>
                </w:tcPr>
                <w:p>
                  <w:pPr>
                    <w:widowControl w:val="0"/>
                    <w:adjustRightInd w:val="0"/>
                    <w:snapToGrid w:val="0"/>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水处理</w:t>
                  </w:r>
                </w:p>
              </w:tc>
              <w:tc>
                <w:tcPr>
                  <w:tcW w:w="324" w:type="pct"/>
                  <w:tcBorders>
                    <w:tl2br w:val="nil"/>
                    <w:tr2bl w:val="nil"/>
                  </w:tcBorders>
                  <w:noWrap w:val="0"/>
                  <w:vAlign w:val="center"/>
                </w:tcPr>
                <w:p>
                  <w:pPr>
                    <w:adjustRightInd w:val="0"/>
                    <w:snapToGrid w:val="0"/>
                    <w:jc w:val="center"/>
                    <w:rPr>
                      <w:rFonts w:hint="eastAsia"/>
                      <w:bCs/>
                      <w:sz w:val="21"/>
                      <w:szCs w:val="21"/>
                    </w:rPr>
                  </w:pPr>
                  <w:r>
                    <w:rPr>
                      <w:rFonts w:hint="eastAsia" w:ascii="Times New Roman" w:hAnsi="Times New Roman"/>
                      <w:sz w:val="21"/>
                      <w:szCs w:val="21"/>
                      <w:lang w:val="en-US" w:eastAsia="zh-CN"/>
                    </w:rPr>
                    <w:t>水处理</w:t>
                  </w:r>
                </w:p>
              </w:tc>
              <w:tc>
                <w:tcPr>
                  <w:tcW w:w="642" w:type="pct"/>
                  <w:tcBorders>
                    <w:tl2br w:val="nil"/>
                    <w:tr2bl w:val="nil"/>
                  </w:tcBorders>
                  <w:noWrap w:val="0"/>
                  <w:vAlign w:val="center"/>
                </w:tcPr>
                <w:p>
                  <w:pPr>
                    <w:adjustRightInd w:val="0"/>
                    <w:snapToGrid w:val="0"/>
                    <w:jc w:val="center"/>
                    <w:rPr>
                      <w:rFonts w:hint="default"/>
                      <w:bCs/>
                      <w:sz w:val="21"/>
                      <w:szCs w:val="21"/>
                      <w:lang w:val="en-US" w:eastAsia="zh-CN"/>
                    </w:rPr>
                  </w:pPr>
                  <w:r>
                    <w:rPr>
                      <w:rFonts w:hint="eastAsia"/>
                      <w:bCs/>
                      <w:sz w:val="21"/>
                      <w:szCs w:val="21"/>
                      <w:lang w:val="en-US" w:eastAsia="zh-CN"/>
                    </w:rPr>
                    <w:t>/</w:t>
                  </w:r>
                </w:p>
              </w:tc>
              <w:tc>
                <w:tcPr>
                  <w:tcW w:w="549" w:type="pct"/>
                  <w:tcBorders>
                    <w:tl2br w:val="nil"/>
                    <w:tr2bl w:val="nil"/>
                  </w:tcBorders>
                  <w:noWrap w:val="0"/>
                  <w:vAlign w:val="center"/>
                </w:tcPr>
                <w:p>
                  <w:pPr>
                    <w:adjustRightInd w:val="0"/>
                    <w:snapToGrid w:val="0"/>
                    <w:jc w:val="center"/>
                    <w:rPr>
                      <w:rFonts w:hint="default"/>
                      <w:bCs/>
                      <w:sz w:val="21"/>
                      <w:szCs w:val="21"/>
                      <w:lang w:val="en-US" w:eastAsia="zh-CN"/>
                    </w:rPr>
                  </w:pPr>
                  <w:r>
                    <w:rPr>
                      <w:rFonts w:hint="eastAsia"/>
                      <w:bCs/>
                      <w:sz w:val="21"/>
                      <w:szCs w:val="21"/>
                      <w:lang w:val="en-US" w:eastAsia="zh-CN"/>
                    </w:rPr>
                    <w:t>5.0</w:t>
                  </w:r>
                </w:p>
              </w:tc>
              <w:tc>
                <w:tcPr>
                  <w:tcW w:w="515"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432"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1030" w:type="pct"/>
                  <w:vMerge w:val="continue"/>
                  <w:tcBorders>
                    <w:tl2br w:val="nil"/>
                    <w:tr2bl w:val="nil"/>
                  </w:tcBorders>
                  <w:noWrap w:val="0"/>
                  <w:vAlign w:val="center"/>
                </w:tcPr>
                <w:p>
                  <w:pPr>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324" w:type="pct"/>
                  <w:tcBorders>
                    <w:tl2br w:val="nil"/>
                    <w:tr2bl w:val="nil"/>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7</w:t>
                  </w:r>
                </w:p>
              </w:tc>
              <w:tc>
                <w:tcPr>
                  <w:tcW w:w="621" w:type="pct"/>
                  <w:tcBorders>
                    <w:tl2br w:val="nil"/>
                    <w:tr2bl w:val="nil"/>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废反渗透膜</w:t>
                  </w:r>
                </w:p>
              </w:tc>
              <w:tc>
                <w:tcPr>
                  <w:tcW w:w="558" w:type="pct"/>
                  <w:tcBorders>
                    <w:tl2br w:val="nil"/>
                    <w:tr2bl w:val="nil"/>
                  </w:tcBorders>
                  <w:noWrap w:val="0"/>
                  <w:vAlign w:val="center"/>
                </w:tcPr>
                <w:p>
                  <w:pPr>
                    <w:widowControl w:val="0"/>
                    <w:adjustRightInd w:val="0"/>
                    <w:snapToGrid w:val="0"/>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水处理</w:t>
                  </w:r>
                </w:p>
              </w:tc>
              <w:tc>
                <w:tcPr>
                  <w:tcW w:w="324" w:type="pct"/>
                  <w:tcBorders>
                    <w:tl2br w:val="nil"/>
                    <w:tr2bl w:val="nil"/>
                  </w:tcBorders>
                  <w:noWrap w:val="0"/>
                  <w:vAlign w:val="center"/>
                </w:tcPr>
                <w:p>
                  <w:pPr>
                    <w:adjustRightInd w:val="0"/>
                    <w:snapToGrid w:val="0"/>
                    <w:jc w:val="center"/>
                    <w:rPr>
                      <w:rFonts w:hint="eastAsia"/>
                      <w:bCs/>
                      <w:sz w:val="21"/>
                      <w:szCs w:val="21"/>
                    </w:rPr>
                  </w:pPr>
                  <w:r>
                    <w:rPr>
                      <w:rFonts w:hint="eastAsia" w:ascii="Times New Roman" w:hAnsi="Times New Roman"/>
                      <w:sz w:val="21"/>
                      <w:szCs w:val="21"/>
                      <w:lang w:val="en-US" w:eastAsia="zh-CN"/>
                    </w:rPr>
                    <w:t>水处理</w:t>
                  </w:r>
                </w:p>
              </w:tc>
              <w:tc>
                <w:tcPr>
                  <w:tcW w:w="642" w:type="pct"/>
                  <w:tcBorders>
                    <w:tl2br w:val="nil"/>
                    <w:tr2bl w:val="nil"/>
                  </w:tcBorders>
                  <w:noWrap w:val="0"/>
                  <w:vAlign w:val="center"/>
                </w:tcPr>
                <w:p>
                  <w:pPr>
                    <w:adjustRightInd w:val="0"/>
                    <w:snapToGrid w:val="0"/>
                    <w:jc w:val="center"/>
                    <w:rPr>
                      <w:rFonts w:hint="default"/>
                      <w:bCs/>
                      <w:sz w:val="21"/>
                      <w:szCs w:val="21"/>
                      <w:lang w:val="en-US" w:eastAsia="zh-CN"/>
                    </w:rPr>
                  </w:pPr>
                  <w:r>
                    <w:rPr>
                      <w:rFonts w:hint="eastAsia"/>
                      <w:bCs/>
                      <w:sz w:val="21"/>
                      <w:szCs w:val="21"/>
                      <w:lang w:val="en-US" w:eastAsia="zh-CN"/>
                    </w:rPr>
                    <w:t>/</w:t>
                  </w:r>
                </w:p>
              </w:tc>
              <w:tc>
                <w:tcPr>
                  <w:tcW w:w="549" w:type="pct"/>
                  <w:tcBorders>
                    <w:tl2br w:val="nil"/>
                    <w:tr2bl w:val="nil"/>
                  </w:tcBorders>
                  <w:noWrap w:val="0"/>
                  <w:vAlign w:val="center"/>
                </w:tcPr>
                <w:p>
                  <w:pPr>
                    <w:adjustRightInd w:val="0"/>
                    <w:snapToGrid w:val="0"/>
                    <w:jc w:val="center"/>
                    <w:rPr>
                      <w:rFonts w:hint="default"/>
                      <w:bCs/>
                      <w:sz w:val="21"/>
                      <w:szCs w:val="21"/>
                      <w:lang w:val="en-US" w:eastAsia="zh-CN"/>
                    </w:rPr>
                  </w:pPr>
                  <w:r>
                    <w:rPr>
                      <w:rFonts w:hint="eastAsia"/>
                      <w:bCs/>
                      <w:sz w:val="21"/>
                      <w:szCs w:val="21"/>
                      <w:lang w:val="en-US" w:eastAsia="zh-CN"/>
                    </w:rPr>
                    <w:t>0.002</w:t>
                  </w:r>
                </w:p>
              </w:tc>
              <w:tc>
                <w:tcPr>
                  <w:tcW w:w="515"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432"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1030" w:type="pct"/>
                  <w:vMerge w:val="continue"/>
                  <w:tcBorders>
                    <w:tl2br w:val="nil"/>
                    <w:tr2bl w:val="nil"/>
                  </w:tcBorders>
                  <w:noWrap w:val="0"/>
                  <w:vAlign w:val="center"/>
                </w:tcPr>
                <w:p>
                  <w:pPr>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324" w:type="pct"/>
                  <w:tcBorders>
                    <w:tl2br w:val="nil"/>
                    <w:tr2bl w:val="nil"/>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8</w:t>
                  </w:r>
                </w:p>
              </w:tc>
              <w:tc>
                <w:tcPr>
                  <w:tcW w:w="621" w:type="pct"/>
                  <w:tcBorders>
                    <w:tl2br w:val="nil"/>
                    <w:tr2bl w:val="nil"/>
                  </w:tcBorders>
                  <w:noWrap w:val="0"/>
                  <w:vAlign w:val="center"/>
                </w:tcPr>
                <w:p>
                  <w:pPr>
                    <w:adjustRightInd w:val="0"/>
                    <w:snapToGrid w:val="0"/>
                    <w:jc w:val="center"/>
                    <w:rPr>
                      <w:rFonts w:hint="eastAsia"/>
                      <w:sz w:val="21"/>
                      <w:szCs w:val="21"/>
                      <w:lang w:val="en-US" w:eastAsia="zh-CN"/>
                    </w:rPr>
                  </w:pPr>
                  <w:r>
                    <w:rPr>
                      <w:rFonts w:hint="eastAsia"/>
                      <w:sz w:val="21"/>
                      <w:szCs w:val="21"/>
                      <w:lang w:val="en-US" w:eastAsia="zh-CN"/>
                    </w:rPr>
                    <w:t>化学品库</w:t>
                  </w:r>
                </w:p>
                <w:p>
                  <w:pPr>
                    <w:adjustRightInd w:val="0"/>
                    <w:snapToGrid w:val="0"/>
                    <w:jc w:val="center"/>
                    <w:rPr>
                      <w:rFonts w:hint="default" w:eastAsia="宋体"/>
                      <w:sz w:val="21"/>
                      <w:szCs w:val="21"/>
                      <w:lang w:val="en-US" w:eastAsia="zh-CN"/>
                    </w:rPr>
                  </w:pPr>
                  <w:r>
                    <w:rPr>
                      <w:rFonts w:hint="eastAsia"/>
                      <w:sz w:val="21"/>
                      <w:szCs w:val="21"/>
                      <w:lang w:val="en-US" w:eastAsia="zh-CN"/>
                    </w:rPr>
                    <w:t>废物</w:t>
                  </w:r>
                </w:p>
              </w:tc>
              <w:tc>
                <w:tcPr>
                  <w:tcW w:w="558" w:type="pct"/>
                  <w:tcBorders>
                    <w:tl2br w:val="nil"/>
                    <w:tr2bl w:val="nil"/>
                  </w:tcBorders>
                  <w:noWrap w:val="0"/>
                  <w:vAlign w:val="center"/>
                </w:tcPr>
                <w:p>
                  <w:pPr>
                    <w:bidi w:val="0"/>
                    <w:jc w:val="center"/>
                    <w:rPr>
                      <w:rFonts w:hint="eastAsia"/>
                      <w:sz w:val="21"/>
                      <w:szCs w:val="21"/>
                      <w:lang w:val="en-US" w:eastAsia="zh-CN"/>
                    </w:rPr>
                  </w:pPr>
                  <w:r>
                    <w:rPr>
                      <w:rFonts w:hint="eastAsia"/>
                      <w:sz w:val="21"/>
                      <w:szCs w:val="21"/>
                      <w:lang w:val="en-US" w:eastAsia="zh-CN"/>
                    </w:rPr>
                    <w:t>生产线</w:t>
                  </w:r>
                </w:p>
                <w:p>
                  <w:pPr>
                    <w:bidi w:val="0"/>
                    <w:jc w:val="center"/>
                    <w:rPr>
                      <w:rFonts w:hint="default" w:ascii="Times New Roman" w:hAnsi="Times New Roman"/>
                      <w:szCs w:val="21"/>
                      <w:lang w:val="en-US" w:eastAsia="zh-CN"/>
                    </w:rPr>
                  </w:pPr>
                  <w:r>
                    <w:rPr>
                      <w:rFonts w:hint="eastAsia"/>
                      <w:sz w:val="21"/>
                      <w:szCs w:val="21"/>
                      <w:lang w:val="en-US" w:eastAsia="zh-CN"/>
                    </w:rPr>
                    <w:t>清洗</w:t>
                  </w:r>
                </w:p>
              </w:tc>
              <w:tc>
                <w:tcPr>
                  <w:tcW w:w="324" w:type="pct"/>
                  <w:tcBorders>
                    <w:tl2br w:val="nil"/>
                    <w:tr2bl w:val="nil"/>
                  </w:tcBorders>
                  <w:noWrap w:val="0"/>
                  <w:vAlign w:val="center"/>
                </w:tcPr>
                <w:p>
                  <w:pPr>
                    <w:adjustRightInd w:val="0"/>
                    <w:snapToGrid w:val="0"/>
                    <w:jc w:val="center"/>
                    <w:rPr>
                      <w:rFonts w:hint="eastAsia"/>
                      <w:bCs/>
                      <w:sz w:val="21"/>
                      <w:szCs w:val="21"/>
                    </w:rPr>
                  </w:pPr>
                  <w:r>
                    <w:rPr>
                      <w:rFonts w:hint="eastAsia"/>
                      <w:bCs/>
                      <w:sz w:val="21"/>
                      <w:szCs w:val="21"/>
                    </w:rPr>
                    <w:t>固态</w:t>
                  </w:r>
                </w:p>
              </w:tc>
              <w:tc>
                <w:tcPr>
                  <w:tcW w:w="642" w:type="pct"/>
                  <w:tcBorders>
                    <w:tl2br w:val="nil"/>
                    <w:tr2bl w:val="nil"/>
                  </w:tcBorders>
                  <w:noWrap w:val="0"/>
                  <w:vAlign w:val="center"/>
                </w:tcPr>
                <w:p>
                  <w:pPr>
                    <w:adjustRightInd w:val="0"/>
                    <w:snapToGrid w:val="0"/>
                    <w:jc w:val="center"/>
                    <w:rPr>
                      <w:rFonts w:hint="eastAsia"/>
                      <w:bCs/>
                      <w:sz w:val="21"/>
                      <w:szCs w:val="21"/>
                      <w:lang w:val="en-US" w:eastAsia="zh-CN"/>
                    </w:rPr>
                  </w:pPr>
                  <w:r>
                    <w:rPr>
                      <w:rFonts w:hint="eastAsia"/>
                      <w:bCs/>
                      <w:sz w:val="21"/>
                      <w:szCs w:val="21"/>
                      <w:lang w:val="en-US" w:eastAsia="zh-CN"/>
                    </w:rPr>
                    <w:t>/</w:t>
                  </w:r>
                </w:p>
              </w:tc>
              <w:tc>
                <w:tcPr>
                  <w:tcW w:w="549"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4.7</w:t>
                  </w:r>
                </w:p>
              </w:tc>
              <w:tc>
                <w:tcPr>
                  <w:tcW w:w="515"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432"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1030" w:type="pct"/>
                  <w:vMerge w:val="continue"/>
                  <w:tcBorders>
                    <w:tl2br w:val="nil"/>
                    <w:tr2bl w:val="nil"/>
                  </w:tcBorders>
                  <w:noWrap w:val="0"/>
                  <w:vAlign w:val="center"/>
                </w:tcPr>
                <w:p>
                  <w:pPr>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324" w:type="pct"/>
                  <w:tcBorders>
                    <w:tl2br w:val="nil"/>
                    <w:tr2bl w:val="nil"/>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9</w:t>
                  </w:r>
                </w:p>
              </w:tc>
              <w:tc>
                <w:tcPr>
                  <w:tcW w:w="621" w:type="pct"/>
                  <w:tcBorders>
                    <w:tl2br w:val="nil"/>
                    <w:tr2bl w:val="nil"/>
                  </w:tcBorders>
                  <w:noWrap w:val="0"/>
                  <w:vAlign w:val="center"/>
                </w:tcPr>
                <w:p>
                  <w:pPr>
                    <w:adjustRightInd w:val="0"/>
                    <w:snapToGrid w:val="0"/>
                    <w:jc w:val="center"/>
                    <w:rPr>
                      <w:rFonts w:hint="eastAsia"/>
                      <w:sz w:val="21"/>
                      <w:szCs w:val="21"/>
                    </w:rPr>
                  </w:pPr>
                  <w:r>
                    <w:rPr>
                      <w:rFonts w:hint="eastAsia"/>
                      <w:sz w:val="21"/>
                      <w:szCs w:val="21"/>
                    </w:rPr>
                    <w:t>生活垃圾</w:t>
                  </w:r>
                </w:p>
              </w:tc>
              <w:tc>
                <w:tcPr>
                  <w:tcW w:w="558" w:type="pct"/>
                  <w:tcBorders>
                    <w:tl2br w:val="nil"/>
                    <w:tr2bl w:val="nil"/>
                  </w:tcBorders>
                  <w:noWrap w:val="0"/>
                  <w:vAlign w:val="center"/>
                </w:tcPr>
                <w:p>
                  <w:pPr>
                    <w:pStyle w:val="47"/>
                    <w:widowControl w:val="0"/>
                    <w:adjustRightInd w:val="0"/>
                    <w:snapToGrid w:val="0"/>
                    <w:rPr>
                      <w:rFonts w:hint="eastAsia" w:ascii="Times New Roman" w:hAnsi="Times New Roman"/>
                      <w:sz w:val="21"/>
                      <w:szCs w:val="21"/>
                    </w:rPr>
                  </w:pPr>
                  <w:r>
                    <w:rPr>
                      <w:rFonts w:hint="eastAsia" w:ascii="Times New Roman" w:hAnsi="Times New Roman"/>
                      <w:sz w:val="21"/>
                      <w:szCs w:val="21"/>
                    </w:rPr>
                    <w:t>员工</w:t>
                  </w:r>
                </w:p>
              </w:tc>
              <w:tc>
                <w:tcPr>
                  <w:tcW w:w="324" w:type="pct"/>
                  <w:tcBorders>
                    <w:tl2br w:val="nil"/>
                    <w:tr2bl w:val="nil"/>
                  </w:tcBorders>
                  <w:noWrap w:val="0"/>
                  <w:vAlign w:val="center"/>
                </w:tcPr>
                <w:p>
                  <w:pPr>
                    <w:adjustRightInd w:val="0"/>
                    <w:snapToGrid w:val="0"/>
                    <w:jc w:val="center"/>
                    <w:rPr>
                      <w:rFonts w:hint="eastAsia"/>
                      <w:bCs/>
                      <w:sz w:val="21"/>
                      <w:szCs w:val="21"/>
                    </w:rPr>
                  </w:pPr>
                  <w:r>
                    <w:rPr>
                      <w:rFonts w:hint="eastAsia"/>
                      <w:bCs/>
                      <w:sz w:val="21"/>
                      <w:szCs w:val="21"/>
                    </w:rPr>
                    <w:t>固态</w:t>
                  </w:r>
                </w:p>
              </w:tc>
              <w:tc>
                <w:tcPr>
                  <w:tcW w:w="642" w:type="pct"/>
                  <w:tcBorders>
                    <w:tl2br w:val="nil"/>
                    <w:tr2bl w:val="nil"/>
                  </w:tcBorders>
                  <w:noWrap w:val="0"/>
                  <w:vAlign w:val="center"/>
                </w:tcPr>
                <w:p>
                  <w:pPr>
                    <w:adjustRightInd w:val="0"/>
                    <w:snapToGrid w:val="0"/>
                    <w:jc w:val="center"/>
                    <w:rPr>
                      <w:rFonts w:hint="eastAsia"/>
                      <w:bCs/>
                      <w:sz w:val="21"/>
                      <w:szCs w:val="21"/>
                    </w:rPr>
                  </w:pPr>
                  <w:r>
                    <w:rPr>
                      <w:rFonts w:hint="eastAsia"/>
                      <w:bCs/>
                      <w:sz w:val="21"/>
                      <w:szCs w:val="21"/>
                    </w:rPr>
                    <w:t>废纸、塑料等</w:t>
                  </w:r>
                </w:p>
              </w:tc>
              <w:tc>
                <w:tcPr>
                  <w:tcW w:w="549"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1.35</w:t>
                  </w:r>
                </w:p>
              </w:tc>
              <w:tc>
                <w:tcPr>
                  <w:tcW w:w="515"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432"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1030" w:type="pct"/>
                  <w:vMerge w:val="continue"/>
                  <w:tcBorders>
                    <w:tl2br w:val="nil"/>
                    <w:tr2bl w:val="nil"/>
                  </w:tcBorders>
                  <w:noWrap w:val="0"/>
                  <w:vAlign w:val="center"/>
                </w:tcPr>
                <w:p>
                  <w:pPr>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324" w:type="pct"/>
                  <w:tcBorders>
                    <w:tl2br w:val="nil"/>
                    <w:tr2bl w:val="nil"/>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10</w:t>
                  </w:r>
                </w:p>
              </w:tc>
              <w:tc>
                <w:tcPr>
                  <w:tcW w:w="621" w:type="pct"/>
                  <w:tcBorders>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餐厨垃圾</w:t>
                  </w:r>
                </w:p>
              </w:tc>
              <w:tc>
                <w:tcPr>
                  <w:tcW w:w="558" w:type="pct"/>
                  <w:tcBorders>
                    <w:tl2br w:val="nil"/>
                    <w:tr2bl w:val="nil"/>
                  </w:tcBorders>
                  <w:noWrap w:val="0"/>
                  <w:vAlign w:val="center"/>
                </w:tcPr>
                <w:p>
                  <w:pPr>
                    <w:pStyle w:val="47"/>
                    <w:widowControl w:val="0"/>
                    <w:adjustRightInd w:val="0"/>
                    <w:snapToGrid w:val="0"/>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餐饮</w:t>
                  </w:r>
                </w:p>
              </w:tc>
              <w:tc>
                <w:tcPr>
                  <w:tcW w:w="324" w:type="pct"/>
                  <w:tcBorders>
                    <w:tl2br w:val="nil"/>
                    <w:tr2bl w:val="nil"/>
                  </w:tcBorders>
                  <w:noWrap w:val="0"/>
                  <w:vAlign w:val="center"/>
                </w:tcPr>
                <w:p>
                  <w:pPr>
                    <w:adjustRightInd w:val="0"/>
                    <w:snapToGrid w:val="0"/>
                    <w:jc w:val="center"/>
                    <w:rPr>
                      <w:rFonts w:hint="eastAsia" w:eastAsia="宋体"/>
                      <w:bCs/>
                      <w:sz w:val="21"/>
                      <w:szCs w:val="21"/>
                      <w:lang w:val="en-US" w:eastAsia="zh-CN"/>
                    </w:rPr>
                  </w:pPr>
                  <w:r>
                    <w:rPr>
                      <w:rFonts w:hint="eastAsia"/>
                      <w:bCs/>
                      <w:sz w:val="21"/>
                      <w:szCs w:val="21"/>
                      <w:lang w:val="en-US" w:eastAsia="zh-CN"/>
                    </w:rPr>
                    <w:t>/</w:t>
                  </w:r>
                </w:p>
              </w:tc>
              <w:tc>
                <w:tcPr>
                  <w:tcW w:w="642" w:type="pct"/>
                  <w:tcBorders>
                    <w:tl2br w:val="nil"/>
                    <w:tr2bl w:val="nil"/>
                  </w:tcBorders>
                  <w:noWrap w:val="0"/>
                  <w:vAlign w:val="center"/>
                </w:tcPr>
                <w:p>
                  <w:pPr>
                    <w:adjustRightInd w:val="0"/>
                    <w:snapToGrid w:val="0"/>
                    <w:jc w:val="center"/>
                    <w:rPr>
                      <w:rFonts w:hint="eastAsia" w:eastAsia="宋体"/>
                      <w:bCs/>
                      <w:sz w:val="21"/>
                      <w:szCs w:val="21"/>
                      <w:lang w:val="en-US" w:eastAsia="zh-CN"/>
                    </w:rPr>
                  </w:pPr>
                  <w:r>
                    <w:rPr>
                      <w:rFonts w:hint="eastAsia"/>
                      <w:bCs/>
                      <w:sz w:val="21"/>
                      <w:szCs w:val="21"/>
                      <w:lang w:val="en-US" w:eastAsia="zh-CN"/>
                    </w:rPr>
                    <w:t>/</w:t>
                  </w:r>
                </w:p>
              </w:tc>
              <w:tc>
                <w:tcPr>
                  <w:tcW w:w="549"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0.27</w:t>
                  </w:r>
                </w:p>
              </w:tc>
              <w:tc>
                <w:tcPr>
                  <w:tcW w:w="515"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432" w:type="pct"/>
                  <w:tcBorders>
                    <w:tl2br w:val="nil"/>
                    <w:tr2bl w:val="nil"/>
                  </w:tcBorders>
                  <w:noWrap w:val="0"/>
                  <w:vAlign w:val="center"/>
                </w:tcPr>
                <w:p>
                  <w:pPr>
                    <w:adjustRightInd w:val="0"/>
                    <w:snapToGrid w:val="0"/>
                    <w:jc w:val="center"/>
                    <w:rPr>
                      <w:bCs/>
                      <w:sz w:val="21"/>
                      <w:szCs w:val="21"/>
                    </w:rPr>
                  </w:pPr>
                  <w:r>
                    <w:rPr>
                      <w:bCs/>
                      <w:sz w:val="21"/>
                      <w:szCs w:val="21"/>
                    </w:rPr>
                    <w:t>—</w:t>
                  </w:r>
                </w:p>
              </w:tc>
              <w:tc>
                <w:tcPr>
                  <w:tcW w:w="1030" w:type="pct"/>
                  <w:vMerge w:val="continue"/>
                  <w:tcBorders>
                    <w:tl2br w:val="nil"/>
                    <w:tr2bl w:val="nil"/>
                  </w:tcBorders>
                  <w:noWrap w:val="0"/>
                  <w:vAlign w:val="center"/>
                </w:tcPr>
                <w:p>
                  <w:pPr>
                    <w:adjustRightInd w:val="0"/>
                    <w:snapToGrid w:val="0"/>
                    <w:jc w:val="center"/>
                    <w:rPr>
                      <w:sz w:val="21"/>
                      <w:szCs w:val="21"/>
                    </w:rPr>
                  </w:pPr>
                </w:p>
              </w:tc>
            </w:tr>
          </w:tbl>
          <w:p>
            <w:pPr>
              <w:adjustRightInd w:val="0"/>
              <w:snapToGrid w:val="0"/>
              <w:spacing w:before="120" w:beforeLines="50" w:line="360" w:lineRule="auto"/>
              <w:ind w:firstLine="480" w:firstLineChars="200"/>
            </w:pPr>
            <w:r>
              <w:rPr>
                <w:rFonts w:hint="eastAsia"/>
              </w:rPr>
              <w:t>4.3固体废物环境影响分析</w:t>
            </w:r>
          </w:p>
          <w:p>
            <w:pPr>
              <w:pStyle w:val="20"/>
              <w:adjustRightInd w:val="0"/>
              <w:snapToGrid w:val="0"/>
              <w:spacing w:after="0" w:line="360" w:lineRule="auto"/>
              <w:ind w:left="0" w:leftChars="0" w:firstLine="480"/>
              <w:rPr>
                <w:rFonts w:hint="eastAsia"/>
                <w:b/>
                <w:bCs/>
                <w:kern w:val="0"/>
                <w:sz w:val="24"/>
                <w:highlight w:val="yellow"/>
              </w:rPr>
            </w:pPr>
            <w:r>
              <w:rPr>
                <w:rFonts w:hint="eastAsia"/>
                <w:sz w:val="24"/>
              </w:rPr>
              <w:t>本项目</w:t>
            </w:r>
            <w:r>
              <w:rPr>
                <w:sz w:val="24"/>
              </w:rPr>
              <w:t>固体废物利用和处置方式见下表。</w:t>
            </w:r>
          </w:p>
          <w:p>
            <w:pPr>
              <w:adjustRightInd w:val="0"/>
              <w:snapToGrid w:val="0"/>
              <w:jc w:val="center"/>
              <w:rPr>
                <w:rFonts w:hint="eastAsia"/>
                <w:b/>
                <w:bCs/>
              </w:rPr>
            </w:pPr>
            <w:r>
              <w:rPr>
                <w:rFonts w:hint="eastAsia"/>
                <w:b/>
                <w:bCs/>
              </w:rPr>
              <w:t>表4-</w:t>
            </w:r>
            <w:r>
              <w:rPr>
                <w:rFonts w:hint="eastAsia"/>
                <w:b/>
                <w:bCs/>
                <w:lang w:val="en-US" w:eastAsia="zh-CN"/>
              </w:rPr>
              <w:t>16</w:t>
            </w:r>
            <w:r>
              <w:rPr>
                <w:rFonts w:hint="eastAsia"/>
                <w:b/>
                <w:bCs/>
              </w:rPr>
              <w:t xml:space="preserve">  固体废物利用处置方式评价表</w:t>
            </w:r>
          </w:p>
          <w:tbl>
            <w:tblPr>
              <w:tblStyle w:val="21"/>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562"/>
              <w:gridCol w:w="1428"/>
              <w:gridCol w:w="1070"/>
              <w:gridCol w:w="1412"/>
              <w:gridCol w:w="957"/>
              <w:gridCol w:w="18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eastAsia"/>
                      <w:b/>
                      <w:bCs/>
                      <w:sz w:val="21"/>
                      <w:szCs w:val="21"/>
                    </w:rPr>
                  </w:pPr>
                  <w:r>
                    <w:rPr>
                      <w:rFonts w:hint="eastAsia"/>
                      <w:b/>
                      <w:bCs/>
                      <w:sz w:val="21"/>
                      <w:szCs w:val="21"/>
                    </w:rPr>
                    <w:t>序号</w:t>
                  </w:r>
                </w:p>
              </w:tc>
              <w:tc>
                <w:tcPr>
                  <w:tcW w:w="885" w:type="pct"/>
                  <w:tcBorders>
                    <w:tl2br w:val="nil"/>
                    <w:tr2bl w:val="nil"/>
                  </w:tcBorders>
                  <w:noWrap w:val="0"/>
                  <w:vAlign w:val="center"/>
                </w:tcPr>
                <w:p>
                  <w:pPr>
                    <w:pStyle w:val="39"/>
                    <w:autoSpaceDE/>
                    <w:autoSpaceDN/>
                    <w:snapToGrid w:val="0"/>
                    <w:jc w:val="center"/>
                    <w:rPr>
                      <w:rFonts w:hint="eastAsia"/>
                      <w:b/>
                      <w:bCs/>
                      <w:sz w:val="21"/>
                      <w:szCs w:val="21"/>
                    </w:rPr>
                  </w:pPr>
                  <w:r>
                    <w:rPr>
                      <w:rFonts w:hint="eastAsia"/>
                      <w:b/>
                      <w:bCs/>
                      <w:sz w:val="21"/>
                      <w:szCs w:val="21"/>
                    </w:rPr>
                    <w:t>固废名称</w:t>
                  </w:r>
                </w:p>
              </w:tc>
              <w:tc>
                <w:tcPr>
                  <w:tcW w:w="809" w:type="pct"/>
                  <w:tcBorders>
                    <w:tl2br w:val="nil"/>
                    <w:tr2bl w:val="nil"/>
                  </w:tcBorders>
                  <w:noWrap w:val="0"/>
                  <w:vAlign w:val="center"/>
                </w:tcPr>
                <w:p>
                  <w:pPr>
                    <w:pStyle w:val="39"/>
                    <w:autoSpaceDE/>
                    <w:autoSpaceDN/>
                    <w:snapToGrid w:val="0"/>
                    <w:jc w:val="center"/>
                    <w:rPr>
                      <w:rFonts w:hint="eastAsia"/>
                      <w:b/>
                      <w:bCs/>
                      <w:sz w:val="21"/>
                      <w:szCs w:val="21"/>
                    </w:rPr>
                  </w:pPr>
                  <w:r>
                    <w:rPr>
                      <w:rFonts w:hint="eastAsia"/>
                      <w:b/>
                      <w:bCs/>
                      <w:sz w:val="21"/>
                      <w:szCs w:val="21"/>
                    </w:rPr>
                    <w:t>产生工序</w:t>
                  </w:r>
                </w:p>
              </w:tc>
              <w:tc>
                <w:tcPr>
                  <w:tcW w:w="606" w:type="pct"/>
                  <w:tcBorders>
                    <w:tl2br w:val="nil"/>
                    <w:tr2bl w:val="nil"/>
                  </w:tcBorders>
                  <w:noWrap w:val="0"/>
                  <w:vAlign w:val="center"/>
                </w:tcPr>
                <w:p>
                  <w:pPr>
                    <w:pStyle w:val="39"/>
                    <w:autoSpaceDE/>
                    <w:autoSpaceDN/>
                    <w:snapToGrid w:val="0"/>
                    <w:jc w:val="center"/>
                    <w:rPr>
                      <w:rFonts w:hint="eastAsia"/>
                      <w:b/>
                      <w:bCs/>
                      <w:sz w:val="21"/>
                      <w:szCs w:val="21"/>
                    </w:rPr>
                  </w:pPr>
                  <w:r>
                    <w:rPr>
                      <w:rFonts w:hint="eastAsia"/>
                      <w:b/>
                      <w:bCs/>
                      <w:sz w:val="21"/>
                      <w:szCs w:val="21"/>
                    </w:rPr>
                    <w:t>属性</w:t>
                  </w:r>
                </w:p>
              </w:tc>
              <w:tc>
                <w:tcPr>
                  <w:tcW w:w="800" w:type="pct"/>
                  <w:tcBorders>
                    <w:tl2br w:val="nil"/>
                    <w:tr2bl w:val="nil"/>
                  </w:tcBorders>
                  <w:noWrap w:val="0"/>
                  <w:vAlign w:val="center"/>
                </w:tcPr>
                <w:p>
                  <w:pPr>
                    <w:pStyle w:val="39"/>
                    <w:autoSpaceDE/>
                    <w:autoSpaceDN/>
                    <w:snapToGrid w:val="0"/>
                    <w:jc w:val="center"/>
                    <w:rPr>
                      <w:rFonts w:hint="eastAsia"/>
                      <w:b/>
                      <w:bCs/>
                      <w:sz w:val="21"/>
                      <w:szCs w:val="21"/>
                    </w:rPr>
                  </w:pPr>
                  <w:r>
                    <w:rPr>
                      <w:rFonts w:hint="eastAsia"/>
                      <w:b/>
                      <w:bCs/>
                      <w:sz w:val="21"/>
                      <w:szCs w:val="21"/>
                    </w:rPr>
                    <w:t>废物代码</w:t>
                  </w:r>
                </w:p>
              </w:tc>
              <w:tc>
                <w:tcPr>
                  <w:tcW w:w="542" w:type="pct"/>
                  <w:tcBorders>
                    <w:tl2br w:val="nil"/>
                    <w:tr2bl w:val="nil"/>
                  </w:tcBorders>
                  <w:noWrap w:val="0"/>
                  <w:vAlign w:val="center"/>
                </w:tcPr>
                <w:p>
                  <w:pPr>
                    <w:pStyle w:val="39"/>
                    <w:autoSpaceDE/>
                    <w:autoSpaceDN/>
                    <w:snapToGrid w:val="0"/>
                    <w:jc w:val="center"/>
                    <w:rPr>
                      <w:rFonts w:hint="eastAsia"/>
                      <w:b/>
                      <w:bCs/>
                      <w:sz w:val="21"/>
                      <w:szCs w:val="21"/>
                    </w:rPr>
                  </w:pPr>
                  <w:r>
                    <w:rPr>
                      <w:rFonts w:hint="eastAsia"/>
                      <w:b/>
                      <w:bCs/>
                      <w:sz w:val="21"/>
                      <w:szCs w:val="21"/>
                    </w:rPr>
                    <w:t>产生量（t/a）</w:t>
                  </w:r>
                </w:p>
              </w:tc>
              <w:tc>
                <w:tcPr>
                  <w:tcW w:w="1073" w:type="pct"/>
                  <w:tcBorders>
                    <w:tl2br w:val="nil"/>
                    <w:tr2bl w:val="nil"/>
                  </w:tcBorders>
                  <w:noWrap w:val="0"/>
                  <w:vAlign w:val="center"/>
                </w:tcPr>
                <w:p>
                  <w:pPr>
                    <w:pStyle w:val="39"/>
                    <w:autoSpaceDE/>
                    <w:autoSpaceDN/>
                    <w:snapToGrid w:val="0"/>
                    <w:jc w:val="center"/>
                    <w:rPr>
                      <w:rFonts w:hint="eastAsia"/>
                      <w:b/>
                      <w:bCs/>
                      <w:sz w:val="21"/>
                      <w:szCs w:val="21"/>
                    </w:rPr>
                  </w:pPr>
                  <w:r>
                    <w:rPr>
                      <w:rFonts w:hint="eastAsia"/>
                      <w:b/>
                      <w:bCs/>
                      <w:sz w:val="21"/>
                      <w:szCs w:val="21"/>
                    </w:rPr>
                    <w:t>利用处置方式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885" w:type="pct"/>
                  <w:tcBorders>
                    <w:tl2br w:val="nil"/>
                    <w:tr2bl w:val="nil"/>
                  </w:tcBorders>
                  <w:noWrap w:val="0"/>
                  <w:vAlign w:val="center"/>
                </w:tcPr>
                <w:p>
                  <w:pPr>
                    <w:adjustRightInd w:val="0"/>
                    <w:snapToGrid w:val="0"/>
                    <w:jc w:val="center"/>
                    <w:rPr>
                      <w:sz w:val="21"/>
                      <w:szCs w:val="21"/>
                    </w:rPr>
                  </w:pPr>
                  <w:r>
                    <w:rPr>
                      <w:rFonts w:hint="eastAsia"/>
                      <w:sz w:val="21"/>
                      <w:szCs w:val="21"/>
                    </w:rPr>
                    <w:t>废包装材料</w:t>
                  </w:r>
                </w:p>
              </w:tc>
              <w:tc>
                <w:tcPr>
                  <w:tcW w:w="809" w:type="pct"/>
                  <w:tcBorders>
                    <w:tl2br w:val="nil"/>
                    <w:tr2bl w:val="nil"/>
                  </w:tcBorders>
                  <w:noWrap w:val="0"/>
                  <w:vAlign w:val="center"/>
                </w:tcPr>
                <w:p>
                  <w:pPr>
                    <w:pStyle w:val="47"/>
                    <w:widowControl w:val="0"/>
                    <w:adjustRightInd w:val="0"/>
                    <w:snapToGrid w:val="0"/>
                    <w:rPr>
                      <w:rFonts w:ascii="Times New Roman" w:hAnsi="Times New Roman"/>
                      <w:sz w:val="21"/>
                      <w:szCs w:val="21"/>
                    </w:rPr>
                  </w:pPr>
                  <w:r>
                    <w:rPr>
                      <w:rFonts w:hint="eastAsia" w:ascii="Times New Roman" w:hAnsi="Times New Roman"/>
                      <w:sz w:val="21"/>
                      <w:szCs w:val="21"/>
                    </w:rPr>
                    <w:t>原料拆包、产品包装</w:t>
                  </w:r>
                </w:p>
              </w:tc>
              <w:tc>
                <w:tcPr>
                  <w:tcW w:w="606" w:type="pct"/>
                  <w:vMerge w:val="restart"/>
                  <w:tcBorders>
                    <w:tl2br w:val="nil"/>
                    <w:tr2bl w:val="nil"/>
                  </w:tcBorders>
                  <w:noWrap w:val="0"/>
                  <w:vAlign w:val="center"/>
                </w:tcPr>
                <w:p>
                  <w:pPr>
                    <w:pStyle w:val="39"/>
                    <w:autoSpaceDE/>
                    <w:autoSpaceDN/>
                    <w:snapToGrid w:val="0"/>
                    <w:jc w:val="center"/>
                    <w:rPr>
                      <w:sz w:val="21"/>
                      <w:szCs w:val="21"/>
                    </w:rPr>
                  </w:pPr>
                  <w:r>
                    <w:rPr>
                      <w:rFonts w:hint="eastAsia"/>
                      <w:sz w:val="21"/>
                      <w:szCs w:val="21"/>
                    </w:rPr>
                    <w:t>一般固废</w:t>
                  </w:r>
                </w:p>
              </w:tc>
              <w:tc>
                <w:tcPr>
                  <w:tcW w:w="800" w:type="pct"/>
                  <w:tcBorders>
                    <w:tl2br w:val="nil"/>
                    <w:tr2bl w:val="nil"/>
                  </w:tcBorders>
                  <w:noWrap w:val="0"/>
                  <w:vAlign w:val="center"/>
                </w:tcPr>
                <w:p>
                  <w:pPr>
                    <w:pStyle w:val="39"/>
                    <w:autoSpaceDE/>
                    <w:autoSpaceDN/>
                    <w:snapToGrid w:val="0"/>
                    <w:jc w:val="center"/>
                    <w:rPr>
                      <w:rFonts w:hint="default" w:eastAsia="宋体"/>
                      <w:sz w:val="21"/>
                      <w:szCs w:val="21"/>
                      <w:lang w:val="en-US" w:eastAsia="zh-CN"/>
                    </w:rPr>
                  </w:pPr>
                  <w:r>
                    <w:rPr>
                      <w:rFonts w:hint="eastAsia" w:ascii="Times New Roman" w:hAnsi="Times New Roman" w:eastAsia="宋体" w:cs="Times New Roman"/>
                      <w:kern w:val="2"/>
                      <w:sz w:val="21"/>
                      <w:szCs w:val="21"/>
                      <w:lang w:val="en-US" w:eastAsia="zh-CN" w:bidi="ar-SA"/>
                    </w:rPr>
                    <w:t>152-002-39</w:t>
                  </w:r>
                </w:p>
              </w:tc>
              <w:tc>
                <w:tcPr>
                  <w:tcW w:w="542" w:type="pct"/>
                  <w:tcBorders>
                    <w:tl2br w:val="nil"/>
                    <w:tr2bl w:val="nil"/>
                  </w:tcBorders>
                  <w:noWrap w:val="0"/>
                  <w:vAlign w:val="center"/>
                </w:tcPr>
                <w:p>
                  <w:pPr>
                    <w:adjustRightInd w:val="0"/>
                    <w:snapToGrid w:val="0"/>
                    <w:jc w:val="center"/>
                    <w:rPr>
                      <w:sz w:val="21"/>
                      <w:szCs w:val="21"/>
                    </w:rPr>
                  </w:pPr>
                  <w:r>
                    <w:rPr>
                      <w:rFonts w:hint="eastAsia"/>
                      <w:sz w:val="21"/>
                      <w:szCs w:val="21"/>
                      <w:lang w:val="en-US" w:eastAsia="zh-CN"/>
                    </w:rPr>
                    <w:t>1</w:t>
                  </w:r>
                  <w:r>
                    <w:rPr>
                      <w:rFonts w:hint="eastAsia"/>
                      <w:sz w:val="21"/>
                      <w:szCs w:val="21"/>
                    </w:rPr>
                    <w:t>.0</w:t>
                  </w:r>
                </w:p>
              </w:tc>
              <w:tc>
                <w:tcPr>
                  <w:tcW w:w="1073" w:type="pct"/>
                  <w:tcBorders>
                    <w:tl2br w:val="nil"/>
                    <w:tr2bl w:val="nil"/>
                  </w:tcBorders>
                  <w:noWrap w:val="0"/>
                  <w:vAlign w:val="center"/>
                </w:tcPr>
                <w:p>
                  <w:pPr>
                    <w:adjustRightInd w:val="0"/>
                    <w:snapToGrid w:val="0"/>
                    <w:jc w:val="center"/>
                    <w:rPr>
                      <w:sz w:val="21"/>
                      <w:szCs w:val="21"/>
                    </w:rPr>
                  </w:pPr>
                  <w:r>
                    <w:rPr>
                      <w:rFonts w:hint="eastAsia"/>
                      <w:sz w:val="21"/>
                      <w:szCs w:val="21"/>
                    </w:rPr>
                    <w:t>暂存一般固废间，定期外售综合利用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w:t>
                  </w:r>
                </w:p>
              </w:tc>
              <w:tc>
                <w:tcPr>
                  <w:tcW w:w="885" w:type="pct"/>
                  <w:tcBorders>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废过滤器</w:t>
                  </w:r>
                </w:p>
              </w:tc>
              <w:tc>
                <w:tcPr>
                  <w:tcW w:w="809" w:type="pct"/>
                  <w:tcBorders>
                    <w:tl2br w:val="nil"/>
                    <w:tr2bl w:val="nil"/>
                  </w:tcBorders>
                  <w:noWrap w:val="0"/>
                  <w:vAlign w:val="center"/>
                </w:tcPr>
                <w:p>
                  <w:pPr>
                    <w:pStyle w:val="47"/>
                    <w:widowControl w:val="0"/>
                    <w:adjustRightInd w:val="0"/>
                    <w:snapToGrid w:val="0"/>
                    <w:rPr>
                      <w:rFonts w:hint="eastAsia" w:ascii="Times New Roman" w:hAnsi="Times New Roman"/>
                      <w:sz w:val="21"/>
                      <w:szCs w:val="21"/>
                    </w:rPr>
                  </w:pPr>
                  <w:r>
                    <w:rPr>
                      <w:rFonts w:hint="eastAsia" w:ascii="Times New Roman" w:hAnsi="Times New Roman"/>
                      <w:bCs/>
                      <w:sz w:val="21"/>
                      <w:szCs w:val="21"/>
                      <w:lang w:val="en-US" w:eastAsia="zh-CN"/>
                    </w:rPr>
                    <w:t>水</w:t>
                  </w:r>
                  <w:r>
                    <w:rPr>
                      <w:rFonts w:hint="eastAsia" w:ascii="Times New Roman" w:hAnsi="Times New Roman"/>
                      <w:bCs/>
                      <w:sz w:val="21"/>
                      <w:szCs w:val="21"/>
                    </w:rPr>
                    <w:t>处理</w:t>
                  </w:r>
                </w:p>
              </w:tc>
              <w:tc>
                <w:tcPr>
                  <w:tcW w:w="606" w:type="pct"/>
                  <w:vMerge w:val="continue"/>
                  <w:tcBorders>
                    <w:tl2br w:val="nil"/>
                    <w:tr2bl w:val="nil"/>
                  </w:tcBorders>
                  <w:noWrap w:val="0"/>
                  <w:vAlign w:val="center"/>
                </w:tcPr>
                <w:p>
                  <w:pPr>
                    <w:pStyle w:val="39"/>
                    <w:autoSpaceDE/>
                    <w:autoSpaceDN/>
                    <w:snapToGrid w:val="0"/>
                    <w:jc w:val="center"/>
                    <w:rPr>
                      <w:rFonts w:hint="eastAsia"/>
                      <w:sz w:val="21"/>
                      <w:szCs w:val="21"/>
                    </w:rPr>
                  </w:pPr>
                </w:p>
              </w:tc>
              <w:tc>
                <w:tcPr>
                  <w:tcW w:w="800" w:type="pct"/>
                  <w:tcBorders>
                    <w:tl2br w:val="nil"/>
                    <w:tr2bl w:val="nil"/>
                  </w:tcBorders>
                  <w:noWrap w:val="0"/>
                  <w:vAlign w:val="center"/>
                </w:tcPr>
                <w:p>
                  <w:pPr>
                    <w:pStyle w:val="39"/>
                    <w:autoSpaceDE/>
                    <w:autoSpaceDN/>
                    <w:snapToGrid w:val="0"/>
                    <w:jc w:val="center"/>
                    <w:rPr>
                      <w:rFonts w:hint="eastAsia" w:eastAsia="宋体"/>
                      <w:sz w:val="21"/>
                      <w:szCs w:val="21"/>
                      <w:lang w:eastAsia="zh-CN"/>
                    </w:rPr>
                  </w:pPr>
                  <w:r>
                    <w:rPr>
                      <w:rFonts w:hint="eastAsia"/>
                      <w:sz w:val="21"/>
                      <w:szCs w:val="21"/>
                      <w:lang w:val="en-US" w:eastAsia="zh-CN"/>
                    </w:rPr>
                    <w:t>/</w:t>
                  </w:r>
                </w:p>
              </w:tc>
              <w:tc>
                <w:tcPr>
                  <w:tcW w:w="542"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1.0</w:t>
                  </w:r>
                </w:p>
              </w:tc>
              <w:tc>
                <w:tcPr>
                  <w:tcW w:w="1073" w:type="pct"/>
                  <w:vMerge w:val="restart"/>
                  <w:tcBorders>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供应厂家回收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c>
                <w:tcPr>
                  <w:tcW w:w="885" w:type="pct"/>
                  <w:tcBorders>
                    <w:tl2br w:val="nil"/>
                    <w:tr2bl w:val="nil"/>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废活性炭</w:t>
                  </w:r>
                </w:p>
              </w:tc>
              <w:tc>
                <w:tcPr>
                  <w:tcW w:w="809" w:type="pct"/>
                  <w:tcBorders>
                    <w:tl2br w:val="nil"/>
                    <w:tr2bl w:val="nil"/>
                  </w:tcBorders>
                  <w:noWrap w:val="0"/>
                  <w:vAlign w:val="center"/>
                </w:tcPr>
                <w:p>
                  <w:pPr>
                    <w:widowControl w:val="0"/>
                    <w:adjustRightInd w:val="0"/>
                    <w:snapToGrid w:val="0"/>
                    <w:jc w:val="center"/>
                    <w:rPr>
                      <w:rFonts w:hint="eastAsia" w:ascii="Times New Roman" w:hAnsi="Times New Roman"/>
                      <w:bCs/>
                      <w:sz w:val="21"/>
                      <w:szCs w:val="21"/>
                      <w:lang w:val="en-US" w:eastAsia="zh-CN"/>
                    </w:rPr>
                  </w:pPr>
                  <w:r>
                    <w:rPr>
                      <w:rFonts w:hint="eastAsia" w:ascii="Times New Roman" w:hAnsi="Times New Roman"/>
                      <w:bCs/>
                      <w:sz w:val="21"/>
                      <w:szCs w:val="21"/>
                      <w:lang w:val="en-US" w:eastAsia="zh-CN"/>
                    </w:rPr>
                    <w:t>水</w:t>
                  </w:r>
                  <w:r>
                    <w:rPr>
                      <w:rFonts w:hint="eastAsia" w:ascii="Times New Roman" w:hAnsi="Times New Roman"/>
                      <w:bCs/>
                      <w:sz w:val="21"/>
                      <w:szCs w:val="21"/>
                    </w:rPr>
                    <w:t>处理</w:t>
                  </w:r>
                </w:p>
              </w:tc>
              <w:tc>
                <w:tcPr>
                  <w:tcW w:w="606" w:type="pct"/>
                  <w:vMerge w:val="continue"/>
                  <w:tcBorders>
                    <w:tl2br w:val="nil"/>
                    <w:tr2bl w:val="nil"/>
                  </w:tcBorders>
                  <w:noWrap w:val="0"/>
                  <w:vAlign w:val="center"/>
                </w:tcPr>
                <w:p>
                  <w:pPr>
                    <w:pStyle w:val="39"/>
                    <w:autoSpaceDE/>
                    <w:autoSpaceDN/>
                    <w:snapToGrid w:val="0"/>
                    <w:jc w:val="center"/>
                    <w:rPr>
                      <w:rFonts w:hint="eastAsia"/>
                      <w:sz w:val="21"/>
                      <w:szCs w:val="21"/>
                    </w:rPr>
                  </w:pPr>
                </w:p>
              </w:tc>
              <w:tc>
                <w:tcPr>
                  <w:tcW w:w="800" w:type="pct"/>
                  <w:tcBorders>
                    <w:tl2br w:val="nil"/>
                    <w:tr2bl w:val="nil"/>
                  </w:tcBorders>
                  <w:noWrap w:val="0"/>
                  <w:vAlign w:val="center"/>
                </w:tcPr>
                <w:p>
                  <w:pPr>
                    <w:pStyle w:val="39"/>
                    <w:autoSpaceDE/>
                    <w:autoSpaceDN/>
                    <w:snapToGrid w:val="0"/>
                    <w:jc w:val="center"/>
                    <w:rPr>
                      <w:rFonts w:hint="eastAsia" w:eastAsia="宋体"/>
                      <w:sz w:val="21"/>
                      <w:szCs w:val="21"/>
                      <w:lang w:eastAsia="zh-CN"/>
                    </w:rPr>
                  </w:pPr>
                  <w:r>
                    <w:rPr>
                      <w:rFonts w:hint="eastAsia"/>
                      <w:sz w:val="21"/>
                      <w:szCs w:val="21"/>
                      <w:lang w:eastAsia="zh-CN"/>
                    </w:rPr>
                    <w:t>/</w:t>
                  </w:r>
                </w:p>
              </w:tc>
              <w:tc>
                <w:tcPr>
                  <w:tcW w:w="542" w:type="pct"/>
                  <w:tcBorders>
                    <w:tl2br w:val="nil"/>
                    <w:tr2bl w:val="nil"/>
                  </w:tcBorders>
                  <w:noWrap w:val="0"/>
                  <w:vAlign w:val="center"/>
                </w:tcPr>
                <w:p>
                  <w:pPr>
                    <w:adjustRightInd w:val="0"/>
                    <w:snapToGrid w:val="0"/>
                    <w:jc w:val="center"/>
                    <w:rPr>
                      <w:rFonts w:hint="default"/>
                      <w:bCs/>
                      <w:sz w:val="21"/>
                      <w:szCs w:val="21"/>
                      <w:lang w:val="en-US" w:eastAsia="zh-CN"/>
                    </w:rPr>
                  </w:pPr>
                  <w:r>
                    <w:rPr>
                      <w:rFonts w:hint="eastAsia"/>
                      <w:bCs/>
                      <w:sz w:val="21"/>
                      <w:szCs w:val="21"/>
                      <w:lang w:val="en-US" w:eastAsia="zh-CN"/>
                    </w:rPr>
                    <w:t>5.0</w:t>
                  </w:r>
                </w:p>
              </w:tc>
              <w:tc>
                <w:tcPr>
                  <w:tcW w:w="1073" w:type="pct"/>
                  <w:vMerge w:val="continue"/>
                  <w:tcBorders>
                    <w:tl2br w:val="nil"/>
                    <w:tr2bl w:val="nil"/>
                  </w:tcBorders>
                  <w:noWrap w:val="0"/>
                  <w:vAlign w:val="center"/>
                </w:tcPr>
                <w:p>
                  <w:pPr>
                    <w:adjustRightInd w:val="0"/>
                    <w:snapToGri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885" w:type="pct"/>
                  <w:tcBorders>
                    <w:tl2br w:val="nil"/>
                    <w:tr2bl w:val="nil"/>
                  </w:tcBorders>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废反渗透膜</w:t>
                  </w:r>
                </w:p>
              </w:tc>
              <w:tc>
                <w:tcPr>
                  <w:tcW w:w="809" w:type="pct"/>
                  <w:tcBorders>
                    <w:tl2br w:val="nil"/>
                    <w:tr2bl w:val="nil"/>
                  </w:tcBorders>
                  <w:noWrap w:val="0"/>
                  <w:vAlign w:val="center"/>
                </w:tcPr>
                <w:p>
                  <w:pPr>
                    <w:widowControl w:val="0"/>
                    <w:adjustRightInd w:val="0"/>
                    <w:snapToGrid w:val="0"/>
                    <w:jc w:val="center"/>
                    <w:rPr>
                      <w:rFonts w:hint="eastAsia" w:ascii="Times New Roman" w:hAnsi="Times New Roman"/>
                      <w:bCs/>
                      <w:sz w:val="21"/>
                      <w:szCs w:val="21"/>
                      <w:lang w:val="en-US" w:eastAsia="zh-CN"/>
                    </w:rPr>
                  </w:pPr>
                  <w:r>
                    <w:rPr>
                      <w:rFonts w:hint="eastAsia" w:ascii="Times New Roman" w:hAnsi="Times New Roman"/>
                      <w:bCs/>
                      <w:sz w:val="21"/>
                      <w:szCs w:val="21"/>
                      <w:lang w:val="en-US" w:eastAsia="zh-CN"/>
                    </w:rPr>
                    <w:t>水</w:t>
                  </w:r>
                  <w:r>
                    <w:rPr>
                      <w:rFonts w:hint="eastAsia" w:ascii="Times New Roman" w:hAnsi="Times New Roman"/>
                      <w:bCs/>
                      <w:sz w:val="21"/>
                      <w:szCs w:val="21"/>
                    </w:rPr>
                    <w:t>处理</w:t>
                  </w:r>
                </w:p>
              </w:tc>
              <w:tc>
                <w:tcPr>
                  <w:tcW w:w="606" w:type="pct"/>
                  <w:vMerge w:val="continue"/>
                  <w:tcBorders>
                    <w:tl2br w:val="nil"/>
                    <w:tr2bl w:val="nil"/>
                  </w:tcBorders>
                  <w:noWrap w:val="0"/>
                  <w:vAlign w:val="center"/>
                </w:tcPr>
                <w:p>
                  <w:pPr>
                    <w:pStyle w:val="39"/>
                    <w:autoSpaceDE/>
                    <w:autoSpaceDN/>
                    <w:snapToGrid w:val="0"/>
                    <w:jc w:val="center"/>
                    <w:rPr>
                      <w:rFonts w:hint="eastAsia"/>
                      <w:sz w:val="21"/>
                      <w:szCs w:val="21"/>
                    </w:rPr>
                  </w:pPr>
                </w:p>
              </w:tc>
              <w:tc>
                <w:tcPr>
                  <w:tcW w:w="800" w:type="pct"/>
                  <w:tcBorders>
                    <w:tl2br w:val="nil"/>
                    <w:tr2bl w:val="nil"/>
                  </w:tcBorders>
                  <w:noWrap w:val="0"/>
                  <w:vAlign w:val="center"/>
                </w:tcPr>
                <w:p>
                  <w:pPr>
                    <w:pStyle w:val="39"/>
                    <w:autoSpaceDE/>
                    <w:autoSpaceDN/>
                    <w:snapToGrid w:val="0"/>
                    <w:jc w:val="center"/>
                    <w:rPr>
                      <w:rFonts w:hint="eastAsia" w:eastAsia="宋体"/>
                      <w:sz w:val="21"/>
                      <w:szCs w:val="21"/>
                      <w:lang w:val="en-US" w:eastAsia="zh-CN"/>
                    </w:rPr>
                  </w:pPr>
                  <w:r>
                    <w:rPr>
                      <w:rFonts w:hint="eastAsia"/>
                      <w:sz w:val="21"/>
                      <w:szCs w:val="21"/>
                      <w:lang w:val="en-US" w:eastAsia="zh-CN"/>
                    </w:rPr>
                    <w:t>/</w:t>
                  </w:r>
                </w:p>
              </w:tc>
              <w:tc>
                <w:tcPr>
                  <w:tcW w:w="542" w:type="pct"/>
                  <w:tcBorders>
                    <w:tl2br w:val="nil"/>
                    <w:tr2bl w:val="nil"/>
                  </w:tcBorders>
                  <w:noWrap w:val="0"/>
                  <w:vAlign w:val="center"/>
                </w:tcPr>
                <w:p>
                  <w:pPr>
                    <w:adjustRightInd w:val="0"/>
                    <w:snapToGrid w:val="0"/>
                    <w:jc w:val="center"/>
                    <w:rPr>
                      <w:rFonts w:hint="default"/>
                      <w:bCs/>
                      <w:sz w:val="21"/>
                      <w:szCs w:val="21"/>
                      <w:lang w:val="en-US" w:eastAsia="zh-CN"/>
                    </w:rPr>
                  </w:pPr>
                  <w:r>
                    <w:rPr>
                      <w:rFonts w:hint="eastAsia"/>
                      <w:bCs/>
                      <w:sz w:val="21"/>
                      <w:szCs w:val="21"/>
                      <w:lang w:val="en-US" w:eastAsia="zh-CN"/>
                    </w:rPr>
                    <w:t>0.002</w:t>
                  </w:r>
                </w:p>
              </w:tc>
              <w:tc>
                <w:tcPr>
                  <w:tcW w:w="1073" w:type="pct"/>
                  <w:vMerge w:val="continue"/>
                  <w:tcBorders>
                    <w:tl2br w:val="nil"/>
                    <w:tr2bl w:val="nil"/>
                  </w:tcBorders>
                  <w:noWrap w:val="0"/>
                  <w:vAlign w:val="center"/>
                </w:tcPr>
                <w:p>
                  <w:pPr>
                    <w:adjustRightInd w:val="0"/>
                    <w:snapToGrid w:val="0"/>
                    <w:jc w:val="center"/>
                    <w:rPr>
                      <w:rFonts w:hint="eastAsia"/>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885" w:type="pct"/>
                  <w:tcBorders>
                    <w:tl2br w:val="nil"/>
                    <w:tr2bl w:val="nil"/>
                  </w:tcBorders>
                  <w:noWrap w:val="0"/>
                  <w:vAlign w:val="center"/>
                </w:tcPr>
                <w:p>
                  <w:pPr>
                    <w:adjustRightInd w:val="0"/>
                    <w:snapToGrid w:val="0"/>
                    <w:jc w:val="center"/>
                    <w:rPr>
                      <w:sz w:val="21"/>
                      <w:szCs w:val="21"/>
                    </w:rPr>
                  </w:pPr>
                  <w:r>
                    <w:rPr>
                      <w:rFonts w:hint="eastAsia"/>
                      <w:sz w:val="21"/>
                      <w:szCs w:val="21"/>
                      <w:lang w:val="en-US" w:eastAsia="zh-CN"/>
                    </w:rPr>
                    <w:t>餐厨</w:t>
                  </w:r>
                  <w:r>
                    <w:rPr>
                      <w:rFonts w:hint="eastAsia"/>
                      <w:sz w:val="21"/>
                      <w:szCs w:val="21"/>
                    </w:rPr>
                    <w:t>垃圾</w:t>
                  </w:r>
                </w:p>
              </w:tc>
              <w:tc>
                <w:tcPr>
                  <w:tcW w:w="809" w:type="pct"/>
                  <w:tcBorders>
                    <w:tl2br w:val="nil"/>
                    <w:tr2bl w:val="nil"/>
                  </w:tcBorders>
                  <w:noWrap w:val="0"/>
                  <w:vAlign w:val="center"/>
                </w:tcPr>
                <w:p>
                  <w:pPr>
                    <w:pStyle w:val="47"/>
                    <w:widowControl w:val="0"/>
                    <w:adjustRightInd w:val="0"/>
                    <w:snapToGrid w:val="0"/>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餐饮</w:t>
                  </w:r>
                </w:p>
              </w:tc>
              <w:tc>
                <w:tcPr>
                  <w:tcW w:w="606" w:type="pct"/>
                  <w:vMerge w:val="continue"/>
                  <w:tcBorders>
                    <w:tl2br w:val="nil"/>
                    <w:tr2bl w:val="nil"/>
                  </w:tcBorders>
                  <w:noWrap w:val="0"/>
                  <w:vAlign w:val="center"/>
                </w:tcPr>
                <w:p>
                  <w:pPr>
                    <w:pStyle w:val="39"/>
                    <w:autoSpaceDE/>
                    <w:autoSpaceDN/>
                    <w:snapToGrid w:val="0"/>
                    <w:jc w:val="center"/>
                    <w:rPr>
                      <w:rFonts w:hint="eastAsia"/>
                      <w:sz w:val="21"/>
                      <w:szCs w:val="21"/>
                    </w:rPr>
                  </w:pPr>
                </w:p>
              </w:tc>
              <w:tc>
                <w:tcPr>
                  <w:tcW w:w="800" w:type="pct"/>
                  <w:tcBorders>
                    <w:tl2br w:val="nil"/>
                    <w:tr2bl w:val="nil"/>
                  </w:tcBorders>
                  <w:noWrap w:val="0"/>
                  <w:vAlign w:val="center"/>
                </w:tcPr>
                <w:p>
                  <w:pPr>
                    <w:pStyle w:val="39"/>
                    <w:autoSpaceDE/>
                    <w:autoSpaceDN/>
                    <w:snapToGrid w:val="0"/>
                    <w:jc w:val="center"/>
                    <w:rPr>
                      <w:sz w:val="21"/>
                      <w:szCs w:val="21"/>
                    </w:rPr>
                  </w:pPr>
                  <w:r>
                    <w:rPr>
                      <w:rFonts w:hint="eastAsia"/>
                      <w:sz w:val="21"/>
                      <w:szCs w:val="21"/>
                    </w:rPr>
                    <w:t>/</w:t>
                  </w:r>
                </w:p>
              </w:tc>
              <w:tc>
                <w:tcPr>
                  <w:tcW w:w="542"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0.27</w:t>
                  </w:r>
                </w:p>
              </w:tc>
              <w:tc>
                <w:tcPr>
                  <w:tcW w:w="1073" w:type="pct"/>
                  <w:tcBorders>
                    <w:tl2br w:val="nil"/>
                    <w:tr2bl w:val="nil"/>
                  </w:tcBorders>
                  <w:noWrap w:val="0"/>
                  <w:vAlign w:val="center"/>
                </w:tcPr>
                <w:p>
                  <w:pPr>
                    <w:pStyle w:val="39"/>
                    <w:autoSpaceDE/>
                    <w:autoSpaceDN/>
                    <w:snapToGrid w:val="0"/>
                    <w:jc w:val="center"/>
                    <w:rPr>
                      <w:sz w:val="21"/>
                      <w:szCs w:val="21"/>
                    </w:rPr>
                  </w:pPr>
                  <w:r>
                    <w:rPr>
                      <w:rFonts w:hint="eastAsia"/>
                      <w:sz w:val="21"/>
                      <w:szCs w:val="21"/>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885" w:type="pct"/>
                  <w:tcBorders>
                    <w:tl2br w:val="nil"/>
                    <w:tr2bl w:val="nil"/>
                  </w:tcBorders>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化学品库废物</w:t>
                  </w:r>
                </w:p>
              </w:tc>
              <w:tc>
                <w:tcPr>
                  <w:tcW w:w="809" w:type="pct"/>
                  <w:tcBorders>
                    <w:tl2br w:val="nil"/>
                    <w:tr2bl w:val="nil"/>
                  </w:tcBorders>
                  <w:noWrap w:val="0"/>
                  <w:vAlign w:val="center"/>
                </w:tcPr>
                <w:p>
                  <w:pPr>
                    <w:pStyle w:val="47"/>
                    <w:widowControl w:val="0"/>
                    <w:adjustRightInd w:val="0"/>
                    <w:snapToGrid w:val="0"/>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设备清洗</w:t>
                  </w:r>
                </w:p>
              </w:tc>
              <w:tc>
                <w:tcPr>
                  <w:tcW w:w="606" w:type="pct"/>
                  <w:vMerge w:val="continue"/>
                  <w:tcBorders>
                    <w:tl2br w:val="nil"/>
                    <w:tr2bl w:val="nil"/>
                  </w:tcBorders>
                  <w:noWrap w:val="0"/>
                  <w:vAlign w:val="center"/>
                </w:tcPr>
                <w:p>
                  <w:pPr>
                    <w:pStyle w:val="39"/>
                    <w:autoSpaceDE/>
                    <w:autoSpaceDN/>
                    <w:snapToGrid w:val="0"/>
                    <w:jc w:val="center"/>
                    <w:rPr>
                      <w:rFonts w:hint="eastAsia"/>
                      <w:sz w:val="21"/>
                      <w:szCs w:val="21"/>
                    </w:rPr>
                  </w:pPr>
                </w:p>
              </w:tc>
              <w:tc>
                <w:tcPr>
                  <w:tcW w:w="800" w:type="pct"/>
                  <w:tcBorders>
                    <w:tl2br w:val="nil"/>
                    <w:tr2bl w:val="nil"/>
                  </w:tcBorders>
                  <w:noWrap w:val="0"/>
                  <w:vAlign w:val="center"/>
                </w:tcPr>
                <w:p>
                  <w:pPr>
                    <w:pStyle w:val="39"/>
                    <w:autoSpaceDE/>
                    <w:autoSpaceDN/>
                    <w:snapToGrid w:val="0"/>
                    <w:jc w:val="center"/>
                    <w:rPr>
                      <w:rFonts w:hint="eastAsia"/>
                      <w:sz w:val="21"/>
                      <w:szCs w:val="21"/>
                    </w:rPr>
                  </w:pPr>
                  <w:r>
                    <w:rPr>
                      <w:rFonts w:hint="eastAsia"/>
                      <w:sz w:val="21"/>
                      <w:szCs w:val="21"/>
                    </w:rPr>
                    <w:t>/</w:t>
                  </w:r>
                </w:p>
              </w:tc>
              <w:tc>
                <w:tcPr>
                  <w:tcW w:w="542"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4.7</w:t>
                  </w:r>
                </w:p>
              </w:tc>
              <w:tc>
                <w:tcPr>
                  <w:tcW w:w="1073" w:type="pct"/>
                  <w:tcBorders>
                    <w:tl2br w:val="nil"/>
                    <w:tr2bl w:val="nil"/>
                  </w:tcBorders>
                  <w:noWrap w:val="0"/>
                  <w:vAlign w:val="center"/>
                </w:tcPr>
                <w:p>
                  <w:pPr>
                    <w:adjustRightInd w:val="0"/>
                    <w:snapToGrid w:val="0"/>
                    <w:jc w:val="center"/>
                    <w:rPr>
                      <w:sz w:val="21"/>
                      <w:szCs w:val="21"/>
                    </w:rPr>
                  </w:pPr>
                  <w:r>
                    <w:rPr>
                      <w:rFonts w:hint="eastAsia"/>
                      <w:sz w:val="21"/>
                      <w:szCs w:val="21"/>
                    </w:rPr>
                    <w:t>暂存一般固废间，定期外售综合利用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885" w:type="pct"/>
                  <w:tcBorders>
                    <w:tl2br w:val="nil"/>
                    <w:tr2bl w:val="nil"/>
                  </w:tcBorders>
                  <w:noWrap w:val="0"/>
                  <w:vAlign w:val="center"/>
                </w:tcPr>
                <w:p>
                  <w:pPr>
                    <w:adjustRightInd w:val="0"/>
                    <w:snapToGrid w:val="0"/>
                    <w:jc w:val="center"/>
                    <w:rPr>
                      <w:sz w:val="21"/>
                      <w:szCs w:val="21"/>
                    </w:rPr>
                  </w:pPr>
                  <w:r>
                    <w:rPr>
                      <w:rFonts w:hint="eastAsia"/>
                      <w:sz w:val="21"/>
                      <w:szCs w:val="21"/>
                    </w:rPr>
                    <w:t>不合格品</w:t>
                  </w:r>
                </w:p>
              </w:tc>
              <w:tc>
                <w:tcPr>
                  <w:tcW w:w="809" w:type="pct"/>
                  <w:tcBorders>
                    <w:tl2br w:val="nil"/>
                    <w:tr2bl w:val="nil"/>
                  </w:tcBorders>
                  <w:noWrap w:val="0"/>
                  <w:vAlign w:val="center"/>
                </w:tcPr>
                <w:p>
                  <w:pPr>
                    <w:pStyle w:val="47"/>
                    <w:widowControl w:val="0"/>
                    <w:adjustRightInd w:val="0"/>
                    <w:snapToGrid w:val="0"/>
                    <w:rPr>
                      <w:rFonts w:ascii="Times New Roman" w:hAnsi="Times New Roman"/>
                      <w:sz w:val="21"/>
                      <w:szCs w:val="21"/>
                    </w:rPr>
                  </w:pPr>
                  <w:r>
                    <w:rPr>
                      <w:rFonts w:hint="eastAsia" w:ascii="Times New Roman" w:hAnsi="Times New Roman"/>
                      <w:sz w:val="21"/>
                      <w:szCs w:val="21"/>
                    </w:rPr>
                    <w:t>检测</w:t>
                  </w:r>
                </w:p>
              </w:tc>
              <w:tc>
                <w:tcPr>
                  <w:tcW w:w="606" w:type="pct"/>
                  <w:vMerge w:val="continue"/>
                  <w:tcBorders>
                    <w:tl2br w:val="nil"/>
                    <w:tr2bl w:val="nil"/>
                  </w:tcBorders>
                  <w:noWrap w:val="0"/>
                  <w:vAlign w:val="center"/>
                </w:tcPr>
                <w:p>
                  <w:pPr>
                    <w:pStyle w:val="39"/>
                    <w:autoSpaceDE/>
                    <w:autoSpaceDN/>
                    <w:snapToGrid w:val="0"/>
                    <w:jc w:val="center"/>
                    <w:rPr>
                      <w:rFonts w:hint="eastAsia"/>
                      <w:sz w:val="21"/>
                      <w:szCs w:val="21"/>
                    </w:rPr>
                  </w:pPr>
                </w:p>
              </w:tc>
              <w:tc>
                <w:tcPr>
                  <w:tcW w:w="800" w:type="pct"/>
                  <w:tcBorders>
                    <w:tl2br w:val="nil"/>
                    <w:tr2bl w:val="nil"/>
                  </w:tcBorders>
                  <w:noWrap w:val="0"/>
                  <w:vAlign w:val="center"/>
                </w:tcPr>
                <w:p>
                  <w:pPr>
                    <w:pStyle w:val="39"/>
                    <w:autoSpaceDE/>
                    <w:autoSpaceDN/>
                    <w:snapToGrid w:val="0"/>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292-006-06</w:t>
                  </w:r>
                </w:p>
              </w:tc>
              <w:tc>
                <w:tcPr>
                  <w:tcW w:w="542"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5.2</w:t>
                  </w:r>
                </w:p>
              </w:tc>
              <w:tc>
                <w:tcPr>
                  <w:tcW w:w="1073" w:type="pct"/>
                  <w:tcBorders>
                    <w:tl2br w:val="nil"/>
                    <w:tr2bl w:val="nil"/>
                  </w:tcBorders>
                  <w:noWrap w:val="0"/>
                  <w:vAlign w:val="center"/>
                </w:tcPr>
                <w:p>
                  <w:pPr>
                    <w:adjustRightInd w:val="0"/>
                    <w:snapToGrid w:val="0"/>
                    <w:jc w:val="center"/>
                    <w:rPr>
                      <w:sz w:val="21"/>
                      <w:szCs w:val="21"/>
                    </w:rPr>
                  </w:pPr>
                  <w:r>
                    <w:rPr>
                      <w:rFonts w:hint="eastAsia"/>
                      <w:sz w:val="21"/>
                      <w:szCs w:val="21"/>
                    </w:rPr>
                    <w:t>暂存一般固废间，定期外售综合利用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885" w:type="pct"/>
                  <w:tcBorders>
                    <w:tl2br w:val="nil"/>
                    <w:tr2bl w:val="nil"/>
                  </w:tcBorders>
                  <w:noWrap w:val="0"/>
                  <w:vAlign w:val="center"/>
                </w:tcPr>
                <w:p>
                  <w:pPr>
                    <w:adjustRightInd w:val="0"/>
                    <w:snapToGrid w:val="0"/>
                    <w:jc w:val="center"/>
                    <w:rPr>
                      <w:rFonts w:hint="eastAsia"/>
                      <w:sz w:val="21"/>
                      <w:szCs w:val="21"/>
                    </w:rPr>
                  </w:pPr>
                  <w:r>
                    <w:rPr>
                      <w:rFonts w:hint="eastAsia"/>
                      <w:sz w:val="21"/>
                      <w:szCs w:val="21"/>
                    </w:rPr>
                    <w:t>生活垃圾</w:t>
                  </w:r>
                </w:p>
              </w:tc>
              <w:tc>
                <w:tcPr>
                  <w:tcW w:w="809" w:type="pct"/>
                  <w:tcBorders>
                    <w:tl2br w:val="nil"/>
                    <w:tr2bl w:val="nil"/>
                  </w:tcBorders>
                  <w:noWrap w:val="0"/>
                  <w:vAlign w:val="center"/>
                </w:tcPr>
                <w:p>
                  <w:pPr>
                    <w:pStyle w:val="47"/>
                    <w:widowControl w:val="0"/>
                    <w:adjustRightInd w:val="0"/>
                    <w:snapToGrid w:val="0"/>
                    <w:rPr>
                      <w:rFonts w:hint="eastAsia" w:ascii="Times New Roman" w:hAnsi="Times New Roman"/>
                      <w:sz w:val="21"/>
                      <w:szCs w:val="21"/>
                    </w:rPr>
                  </w:pPr>
                  <w:r>
                    <w:rPr>
                      <w:rFonts w:hint="eastAsia" w:ascii="Times New Roman" w:hAnsi="Times New Roman"/>
                      <w:sz w:val="21"/>
                      <w:szCs w:val="21"/>
                    </w:rPr>
                    <w:t>员工</w:t>
                  </w:r>
                </w:p>
              </w:tc>
              <w:tc>
                <w:tcPr>
                  <w:tcW w:w="606" w:type="pct"/>
                  <w:vMerge w:val="continue"/>
                  <w:tcBorders>
                    <w:tl2br w:val="nil"/>
                    <w:tr2bl w:val="nil"/>
                  </w:tcBorders>
                  <w:noWrap w:val="0"/>
                  <w:vAlign w:val="center"/>
                </w:tcPr>
                <w:p>
                  <w:pPr>
                    <w:pStyle w:val="39"/>
                    <w:autoSpaceDE/>
                    <w:autoSpaceDN/>
                    <w:snapToGrid w:val="0"/>
                    <w:jc w:val="center"/>
                    <w:rPr>
                      <w:rFonts w:hint="eastAsia"/>
                      <w:sz w:val="21"/>
                      <w:szCs w:val="21"/>
                    </w:rPr>
                  </w:pPr>
                </w:p>
              </w:tc>
              <w:tc>
                <w:tcPr>
                  <w:tcW w:w="800" w:type="pct"/>
                  <w:tcBorders>
                    <w:tl2br w:val="nil"/>
                    <w:tr2bl w:val="nil"/>
                  </w:tcBorders>
                  <w:noWrap w:val="0"/>
                  <w:vAlign w:val="center"/>
                </w:tcPr>
                <w:p>
                  <w:pPr>
                    <w:pStyle w:val="39"/>
                    <w:autoSpaceDE/>
                    <w:autoSpaceDN/>
                    <w:snapToGrid w:val="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w:t>
                  </w:r>
                </w:p>
              </w:tc>
              <w:tc>
                <w:tcPr>
                  <w:tcW w:w="542"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1.35</w:t>
                  </w:r>
                </w:p>
              </w:tc>
              <w:tc>
                <w:tcPr>
                  <w:tcW w:w="1073" w:type="pct"/>
                  <w:tcBorders>
                    <w:tl2br w:val="nil"/>
                    <w:tr2bl w:val="nil"/>
                  </w:tcBorders>
                  <w:noWrap w:val="0"/>
                  <w:vAlign w:val="center"/>
                </w:tcPr>
                <w:p>
                  <w:pPr>
                    <w:pStyle w:val="39"/>
                    <w:autoSpaceDE/>
                    <w:autoSpaceDN/>
                    <w:snapToGrid w:val="0"/>
                    <w:jc w:val="center"/>
                    <w:rPr>
                      <w:sz w:val="21"/>
                      <w:szCs w:val="21"/>
                    </w:rPr>
                  </w:pPr>
                  <w:r>
                    <w:rPr>
                      <w:rFonts w:hint="eastAsia"/>
                      <w:sz w:val="21"/>
                      <w:szCs w:val="21"/>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w:t>
                  </w:r>
                </w:p>
              </w:tc>
              <w:tc>
                <w:tcPr>
                  <w:tcW w:w="885" w:type="pct"/>
                  <w:tcBorders>
                    <w:tl2br w:val="nil"/>
                    <w:tr2bl w:val="nil"/>
                  </w:tcBorders>
                  <w:noWrap w:val="0"/>
                  <w:vAlign w:val="center"/>
                </w:tcPr>
                <w:p>
                  <w:pPr>
                    <w:adjustRightInd w:val="0"/>
                    <w:snapToGrid w:val="0"/>
                    <w:jc w:val="center"/>
                    <w:rPr>
                      <w:rFonts w:hint="eastAsia" w:eastAsia="宋体"/>
                      <w:sz w:val="21"/>
                      <w:szCs w:val="21"/>
                      <w:lang w:val="en-US" w:eastAsia="zh-CN"/>
                    </w:rPr>
                  </w:pPr>
                  <w:r>
                    <w:rPr>
                      <w:rFonts w:hint="eastAsia"/>
                      <w:sz w:val="21"/>
                      <w:szCs w:val="21"/>
                    </w:rPr>
                    <w:t>废</w:t>
                  </w:r>
                  <w:r>
                    <w:rPr>
                      <w:rFonts w:hint="eastAsia"/>
                      <w:sz w:val="21"/>
                      <w:szCs w:val="21"/>
                      <w:lang w:val="en-US" w:eastAsia="zh-CN"/>
                    </w:rPr>
                    <w:t>矿物油</w:t>
                  </w:r>
                </w:p>
              </w:tc>
              <w:tc>
                <w:tcPr>
                  <w:tcW w:w="809" w:type="pct"/>
                  <w:tcBorders>
                    <w:tl2br w:val="nil"/>
                    <w:tr2bl w:val="nil"/>
                  </w:tcBorders>
                  <w:noWrap w:val="0"/>
                  <w:vAlign w:val="center"/>
                </w:tcPr>
                <w:p>
                  <w:pPr>
                    <w:adjustRightInd w:val="0"/>
                    <w:snapToGrid w:val="0"/>
                    <w:jc w:val="center"/>
                    <w:rPr>
                      <w:rFonts w:hint="eastAsia"/>
                      <w:sz w:val="21"/>
                      <w:szCs w:val="21"/>
                    </w:rPr>
                  </w:pPr>
                  <w:r>
                    <w:rPr>
                      <w:rFonts w:hint="eastAsia"/>
                      <w:sz w:val="21"/>
                      <w:szCs w:val="21"/>
                    </w:rPr>
                    <w:t>设备运行</w:t>
                  </w:r>
                </w:p>
                <w:p>
                  <w:pPr>
                    <w:adjustRightInd w:val="0"/>
                    <w:snapToGrid w:val="0"/>
                    <w:jc w:val="center"/>
                    <w:rPr>
                      <w:sz w:val="21"/>
                      <w:szCs w:val="21"/>
                    </w:rPr>
                  </w:pPr>
                  <w:r>
                    <w:rPr>
                      <w:rFonts w:hint="eastAsia"/>
                      <w:sz w:val="21"/>
                      <w:szCs w:val="21"/>
                    </w:rPr>
                    <w:t>保养</w:t>
                  </w:r>
                </w:p>
              </w:tc>
              <w:tc>
                <w:tcPr>
                  <w:tcW w:w="606" w:type="pct"/>
                  <w:vMerge w:val="restart"/>
                  <w:tcBorders>
                    <w:tl2br w:val="nil"/>
                    <w:tr2bl w:val="nil"/>
                  </w:tcBorders>
                  <w:noWrap w:val="0"/>
                  <w:vAlign w:val="center"/>
                </w:tcPr>
                <w:p>
                  <w:pPr>
                    <w:pStyle w:val="39"/>
                    <w:autoSpaceDE/>
                    <w:autoSpaceDN/>
                    <w:snapToGrid w:val="0"/>
                    <w:jc w:val="center"/>
                    <w:rPr>
                      <w:sz w:val="21"/>
                      <w:szCs w:val="21"/>
                    </w:rPr>
                  </w:pPr>
                  <w:r>
                    <w:rPr>
                      <w:rFonts w:hint="eastAsia"/>
                      <w:sz w:val="21"/>
                      <w:szCs w:val="21"/>
                    </w:rPr>
                    <w:t>危废</w:t>
                  </w:r>
                </w:p>
              </w:tc>
              <w:tc>
                <w:tcPr>
                  <w:tcW w:w="800" w:type="pct"/>
                  <w:tcBorders>
                    <w:tl2br w:val="nil"/>
                    <w:tr2bl w:val="nil"/>
                  </w:tcBorders>
                  <w:noWrap w:val="0"/>
                  <w:vAlign w:val="center"/>
                </w:tcPr>
                <w:p>
                  <w:pPr>
                    <w:pStyle w:val="39"/>
                    <w:autoSpaceDE/>
                    <w:autoSpaceDN/>
                    <w:snapToGrid w:val="0"/>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900-219-08</w:t>
                  </w:r>
                </w:p>
              </w:tc>
              <w:tc>
                <w:tcPr>
                  <w:tcW w:w="542"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1.0</w:t>
                  </w:r>
                </w:p>
              </w:tc>
              <w:tc>
                <w:tcPr>
                  <w:tcW w:w="1073" w:type="pct"/>
                  <w:vMerge w:val="restart"/>
                  <w:tcBorders>
                    <w:tl2br w:val="nil"/>
                    <w:tr2bl w:val="nil"/>
                  </w:tcBorders>
                  <w:noWrap w:val="0"/>
                  <w:vAlign w:val="center"/>
                </w:tcPr>
                <w:p>
                  <w:pPr>
                    <w:adjustRightInd w:val="0"/>
                    <w:snapToGrid w:val="0"/>
                    <w:jc w:val="center"/>
                    <w:rPr>
                      <w:rFonts w:hint="eastAsia"/>
                      <w:sz w:val="21"/>
                      <w:szCs w:val="21"/>
                    </w:rPr>
                  </w:pPr>
                  <w:r>
                    <w:rPr>
                      <w:rFonts w:hint="eastAsia"/>
                      <w:sz w:val="21"/>
                      <w:szCs w:val="21"/>
                      <w:lang w:val="en-US" w:eastAsia="zh-CN"/>
                    </w:rPr>
                    <w:t>暂存危废间，</w:t>
                  </w:r>
                  <w:r>
                    <w:rPr>
                      <w:rFonts w:hint="eastAsia"/>
                      <w:sz w:val="21"/>
                      <w:szCs w:val="21"/>
                    </w:rPr>
                    <w:t>委托</w:t>
                  </w:r>
                  <w:r>
                    <w:rPr>
                      <w:rFonts w:hint="eastAsia"/>
                      <w:sz w:val="21"/>
                      <w:szCs w:val="21"/>
                      <w:lang w:val="en-US" w:eastAsia="zh-CN"/>
                    </w:rPr>
                    <w:t>有</w:t>
                  </w:r>
                  <w:r>
                    <w:rPr>
                      <w:rFonts w:hint="eastAsia"/>
                      <w:sz w:val="21"/>
                      <w:szCs w:val="21"/>
                    </w:rPr>
                    <w:t>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2" w:type="pct"/>
                  <w:tcBorders>
                    <w:tl2br w:val="nil"/>
                    <w:tr2bl w:val="nil"/>
                  </w:tcBorders>
                  <w:noWrap w:val="0"/>
                  <w:vAlign w:val="center"/>
                </w:tcPr>
                <w:p>
                  <w:pPr>
                    <w:pStyle w:val="39"/>
                    <w:autoSpaceDE/>
                    <w:autoSpaceDN/>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85" w:type="pct"/>
                  <w:tcBorders>
                    <w:tl2br w:val="nil"/>
                    <w:tr2bl w:val="nil"/>
                  </w:tcBorders>
                  <w:noWrap w:val="0"/>
                  <w:vAlign w:val="center"/>
                </w:tcPr>
                <w:p>
                  <w:pPr>
                    <w:adjustRightInd w:val="0"/>
                    <w:snapToGrid w:val="0"/>
                    <w:jc w:val="center"/>
                    <w:rPr>
                      <w:rFonts w:hint="default"/>
                      <w:sz w:val="21"/>
                      <w:szCs w:val="21"/>
                      <w:lang w:val="en-US"/>
                    </w:rPr>
                  </w:pPr>
                  <w:r>
                    <w:rPr>
                      <w:rFonts w:hint="eastAsia"/>
                      <w:sz w:val="21"/>
                      <w:szCs w:val="21"/>
                    </w:rPr>
                    <w:t>废</w:t>
                  </w:r>
                  <w:r>
                    <w:rPr>
                      <w:rFonts w:hint="eastAsia"/>
                      <w:sz w:val="21"/>
                      <w:szCs w:val="21"/>
                      <w:lang w:val="en-US" w:eastAsia="zh-CN"/>
                    </w:rPr>
                    <w:t>矿物油桶</w:t>
                  </w:r>
                </w:p>
              </w:tc>
              <w:tc>
                <w:tcPr>
                  <w:tcW w:w="809" w:type="pct"/>
                  <w:tcBorders>
                    <w:tl2br w:val="nil"/>
                    <w:tr2bl w:val="nil"/>
                  </w:tcBorders>
                  <w:noWrap w:val="0"/>
                  <w:vAlign w:val="center"/>
                </w:tcPr>
                <w:p>
                  <w:pPr>
                    <w:adjustRightInd w:val="0"/>
                    <w:snapToGrid w:val="0"/>
                    <w:jc w:val="center"/>
                    <w:rPr>
                      <w:rFonts w:hint="eastAsia"/>
                      <w:sz w:val="21"/>
                      <w:szCs w:val="21"/>
                    </w:rPr>
                  </w:pPr>
                  <w:r>
                    <w:rPr>
                      <w:rFonts w:hint="eastAsia"/>
                      <w:sz w:val="21"/>
                      <w:szCs w:val="21"/>
                    </w:rPr>
                    <w:t>设备运行</w:t>
                  </w:r>
                </w:p>
                <w:p>
                  <w:pPr>
                    <w:adjustRightInd w:val="0"/>
                    <w:snapToGrid w:val="0"/>
                    <w:jc w:val="center"/>
                    <w:rPr>
                      <w:rFonts w:hint="eastAsia"/>
                      <w:sz w:val="21"/>
                      <w:szCs w:val="21"/>
                    </w:rPr>
                  </w:pPr>
                  <w:r>
                    <w:rPr>
                      <w:rFonts w:hint="eastAsia"/>
                      <w:sz w:val="21"/>
                      <w:szCs w:val="21"/>
                    </w:rPr>
                    <w:t>保养</w:t>
                  </w:r>
                </w:p>
              </w:tc>
              <w:tc>
                <w:tcPr>
                  <w:tcW w:w="606" w:type="pct"/>
                  <w:vMerge w:val="continue"/>
                  <w:tcBorders>
                    <w:tl2br w:val="nil"/>
                    <w:tr2bl w:val="nil"/>
                  </w:tcBorders>
                  <w:noWrap w:val="0"/>
                  <w:vAlign w:val="center"/>
                </w:tcPr>
                <w:p>
                  <w:pPr>
                    <w:pStyle w:val="39"/>
                    <w:autoSpaceDE/>
                    <w:autoSpaceDN/>
                    <w:snapToGrid w:val="0"/>
                    <w:jc w:val="center"/>
                    <w:rPr>
                      <w:rFonts w:hint="eastAsia"/>
                      <w:sz w:val="21"/>
                      <w:szCs w:val="21"/>
                    </w:rPr>
                  </w:pPr>
                </w:p>
              </w:tc>
              <w:tc>
                <w:tcPr>
                  <w:tcW w:w="800" w:type="pct"/>
                  <w:tcBorders>
                    <w:tl2br w:val="nil"/>
                    <w:tr2bl w:val="nil"/>
                  </w:tcBorders>
                  <w:noWrap w:val="0"/>
                  <w:vAlign w:val="center"/>
                </w:tcPr>
                <w:p>
                  <w:pPr>
                    <w:pStyle w:val="39"/>
                    <w:autoSpaceDE/>
                    <w:autoSpaceDN/>
                    <w:snapToGrid w:val="0"/>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900-041-49</w:t>
                  </w:r>
                </w:p>
              </w:tc>
              <w:tc>
                <w:tcPr>
                  <w:tcW w:w="542" w:type="pct"/>
                  <w:tcBorders>
                    <w:tl2br w:val="nil"/>
                    <w:tr2bl w:val="nil"/>
                  </w:tcBorders>
                  <w:noWrap w:val="0"/>
                  <w:vAlign w:val="center"/>
                </w:tcPr>
                <w:p>
                  <w:pPr>
                    <w:adjustRightInd w:val="0"/>
                    <w:snapToGrid w:val="0"/>
                    <w:jc w:val="center"/>
                    <w:rPr>
                      <w:rFonts w:hint="default" w:eastAsia="宋体"/>
                      <w:bCs/>
                      <w:sz w:val="21"/>
                      <w:szCs w:val="21"/>
                      <w:lang w:val="en-US" w:eastAsia="zh-CN"/>
                    </w:rPr>
                  </w:pPr>
                  <w:r>
                    <w:rPr>
                      <w:rFonts w:hint="eastAsia"/>
                      <w:bCs/>
                      <w:sz w:val="21"/>
                      <w:szCs w:val="21"/>
                      <w:lang w:val="en-US" w:eastAsia="zh-CN"/>
                    </w:rPr>
                    <w:t>0.2</w:t>
                  </w:r>
                </w:p>
              </w:tc>
              <w:tc>
                <w:tcPr>
                  <w:tcW w:w="1073" w:type="pct"/>
                  <w:vMerge w:val="continue"/>
                  <w:tcBorders>
                    <w:tl2br w:val="nil"/>
                    <w:tr2bl w:val="nil"/>
                  </w:tcBorders>
                  <w:noWrap w:val="0"/>
                  <w:vAlign w:val="center"/>
                </w:tcPr>
                <w:p>
                  <w:pPr>
                    <w:pStyle w:val="39"/>
                    <w:autoSpaceDE/>
                    <w:autoSpaceDN/>
                    <w:snapToGrid w:val="0"/>
                    <w:jc w:val="center"/>
                    <w:rPr>
                      <w:rFonts w:hint="eastAsia"/>
                      <w:sz w:val="21"/>
                      <w:szCs w:val="21"/>
                    </w:rPr>
                  </w:pPr>
                </w:p>
              </w:tc>
            </w:tr>
          </w:tbl>
          <w:p>
            <w:pPr>
              <w:adjustRightInd w:val="0"/>
              <w:snapToGrid w:val="0"/>
              <w:spacing w:before="120" w:beforeLines="50" w:line="360" w:lineRule="auto"/>
              <w:ind w:firstLine="480" w:firstLineChars="200"/>
            </w:pPr>
            <w:r>
              <w:t>采取以上措施后，本项目产生的各种固体废物均得到了有效处理，不会造成二次污染，从环保角度考虑，固体废物防治措施可行，不会对周围的环境产生影响</w:t>
            </w:r>
            <w:r>
              <w:rPr>
                <w:rFonts w:hint="eastAsia"/>
              </w:rPr>
              <w:t>。</w:t>
            </w:r>
          </w:p>
          <w:p>
            <w:pPr>
              <w:adjustRightInd w:val="0"/>
              <w:snapToGrid w:val="0"/>
              <w:spacing w:line="360" w:lineRule="auto"/>
              <w:ind w:firstLine="480" w:firstLineChars="200"/>
            </w:pPr>
            <w:r>
              <w:rPr>
                <w:rFonts w:hint="eastAsia"/>
              </w:rPr>
              <w:t>4.4固体废物污染防治措施及达标分析</w:t>
            </w:r>
          </w:p>
          <w:p>
            <w:pPr>
              <w:adjustRightInd w:val="0"/>
              <w:snapToGrid w:val="0"/>
              <w:spacing w:line="360" w:lineRule="auto"/>
              <w:ind w:firstLine="480" w:firstLineChars="200"/>
            </w:pPr>
            <w:r>
              <w:rPr>
                <w:rFonts w:hint="eastAsia"/>
              </w:rPr>
              <w:t>（1）一般固废要求</w:t>
            </w:r>
          </w:p>
          <w:p>
            <w:pPr>
              <w:adjustRightInd w:val="0"/>
              <w:snapToGrid w:val="0"/>
              <w:spacing w:line="360" w:lineRule="auto"/>
              <w:ind w:firstLine="480" w:firstLineChars="200"/>
              <w:rPr>
                <w:rFonts w:hint="eastAsia"/>
              </w:rPr>
            </w:pPr>
            <w:r>
              <w:rPr>
                <w:rFonts w:hint="eastAsia"/>
              </w:rPr>
              <w:t>一般工业固废的暂存场所应按照《一般工业固体废物贮存、处置场污染控制标准》 (GB18599-2020) 要求建设。</w:t>
            </w:r>
          </w:p>
          <w:p>
            <w:pPr>
              <w:adjustRightInd w:val="0"/>
              <w:snapToGrid w:val="0"/>
              <w:spacing w:line="360" w:lineRule="auto"/>
              <w:ind w:firstLine="480" w:firstLineChars="200"/>
              <w:rPr>
                <w:rFonts w:hint="eastAsia"/>
              </w:rPr>
            </w:pPr>
            <w:r>
              <w:rPr>
                <w:rFonts w:hint="eastAsia"/>
              </w:rPr>
              <w:t>①贮存、处置场的建设类型，必须与将要堆放的一般工业固体废物的类别相一致；</w:t>
            </w:r>
          </w:p>
          <w:p>
            <w:pPr>
              <w:adjustRightInd w:val="0"/>
              <w:snapToGrid w:val="0"/>
              <w:spacing w:line="360" w:lineRule="auto"/>
              <w:ind w:firstLine="480" w:firstLineChars="200"/>
              <w:rPr>
                <w:rFonts w:hint="eastAsia"/>
              </w:rPr>
            </w:pPr>
            <w:r>
              <w:rPr>
                <w:rFonts w:hint="eastAsia"/>
              </w:rPr>
              <w:t>②贮存、处置场应采取防止粉尘污染的措施；</w:t>
            </w:r>
          </w:p>
          <w:p>
            <w:pPr>
              <w:adjustRightInd w:val="0"/>
              <w:snapToGrid w:val="0"/>
              <w:spacing w:line="360" w:lineRule="auto"/>
              <w:ind w:firstLine="480" w:firstLineChars="200"/>
              <w:rPr>
                <w:rFonts w:hint="eastAsia"/>
              </w:rPr>
            </w:pPr>
            <w:r>
              <w:rPr>
                <w:rFonts w:hint="eastAsia"/>
              </w:rPr>
              <w:t>③为加强监督管理，贮存、处置场应按GB15562.2设置环境保护图形标志；</w:t>
            </w:r>
          </w:p>
          <w:p>
            <w:pPr>
              <w:adjustRightInd w:val="0"/>
              <w:snapToGrid w:val="0"/>
              <w:spacing w:line="360" w:lineRule="auto"/>
              <w:ind w:firstLine="480" w:firstLineChars="200"/>
              <w:rPr>
                <w:rFonts w:hint="eastAsia"/>
              </w:rPr>
            </w:pPr>
            <w:r>
              <w:rPr>
                <w:rFonts w:hint="eastAsia"/>
              </w:rPr>
              <w:t>④一般工业固体废物贮存、处置场禁止危险废物和生活垃圾混入；</w:t>
            </w:r>
          </w:p>
          <w:p>
            <w:pPr>
              <w:adjustRightInd w:val="0"/>
              <w:snapToGrid w:val="0"/>
              <w:spacing w:line="360" w:lineRule="auto"/>
              <w:ind w:firstLine="480" w:firstLineChars="200"/>
              <w:rPr>
                <w:rFonts w:hint="eastAsia"/>
              </w:rPr>
            </w:pPr>
            <w:r>
              <w:rPr>
                <w:rFonts w:hint="eastAsia"/>
              </w:rPr>
              <w:t>⑤贮存、处置场的使用单位，应建立档案制度。应将入场的一般工业固体废物的种类和数量等资料详细记录在案，长期保存，供随时查阅。</w:t>
            </w:r>
          </w:p>
          <w:p>
            <w:pPr>
              <w:adjustRightInd w:val="0"/>
              <w:snapToGrid w:val="0"/>
              <w:spacing w:line="360" w:lineRule="auto"/>
              <w:ind w:firstLine="480" w:firstLineChars="200"/>
            </w:pPr>
            <w:r>
              <w:rPr>
                <w:rFonts w:hint="eastAsia"/>
              </w:rPr>
              <w:t>（2）危废要求</w:t>
            </w:r>
          </w:p>
          <w:p>
            <w:pPr>
              <w:adjustRightInd w:val="0"/>
              <w:snapToGrid w:val="0"/>
              <w:spacing w:line="360" w:lineRule="auto"/>
              <w:ind w:firstLine="472" w:firstLineChars="200"/>
              <w:rPr>
                <w:spacing w:val="-2"/>
              </w:rPr>
            </w:pPr>
            <w:r>
              <w:rPr>
                <w:rFonts w:hint="eastAsia"/>
                <w:spacing w:val="-2"/>
              </w:rPr>
              <w:t>危险废物设置应符合《危险废物贮存污染控制标准》（GB18597-2023）要求建设。</w:t>
            </w:r>
          </w:p>
          <w:p>
            <w:pPr>
              <w:adjustRightInd w:val="0"/>
              <w:snapToGrid w:val="0"/>
              <w:spacing w:line="360" w:lineRule="auto"/>
              <w:ind w:firstLine="472" w:firstLineChars="200"/>
              <w:rPr>
                <w:rFonts w:hAnsi="宋体"/>
              </w:rPr>
            </w:pPr>
            <w:r>
              <w:rPr>
                <w:rFonts w:hint="eastAsia"/>
                <w:spacing w:val="-2"/>
              </w:rPr>
              <w:t>①库房内部</w:t>
            </w:r>
            <w:r>
              <w:rPr>
                <w:rFonts w:hAnsi="宋体"/>
              </w:rPr>
              <w:t>应建有堵截泄漏的裙脚；地面与裙脚要用坚固防渗的材料建造；应有隔离设施、报警装置和防风、防晒、防雨设施；</w:t>
            </w:r>
          </w:p>
          <w:p>
            <w:pPr>
              <w:adjustRightInd w:val="0"/>
              <w:snapToGrid w:val="0"/>
              <w:spacing w:line="360" w:lineRule="auto"/>
              <w:ind w:firstLine="472" w:firstLineChars="200"/>
              <w:rPr>
                <w:rFonts w:hAnsi="宋体"/>
              </w:rPr>
            </w:pPr>
            <w:r>
              <w:rPr>
                <w:rFonts w:hint="eastAsia"/>
                <w:spacing w:val="-2"/>
              </w:rPr>
              <w:t>②地面防渗</w:t>
            </w:r>
            <w:r>
              <w:rPr>
                <w:rFonts w:hAnsi="宋体"/>
              </w:rPr>
              <w:t>参照《危险废物贮存污染控制标准》（</w:t>
            </w:r>
            <w:r>
              <w:t>GB18597-20</w:t>
            </w:r>
            <w:r>
              <w:rPr>
                <w:rFonts w:hint="eastAsia"/>
              </w:rPr>
              <w:t>23</w:t>
            </w:r>
            <w:r>
              <w:rPr>
                <w:rFonts w:hAnsi="宋体"/>
              </w:rPr>
              <w:t>）相关要求，基础防渗层为黏土层时，其厚度应达</w:t>
            </w:r>
            <w:r>
              <w:t>1m</w:t>
            </w:r>
            <w:r>
              <w:rPr>
                <w:rFonts w:hAnsi="宋体"/>
              </w:rPr>
              <w:t>以上，渗透系数应小于</w:t>
            </w:r>
            <w:r>
              <w:t>10</w:t>
            </w:r>
            <w:r>
              <w:rPr>
                <w:vertAlign w:val="superscript"/>
              </w:rPr>
              <w:t>-7</w:t>
            </w:r>
            <w:r>
              <w:t>cm/s</w:t>
            </w:r>
            <w:r>
              <w:rPr>
                <w:rFonts w:hAnsi="宋体"/>
              </w:rPr>
              <w:t>；基础防渗层亦可用厚度</w:t>
            </w:r>
            <w:r>
              <w:t>2mm</w:t>
            </w:r>
            <w:r>
              <w:rPr>
                <w:rFonts w:hAnsi="宋体"/>
              </w:rPr>
              <w:t>以上的高密度聚乙烯和其他人工防渗材料组成，渗透系数应小于</w:t>
            </w:r>
            <w:r>
              <w:t>10</w:t>
            </w:r>
            <w:r>
              <w:rPr>
                <w:vertAlign w:val="superscript"/>
              </w:rPr>
              <w:t>-1</w:t>
            </w:r>
            <w:r>
              <w:t>cm/s</w:t>
            </w:r>
            <w:r>
              <w:rPr>
                <w:rFonts w:hAnsi="宋体"/>
              </w:rPr>
              <w:t>；</w:t>
            </w:r>
          </w:p>
          <w:p>
            <w:pPr>
              <w:adjustRightInd w:val="0"/>
              <w:snapToGrid w:val="0"/>
              <w:spacing w:line="360" w:lineRule="auto"/>
              <w:ind w:firstLine="480" w:firstLineChars="200"/>
              <w:rPr>
                <w:rFonts w:hAnsi="宋体"/>
              </w:rPr>
            </w:pPr>
            <w:r>
              <w:rPr>
                <w:rFonts w:hint="eastAsia" w:hAnsi="宋体"/>
              </w:rPr>
              <w:t>③</w:t>
            </w:r>
            <w:r>
              <w:rPr>
                <w:rFonts w:hAnsi="宋体"/>
              </w:rPr>
              <w:t>暂存区外围周边贴挂明显的标示标牌，注明主要暂存危废的种类、数量、危废编号等信息；</w:t>
            </w:r>
          </w:p>
          <w:p>
            <w:pPr>
              <w:adjustRightInd w:val="0"/>
              <w:snapToGrid w:val="0"/>
              <w:spacing w:line="360" w:lineRule="auto"/>
              <w:ind w:firstLine="480" w:firstLineChars="200"/>
              <w:rPr>
                <w:spacing w:val="-2"/>
              </w:rPr>
            </w:pPr>
            <w:r>
              <w:rPr>
                <w:rFonts w:hint="eastAsia" w:hAnsi="宋体"/>
              </w:rPr>
              <w:t>④</w:t>
            </w:r>
            <w:r>
              <w:rPr>
                <w:rFonts w:hAnsi="宋体"/>
              </w:rPr>
              <w:t>合理选择危废包装物。危废贮存容器、材质满足相应的强度要求，日常确保完好无损；容器材质和衬里与危险废物相容；盛装液体废物的桶开孔直径应不超过</w:t>
            </w:r>
            <w:r>
              <w:t>70mm</w:t>
            </w:r>
            <w:r>
              <w:rPr>
                <w:rFonts w:hAnsi="宋体"/>
              </w:rPr>
              <w:t>，并有放气孔。</w:t>
            </w:r>
          </w:p>
          <w:p>
            <w:pPr>
              <w:adjustRightInd w:val="0"/>
              <w:snapToGrid w:val="0"/>
              <w:spacing w:line="360" w:lineRule="auto"/>
              <w:ind w:firstLine="480" w:firstLineChars="200"/>
              <w:rPr>
                <w:rFonts w:hint="eastAsia"/>
              </w:rPr>
            </w:pPr>
            <w:r>
              <w:rPr>
                <w:rFonts w:hint="eastAsia"/>
              </w:rPr>
              <w:t>（3）环境影响分析</w:t>
            </w:r>
          </w:p>
          <w:p>
            <w:pPr>
              <w:adjustRightInd w:val="0"/>
              <w:snapToGrid w:val="0"/>
              <w:spacing w:line="360" w:lineRule="auto"/>
              <w:ind w:firstLine="480" w:firstLineChars="200"/>
              <w:rPr>
                <w:rFonts w:hint="eastAsia"/>
              </w:rPr>
            </w:pPr>
            <w:r>
              <w:rPr>
                <w:rFonts w:hint="eastAsia"/>
              </w:rPr>
              <w:t>依据固体废物的种类、产生量及其管理的全过程可能造成环境影响进行分析：</w:t>
            </w:r>
          </w:p>
          <w:p>
            <w:pPr>
              <w:adjustRightInd w:val="0"/>
              <w:snapToGrid w:val="0"/>
              <w:spacing w:line="360" w:lineRule="auto"/>
              <w:ind w:firstLine="480" w:firstLineChars="200"/>
              <w:rPr>
                <w:rFonts w:hint="eastAsia"/>
              </w:rPr>
            </w:pPr>
            <w:r>
              <w:rPr>
                <w:rFonts w:hint="eastAsia"/>
              </w:rPr>
              <w:t>①固废分类收集与贮存，不混放，固废相互间不影响；</w:t>
            </w:r>
          </w:p>
          <w:p>
            <w:pPr>
              <w:adjustRightInd w:val="0"/>
              <w:snapToGrid w:val="0"/>
              <w:spacing w:line="360" w:lineRule="auto"/>
              <w:ind w:firstLine="480" w:firstLineChars="200"/>
              <w:rPr>
                <w:rFonts w:hint="eastAsia"/>
              </w:rPr>
            </w:pPr>
            <w:r>
              <w:rPr>
                <w:rFonts w:hint="eastAsia"/>
              </w:rPr>
              <w:t>②固废运输由专业的运输单位负责，在运输过程中采用封闭运输，运输过程中不易散落和泄漏的，对环境影响较小；</w:t>
            </w:r>
          </w:p>
          <w:p>
            <w:pPr>
              <w:adjustRightInd w:val="0"/>
              <w:snapToGrid w:val="0"/>
              <w:spacing w:line="360" w:lineRule="auto"/>
              <w:ind w:firstLine="480" w:firstLineChars="200"/>
              <w:rPr>
                <w:rFonts w:hint="eastAsia"/>
              </w:rPr>
            </w:pPr>
            <w:r>
              <w:rPr>
                <w:rFonts w:hint="eastAsia"/>
              </w:rPr>
              <w:t>③固废的贮存场所地面采用防渗地面，发生渗漏等事故可能性较小或甚微，对土壤、地下水产生的影响较小；</w:t>
            </w:r>
          </w:p>
          <w:p>
            <w:pPr>
              <w:adjustRightInd w:val="0"/>
              <w:snapToGrid w:val="0"/>
              <w:spacing w:line="360" w:lineRule="auto"/>
              <w:ind w:firstLine="480" w:firstLineChars="200"/>
              <w:rPr>
                <w:rFonts w:hint="eastAsia"/>
              </w:rPr>
            </w:pPr>
            <w:r>
              <w:rPr>
                <w:rFonts w:hint="eastAsia"/>
              </w:rPr>
              <w:t>④固废通过环卫清运、委托有资质单位处置方式处置或利用，均不在厂内自行建设施处理，对大气、水体、土壤环境基本不产生影响。</w:t>
            </w:r>
          </w:p>
          <w:p>
            <w:pPr>
              <w:adjustRightInd w:val="0"/>
              <w:snapToGrid w:val="0"/>
              <w:spacing w:line="360" w:lineRule="auto"/>
              <w:rPr>
                <w:b/>
                <w:bCs/>
              </w:rPr>
            </w:pPr>
            <w:r>
              <w:rPr>
                <w:rFonts w:hint="eastAsia"/>
                <w:b/>
                <w:bCs/>
              </w:rPr>
              <w:t>5.</w:t>
            </w:r>
            <w:r>
              <w:rPr>
                <w:b/>
                <w:bCs/>
              </w:rPr>
              <w:t>土壤、地下水</w:t>
            </w:r>
            <w:r>
              <w:rPr>
                <w:rFonts w:hint="eastAsia"/>
                <w:b/>
                <w:bCs/>
              </w:rPr>
              <w:t>污染影响及防治措施</w:t>
            </w:r>
          </w:p>
          <w:p>
            <w:pPr>
              <w:adjustRightInd w:val="0"/>
              <w:snapToGrid w:val="0"/>
              <w:spacing w:line="360" w:lineRule="auto"/>
              <w:ind w:firstLine="480" w:firstLineChars="200"/>
            </w:pPr>
            <w:r>
              <w:t>根据建设项目对地下水环境影响的程度，结合《建设项目环境影响评价分类管理名录》，本项目属于十、</w:t>
            </w:r>
            <w:r>
              <w:rPr>
                <w:rFonts w:hint="eastAsia"/>
                <w:lang w:val="en-US" w:eastAsia="zh-CN"/>
              </w:rPr>
              <w:t>酒、饮料和精制茶</w:t>
            </w:r>
            <w:r>
              <w:t>制造业1</w:t>
            </w:r>
            <w:r>
              <w:rPr>
                <w:rFonts w:hint="eastAsia"/>
                <w:lang w:val="en-US" w:eastAsia="zh-CN"/>
              </w:rPr>
              <w:t>5</w:t>
            </w:r>
            <w:r>
              <w:t>-2</w:t>
            </w:r>
            <w:r>
              <w:rPr>
                <w:rFonts w:hint="eastAsia"/>
                <w:lang w:val="en-US" w:eastAsia="zh-CN"/>
              </w:rPr>
              <w:t>2饮料制造</w:t>
            </w:r>
            <w:r>
              <w:t>1</w:t>
            </w:r>
            <w:r>
              <w:rPr>
                <w:rFonts w:hint="eastAsia"/>
                <w:lang w:val="en-US" w:eastAsia="zh-CN"/>
              </w:rPr>
              <w:t>52</w:t>
            </w:r>
            <w:r>
              <w:t>其他类别，</w:t>
            </w:r>
            <w:r>
              <w:rPr>
                <w:rFonts w:hint="eastAsia"/>
                <w:lang w:val="en-US" w:eastAsia="zh-CN"/>
              </w:rPr>
              <w:t>及二十四、橡胶和塑料制品业29-62塑料制品业292中的</w:t>
            </w:r>
            <w:r>
              <w:rPr>
                <w:rFonts w:hint="eastAsia"/>
                <w:spacing w:val="-2"/>
                <w:lang w:val="en-US" w:eastAsia="zh-CN"/>
              </w:rPr>
              <w:t>塑料包装箱及容器制造，</w:t>
            </w:r>
            <w:r>
              <w:t>根据《环境影响评价技术导则 地下水环境（HJ 610-2016）》，地下水环境影响评价项目类别为Ⅳ类。综上所述，本项目无需做地下水环境影响评价。</w:t>
            </w:r>
          </w:p>
          <w:p>
            <w:pPr>
              <w:adjustRightInd w:val="0"/>
              <w:snapToGrid w:val="0"/>
              <w:spacing w:line="360" w:lineRule="auto"/>
              <w:ind w:firstLine="480" w:firstLineChars="200"/>
            </w:pPr>
            <w:r>
              <w:t>根据《环境影响评价技术导则土壤环境（试行）（HJ 964-2018）》，本项目属于附录A中的</w:t>
            </w:r>
            <w:r>
              <w:rPr>
                <w:rFonts w:hint="eastAsia"/>
              </w:rPr>
              <w:t>“其他行业”</w:t>
            </w:r>
            <w:r>
              <w:t>中的</w:t>
            </w:r>
            <w:r>
              <w:rPr>
                <w:rFonts w:hint="eastAsia"/>
              </w:rPr>
              <w:t>“全部”</w:t>
            </w:r>
            <w:r>
              <w:t>类别，因此土壤评价类别为</w:t>
            </w:r>
            <w:r>
              <w:fldChar w:fldCharType="begin"/>
            </w:r>
            <w:r>
              <w:instrText xml:space="preserve"> = 4 \* ROMAN \* MERGEFORMAT </w:instrText>
            </w:r>
            <w:r>
              <w:fldChar w:fldCharType="separate"/>
            </w:r>
            <w:r>
              <w:t>IV</w:t>
            </w:r>
            <w:r>
              <w:fldChar w:fldCharType="end"/>
            </w:r>
            <w:r>
              <w:t>类，本项目无需开展土壤环境影响评价。</w:t>
            </w:r>
          </w:p>
          <w:p>
            <w:pPr>
              <w:adjustRightInd w:val="0"/>
              <w:snapToGrid w:val="0"/>
              <w:spacing w:line="360" w:lineRule="auto"/>
              <w:ind w:firstLine="480" w:firstLineChars="200"/>
            </w:pPr>
            <w:r>
              <w:t>根据本项目工程特点，土壤和地下水的污染源主要是</w:t>
            </w:r>
            <w:r>
              <w:rPr>
                <w:rFonts w:hint="eastAsia"/>
                <w:lang w:val="en-US" w:eastAsia="zh-CN"/>
              </w:rPr>
              <w:t>隔油池</w:t>
            </w:r>
            <w:r>
              <w:t>防渗措施不到位，从而导致有害物质渗透到土壤和地下水。为了有效防止上述事故的出现，本项目采取以下污染防治措施：</w:t>
            </w:r>
          </w:p>
          <w:p>
            <w:pPr>
              <w:adjustRightInd w:val="0"/>
              <w:snapToGrid w:val="0"/>
              <w:spacing w:line="360" w:lineRule="auto"/>
              <w:ind w:firstLine="480" w:firstLineChars="200"/>
            </w:pPr>
            <w:r>
              <w:rPr>
                <w:rFonts w:hint="eastAsia"/>
              </w:rPr>
              <w:t>①</w:t>
            </w:r>
            <w:r>
              <w:t>从源头上控制对地下水的污染，实施清洁生产和循环经济，减少污染物的排放量。从设计、管理各种工艺设备和物料运输管线上，防止和减少污染物的跑冒滴漏；合理布局，减少污染物泄漏途径。</w:t>
            </w:r>
          </w:p>
          <w:p>
            <w:pPr>
              <w:adjustRightInd w:val="0"/>
              <w:snapToGrid w:val="0"/>
              <w:spacing w:line="360" w:lineRule="auto"/>
              <w:ind w:firstLine="480" w:firstLineChars="200"/>
            </w:pPr>
            <w:r>
              <w:rPr>
                <w:rFonts w:hint="eastAsia"/>
              </w:rPr>
              <w:t>②</w:t>
            </w:r>
            <w:r>
              <w:t>各类固废在产生、收集和运输过程中应采取有效的措施防止固废散失，此外，严格实施雨污分流，确保废水不混入雨水，进而渗透进入地下水。</w:t>
            </w:r>
          </w:p>
          <w:p>
            <w:pPr>
              <w:adjustRightInd w:val="0"/>
              <w:snapToGrid w:val="0"/>
              <w:spacing w:line="360" w:lineRule="auto"/>
              <w:ind w:firstLine="480" w:firstLineChars="200"/>
            </w:pPr>
            <w:r>
              <w:t>根据防渗技术要求，将污染区分为一般防渗区和重点防渗区，防渗分区一览表见</w:t>
            </w:r>
            <w:r>
              <w:rPr>
                <w:rFonts w:hint="eastAsia"/>
              </w:rPr>
              <w:t>下表</w:t>
            </w:r>
            <w:r>
              <w:t>。</w:t>
            </w:r>
          </w:p>
          <w:p>
            <w:pPr>
              <w:adjustRightInd w:val="0"/>
              <w:snapToGrid w:val="0"/>
              <w:jc w:val="center"/>
              <w:rPr>
                <w:b/>
                <w:bCs/>
                <w:color w:val="000000"/>
              </w:rPr>
            </w:pPr>
            <w:r>
              <w:rPr>
                <w:b/>
                <w:bCs/>
              </w:rPr>
              <w:t>表4-</w:t>
            </w:r>
            <w:r>
              <w:rPr>
                <w:rFonts w:hint="eastAsia"/>
                <w:b/>
                <w:bCs/>
                <w:lang w:val="en-US" w:eastAsia="zh-CN"/>
              </w:rPr>
              <w:t>17</w:t>
            </w:r>
            <w:r>
              <w:rPr>
                <w:b/>
                <w:bCs/>
              </w:rPr>
              <w:t xml:space="preserve">  项目防渗分区一览表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52"/>
              <w:gridCol w:w="2824"/>
              <w:gridCol w:w="455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21" w:type="pct"/>
                  <w:gridSpan w:val="2"/>
                  <w:tcBorders>
                    <w:tl2br w:val="nil"/>
                    <w:tr2bl w:val="nil"/>
                  </w:tcBorders>
                  <w:noWrap w:val="0"/>
                  <w:vAlign w:val="center"/>
                </w:tcPr>
                <w:p>
                  <w:pPr>
                    <w:adjustRightInd w:val="0"/>
                    <w:snapToGrid w:val="0"/>
                    <w:jc w:val="center"/>
                    <w:rPr>
                      <w:b/>
                      <w:bCs/>
                      <w:color w:val="000000"/>
                      <w:sz w:val="21"/>
                      <w:szCs w:val="21"/>
                    </w:rPr>
                  </w:pPr>
                  <w:r>
                    <w:rPr>
                      <w:b/>
                      <w:bCs/>
                      <w:color w:val="000000"/>
                      <w:sz w:val="21"/>
                      <w:szCs w:val="21"/>
                    </w:rPr>
                    <w:t>防渗分区</w:t>
                  </w:r>
                </w:p>
              </w:tc>
              <w:tc>
                <w:tcPr>
                  <w:tcW w:w="2579" w:type="pct"/>
                  <w:tcBorders>
                    <w:tl2br w:val="nil"/>
                    <w:tr2bl w:val="nil"/>
                  </w:tcBorders>
                  <w:noWrap w:val="0"/>
                  <w:vAlign w:val="center"/>
                </w:tcPr>
                <w:p>
                  <w:pPr>
                    <w:adjustRightInd w:val="0"/>
                    <w:snapToGrid w:val="0"/>
                    <w:jc w:val="center"/>
                    <w:rPr>
                      <w:b/>
                      <w:bCs/>
                      <w:color w:val="000000"/>
                      <w:sz w:val="21"/>
                      <w:szCs w:val="21"/>
                    </w:rPr>
                  </w:pPr>
                  <w:r>
                    <w:rPr>
                      <w:b/>
                      <w:bCs/>
                      <w:color w:val="000000"/>
                      <w:sz w:val="21"/>
                      <w:szCs w:val="21"/>
                    </w:rPr>
                    <w:t>防渗技术要求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39" w:hRule="atLeast"/>
                <w:jc w:val="center"/>
              </w:trPr>
              <w:tc>
                <w:tcPr>
                  <w:tcW w:w="822" w:type="pct"/>
                  <w:tcBorders>
                    <w:tl2br w:val="nil"/>
                    <w:tr2bl w:val="nil"/>
                  </w:tcBorders>
                  <w:noWrap w:val="0"/>
                  <w:vAlign w:val="center"/>
                </w:tcPr>
                <w:p>
                  <w:pPr>
                    <w:adjustRightInd w:val="0"/>
                    <w:snapToGrid w:val="0"/>
                    <w:jc w:val="center"/>
                    <w:rPr>
                      <w:color w:val="000000"/>
                      <w:sz w:val="21"/>
                      <w:szCs w:val="21"/>
                    </w:rPr>
                  </w:pPr>
                  <w:r>
                    <w:rPr>
                      <w:color w:val="000000"/>
                      <w:sz w:val="21"/>
                      <w:szCs w:val="21"/>
                    </w:rPr>
                    <w:t>一般防渗区</w:t>
                  </w:r>
                </w:p>
              </w:tc>
              <w:tc>
                <w:tcPr>
                  <w:tcW w:w="1599" w:type="pct"/>
                  <w:tcBorders>
                    <w:tl2br w:val="nil"/>
                    <w:tr2bl w:val="nil"/>
                  </w:tcBorders>
                  <w:noWrap w:val="0"/>
                  <w:vAlign w:val="center"/>
                </w:tcPr>
                <w:p>
                  <w:pPr>
                    <w:adjustRightInd w:val="0"/>
                    <w:snapToGrid w:val="0"/>
                    <w:jc w:val="center"/>
                    <w:rPr>
                      <w:color w:val="000000"/>
                      <w:sz w:val="21"/>
                      <w:szCs w:val="21"/>
                    </w:rPr>
                  </w:pPr>
                  <w:r>
                    <w:rPr>
                      <w:color w:val="000000"/>
                      <w:sz w:val="21"/>
                      <w:szCs w:val="21"/>
                    </w:rPr>
                    <w:t>生产车间</w:t>
                  </w:r>
                  <w:r>
                    <w:rPr>
                      <w:rFonts w:hint="eastAsia"/>
                      <w:color w:val="000000"/>
                      <w:sz w:val="21"/>
                      <w:szCs w:val="21"/>
                    </w:rPr>
                    <w:t>、一般固废暂存间</w:t>
                  </w:r>
                </w:p>
              </w:tc>
              <w:tc>
                <w:tcPr>
                  <w:tcW w:w="2579" w:type="pct"/>
                  <w:tcBorders>
                    <w:tl2br w:val="nil"/>
                    <w:tr2bl w:val="nil"/>
                  </w:tcBorders>
                  <w:noWrap w:val="0"/>
                  <w:vAlign w:val="center"/>
                </w:tcPr>
                <w:p>
                  <w:pPr>
                    <w:adjustRightInd w:val="0"/>
                    <w:snapToGrid w:val="0"/>
                    <w:rPr>
                      <w:color w:val="000000"/>
                      <w:sz w:val="21"/>
                      <w:szCs w:val="21"/>
                    </w:rPr>
                  </w:pPr>
                  <w:r>
                    <w:rPr>
                      <w:rFonts w:hint="eastAsia"/>
                      <w:sz w:val="21"/>
                      <w:szCs w:val="21"/>
                    </w:rPr>
                    <w:t>参照</w:t>
                  </w:r>
                  <w:r>
                    <w:rPr>
                      <w:rFonts w:hAnsi="Calibri"/>
                      <w:sz w:val="21"/>
                      <w:szCs w:val="21"/>
                    </w:rPr>
                    <w:t>《</w:t>
                  </w:r>
                  <w:r>
                    <w:rPr>
                      <w:rFonts w:hint="eastAsia" w:hAnsi="Calibri"/>
                      <w:sz w:val="21"/>
                      <w:szCs w:val="21"/>
                    </w:rPr>
                    <w:t>环境</w:t>
                  </w:r>
                  <w:r>
                    <w:rPr>
                      <w:rFonts w:hAnsi="Calibri"/>
                      <w:sz w:val="21"/>
                      <w:szCs w:val="21"/>
                    </w:rPr>
                    <w:t>影响评价技术导则</w:t>
                  </w:r>
                  <w:r>
                    <w:rPr>
                      <w:rFonts w:hint="eastAsia" w:hAnsi="Calibri"/>
                      <w:sz w:val="21"/>
                      <w:szCs w:val="21"/>
                    </w:rPr>
                    <w:t xml:space="preserve"> 地下水环境</w:t>
                  </w:r>
                  <w:r>
                    <w:rPr>
                      <w:rFonts w:hAnsi="Calibri"/>
                      <w:sz w:val="21"/>
                      <w:szCs w:val="21"/>
                    </w:rPr>
                    <w:t>》（</w:t>
                  </w:r>
                  <w:r>
                    <w:rPr>
                      <w:rFonts w:hint="eastAsia"/>
                      <w:sz w:val="21"/>
                      <w:szCs w:val="21"/>
                    </w:rPr>
                    <w:t>HJ610 2016</w:t>
                  </w:r>
                  <w:r>
                    <w:rPr>
                      <w:rFonts w:hAnsi="Calibri"/>
                      <w:sz w:val="21"/>
                      <w:szCs w:val="21"/>
                    </w:rPr>
                    <w:t>）</w:t>
                  </w:r>
                  <w:r>
                    <w:rPr>
                      <w:rFonts w:hint="eastAsia"/>
                      <w:sz w:val="21"/>
                      <w:szCs w:val="21"/>
                    </w:rPr>
                    <w:t>执行，等效黏土防渗层 Mb≥1.5m，K≤1.0×</w:t>
                  </w:r>
                  <w:r>
                    <w:rPr>
                      <w:sz w:val="21"/>
                      <w:szCs w:val="21"/>
                    </w:rPr>
                    <w:t>10</w:t>
                  </w:r>
                  <w:r>
                    <w:rPr>
                      <w:sz w:val="21"/>
                      <w:szCs w:val="21"/>
                      <w:vertAlign w:val="superscript"/>
                    </w:rPr>
                    <w:t>-7</w:t>
                  </w:r>
                  <w:r>
                    <w:rPr>
                      <w:rFonts w:hint="eastAsia"/>
                      <w:sz w:val="21"/>
                      <w:szCs w:val="21"/>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22" w:type="pct"/>
                  <w:tcBorders>
                    <w:tl2br w:val="nil"/>
                    <w:tr2bl w:val="nil"/>
                  </w:tcBorders>
                  <w:noWrap w:val="0"/>
                  <w:vAlign w:val="center"/>
                </w:tcPr>
                <w:p>
                  <w:pPr>
                    <w:adjustRightInd w:val="0"/>
                    <w:snapToGrid w:val="0"/>
                    <w:jc w:val="center"/>
                    <w:rPr>
                      <w:color w:val="000000"/>
                      <w:sz w:val="21"/>
                      <w:szCs w:val="21"/>
                    </w:rPr>
                  </w:pPr>
                  <w:r>
                    <w:rPr>
                      <w:color w:val="000000"/>
                      <w:sz w:val="21"/>
                      <w:szCs w:val="21"/>
                    </w:rPr>
                    <w:t>重点防渗区</w:t>
                  </w:r>
                </w:p>
              </w:tc>
              <w:tc>
                <w:tcPr>
                  <w:tcW w:w="1599" w:type="pct"/>
                  <w:tcBorders>
                    <w:tl2br w:val="nil"/>
                    <w:tr2bl w:val="nil"/>
                  </w:tcBorders>
                  <w:noWrap w:val="0"/>
                  <w:vAlign w:val="center"/>
                </w:tcPr>
                <w:p>
                  <w:pPr>
                    <w:adjustRightInd w:val="0"/>
                    <w:snapToGrid w:val="0"/>
                    <w:jc w:val="center"/>
                    <w:rPr>
                      <w:color w:val="000000"/>
                      <w:sz w:val="21"/>
                      <w:szCs w:val="21"/>
                    </w:rPr>
                  </w:pPr>
                  <w:r>
                    <w:rPr>
                      <w:rFonts w:hint="eastAsia"/>
                      <w:color w:val="000000"/>
                      <w:sz w:val="21"/>
                      <w:szCs w:val="21"/>
                      <w:lang w:val="en-US" w:eastAsia="zh-CN"/>
                    </w:rPr>
                    <w:t>隔油池、</w:t>
                  </w:r>
                  <w:r>
                    <w:rPr>
                      <w:rFonts w:hint="eastAsia"/>
                      <w:color w:val="000000"/>
                      <w:sz w:val="21"/>
                      <w:szCs w:val="21"/>
                    </w:rPr>
                    <w:t>危废间</w:t>
                  </w:r>
                </w:p>
              </w:tc>
              <w:tc>
                <w:tcPr>
                  <w:tcW w:w="2579" w:type="pct"/>
                  <w:tcBorders>
                    <w:tl2br w:val="nil"/>
                    <w:tr2bl w:val="nil"/>
                  </w:tcBorders>
                  <w:noWrap w:val="0"/>
                  <w:vAlign w:val="center"/>
                </w:tcPr>
                <w:p>
                  <w:pPr>
                    <w:adjustRightInd w:val="0"/>
                    <w:snapToGrid w:val="0"/>
                    <w:rPr>
                      <w:color w:val="000000"/>
                      <w:sz w:val="21"/>
                      <w:szCs w:val="21"/>
                    </w:rPr>
                  </w:pPr>
                  <w:r>
                    <w:rPr>
                      <w:rFonts w:hint="eastAsia"/>
                      <w:sz w:val="21"/>
                      <w:szCs w:val="21"/>
                    </w:rPr>
                    <w:t>参照《危险废物贮存污染控制标准》（GB18597-2023）执行，</w:t>
                  </w:r>
                  <w:r>
                    <w:rPr>
                      <w:rFonts w:hAnsi="宋体"/>
                      <w:sz w:val="21"/>
                      <w:szCs w:val="21"/>
                    </w:rPr>
                    <w:t>基础防渗层为黏土层时，其厚度应达</w:t>
                  </w:r>
                  <w:r>
                    <w:rPr>
                      <w:sz w:val="21"/>
                      <w:szCs w:val="21"/>
                    </w:rPr>
                    <w:t>1m</w:t>
                  </w:r>
                  <w:r>
                    <w:rPr>
                      <w:rFonts w:hAnsi="宋体"/>
                      <w:sz w:val="21"/>
                      <w:szCs w:val="21"/>
                    </w:rPr>
                    <w:t>以上，渗透系数应小于</w:t>
                  </w:r>
                  <w:r>
                    <w:rPr>
                      <w:sz w:val="21"/>
                      <w:szCs w:val="21"/>
                    </w:rPr>
                    <w:t>10</w:t>
                  </w:r>
                  <w:r>
                    <w:rPr>
                      <w:sz w:val="21"/>
                      <w:szCs w:val="21"/>
                      <w:vertAlign w:val="superscript"/>
                    </w:rPr>
                    <w:t>-7</w:t>
                  </w:r>
                  <w:r>
                    <w:rPr>
                      <w:sz w:val="21"/>
                      <w:szCs w:val="21"/>
                    </w:rPr>
                    <w:t>cm/s</w:t>
                  </w:r>
                  <w:r>
                    <w:rPr>
                      <w:rFonts w:hAnsi="宋体"/>
                      <w:sz w:val="21"/>
                      <w:szCs w:val="21"/>
                    </w:rPr>
                    <w:t>；基础防渗层亦可用厚度</w:t>
                  </w:r>
                  <w:r>
                    <w:rPr>
                      <w:sz w:val="21"/>
                      <w:szCs w:val="21"/>
                    </w:rPr>
                    <w:t>2mm</w:t>
                  </w:r>
                  <w:r>
                    <w:rPr>
                      <w:rFonts w:hAnsi="宋体"/>
                      <w:sz w:val="21"/>
                      <w:szCs w:val="21"/>
                    </w:rPr>
                    <w:t>以上的高密度聚乙烯和其他人工防渗材料组成，渗透系数应小于</w:t>
                  </w:r>
                  <w:r>
                    <w:rPr>
                      <w:sz w:val="21"/>
                      <w:szCs w:val="21"/>
                    </w:rPr>
                    <w:t>10</w:t>
                  </w:r>
                  <w:r>
                    <w:rPr>
                      <w:sz w:val="21"/>
                      <w:szCs w:val="21"/>
                      <w:vertAlign w:val="superscript"/>
                    </w:rPr>
                    <w:t>-1</w:t>
                  </w:r>
                  <w:r>
                    <w:rPr>
                      <w:sz w:val="21"/>
                      <w:szCs w:val="21"/>
                    </w:rPr>
                    <w:t>cm/s</w:t>
                  </w:r>
                </w:p>
              </w:tc>
            </w:tr>
          </w:tbl>
          <w:p>
            <w:pPr>
              <w:adjustRightInd w:val="0"/>
              <w:snapToGrid w:val="0"/>
              <w:spacing w:before="120" w:beforeLines="50" w:line="360" w:lineRule="auto"/>
              <w:rPr>
                <w:b/>
                <w:bCs/>
              </w:rPr>
            </w:pPr>
            <w:r>
              <w:rPr>
                <w:rFonts w:hint="eastAsia"/>
                <w:b/>
                <w:bCs/>
              </w:rPr>
              <w:t>6.</w:t>
            </w:r>
            <w:r>
              <w:rPr>
                <w:b/>
                <w:bCs/>
              </w:rPr>
              <w:t>生态</w:t>
            </w:r>
            <w:r>
              <w:rPr>
                <w:rFonts w:hint="eastAsia"/>
                <w:b/>
                <w:bCs/>
              </w:rPr>
              <w:t>污染影响及防治措施</w:t>
            </w:r>
          </w:p>
          <w:p>
            <w:pPr>
              <w:adjustRightInd w:val="0"/>
              <w:snapToGrid w:val="0"/>
              <w:spacing w:line="360" w:lineRule="auto"/>
              <w:ind w:firstLine="480" w:firstLineChars="200"/>
            </w:pPr>
            <w:r>
              <w:t>本项目</w:t>
            </w:r>
            <w:r>
              <w:rPr>
                <w:rFonts w:hint="eastAsia"/>
              </w:rPr>
              <w:t>位于淮北市相山经济开发区凤</w:t>
            </w:r>
            <w:r>
              <w:rPr>
                <w:rFonts w:hint="eastAsia"/>
                <w:lang w:val="en-US" w:eastAsia="zh-CN"/>
              </w:rPr>
              <w:t>冠</w:t>
            </w:r>
            <w:r>
              <w:rPr>
                <w:rFonts w:hint="eastAsia"/>
              </w:rPr>
              <w:t>路2</w:t>
            </w:r>
            <w:r>
              <w:rPr>
                <w:rFonts w:hint="eastAsia"/>
                <w:lang w:val="en-US" w:eastAsia="zh-CN"/>
              </w:rPr>
              <w:t>0</w:t>
            </w:r>
            <w:r>
              <w:rPr>
                <w:rFonts w:hint="eastAsia"/>
              </w:rPr>
              <w:t>号</w:t>
            </w:r>
            <w:r>
              <w:t>，</w:t>
            </w:r>
            <w:r>
              <w:rPr>
                <w:rFonts w:hint="eastAsia"/>
              </w:rPr>
              <w:t>项目建设利用已建好的厂房，</w:t>
            </w:r>
            <w:r>
              <w:t>为工业用地。不在国家级生态红线和</w:t>
            </w:r>
            <w:r>
              <w:rPr>
                <w:rFonts w:hint="eastAsia"/>
              </w:rPr>
              <w:t>安徽</w:t>
            </w:r>
            <w:r>
              <w:t>省生态管控区域范围内，不需要设置生态保护措施。</w:t>
            </w:r>
          </w:p>
          <w:p>
            <w:pPr>
              <w:adjustRightInd w:val="0"/>
              <w:snapToGrid w:val="0"/>
              <w:spacing w:line="360" w:lineRule="auto"/>
            </w:pPr>
            <w:r>
              <w:rPr>
                <w:rFonts w:hint="eastAsia"/>
                <w:b/>
                <w:bCs/>
              </w:rPr>
              <w:t>7.</w:t>
            </w:r>
            <w:r>
              <w:rPr>
                <w:b/>
                <w:bCs/>
              </w:rPr>
              <w:t>电磁辐射</w:t>
            </w:r>
          </w:p>
          <w:p>
            <w:pPr>
              <w:adjustRightInd w:val="0"/>
              <w:snapToGrid w:val="0"/>
              <w:spacing w:line="360" w:lineRule="auto"/>
              <w:ind w:firstLine="480" w:firstLineChars="200"/>
            </w:pPr>
            <w:r>
              <w:t>本项目不涉及电磁辐射影响。</w:t>
            </w:r>
          </w:p>
          <w:p>
            <w:pPr>
              <w:adjustRightInd w:val="0"/>
              <w:snapToGrid w:val="0"/>
              <w:spacing w:line="360" w:lineRule="auto"/>
              <w:rPr>
                <w:b/>
                <w:bCs/>
              </w:rPr>
            </w:pPr>
            <w:r>
              <w:rPr>
                <w:rFonts w:hint="eastAsia"/>
                <w:b/>
                <w:bCs/>
              </w:rPr>
              <w:t>8.</w:t>
            </w:r>
            <w:r>
              <w:rPr>
                <w:b/>
                <w:bCs/>
              </w:rPr>
              <w:t>环境风险分析</w:t>
            </w:r>
          </w:p>
          <w:p>
            <w:pPr>
              <w:keepNext w:val="0"/>
              <w:keepLines w:val="0"/>
              <w:pageBreakBefore w:val="0"/>
              <w:widowControl w:val="0"/>
              <w:numPr>
                <w:ilvl w:val="0"/>
                <w:numId w:val="0"/>
              </w:numPr>
              <w:tabs>
                <w:tab w:val="left" w:pos="730"/>
              </w:tabs>
              <w:kinsoku/>
              <w:wordWrap/>
              <w:overflowPunct/>
              <w:topLinePunct w:val="0"/>
              <w:autoSpaceDE/>
              <w:autoSpaceDN/>
              <w:bidi w:val="0"/>
              <w:adjustRightInd w:val="0"/>
              <w:snapToGrid w:val="0"/>
              <w:spacing w:line="360" w:lineRule="auto"/>
              <w:ind w:firstLine="480" w:firstLineChars="200"/>
              <w:jc w:val="left"/>
              <w:textAlignment w:val="auto"/>
            </w:pPr>
            <w: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adjustRightInd w:val="0"/>
              <w:snapToGrid w:val="0"/>
              <w:spacing w:line="360" w:lineRule="auto"/>
              <w:ind w:firstLine="480" w:firstLineChars="200"/>
            </w:pPr>
            <w:r>
              <w:rPr>
                <w:rFonts w:hint="eastAsia"/>
              </w:rPr>
              <w:t>（1）评价依据</w:t>
            </w:r>
          </w:p>
          <w:p>
            <w:pPr>
              <w:adjustRightInd w:val="0"/>
              <w:snapToGrid w:val="0"/>
              <w:spacing w:line="360" w:lineRule="auto"/>
              <w:ind w:firstLine="480" w:firstLineChars="200"/>
            </w:pPr>
            <w:r>
              <w:rPr>
                <w:rFonts w:hint="eastAsia"/>
              </w:rPr>
              <w:t>①环境风险调查</w:t>
            </w:r>
          </w:p>
          <w:p>
            <w:pPr>
              <w:adjustRightInd w:val="0"/>
              <w:snapToGrid w:val="0"/>
              <w:spacing w:line="360" w:lineRule="auto"/>
              <w:ind w:firstLine="480" w:firstLineChars="200"/>
            </w:pPr>
            <w:r>
              <w:rPr>
                <w:rFonts w:hint="eastAsia"/>
              </w:rPr>
              <w:t>本项目使用的原辅材料主要为</w:t>
            </w:r>
            <w:r>
              <w:rPr>
                <w:rFonts w:hint="eastAsia"/>
                <w:lang w:val="en-US" w:eastAsia="zh-CN"/>
              </w:rPr>
              <w:t>自来水</w:t>
            </w:r>
            <w:r>
              <w:rPr>
                <w:rFonts w:hint="eastAsia"/>
              </w:rPr>
              <w:t>、</w:t>
            </w:r>
            <w:r>
              <w:rPr>
                <w:rFonts w:hint="eastAsia"/>
                <w:lang w:val="en-US" w:eastAsia="zh-CN"/>
              </w:rPr>
              <w:t>PET塑料粒子等</w:t>
            </w:r>
            <w:r>
              <w:rPr>
                <w:rFonts w:hint="eastAsia"/>
              </w:rPr>
              <w:t>；厂内废水主要为生产废水和生活污水，</w:t>
            </w:r>
            <w:r>
              <w:rPr>
                <w:rFonts w:hint="eastAsia"/>
                <w:bCs/>
              </w:rPr>
              <w:t>根据废水源强分析可知，厂内废水COD浓度小于</w:t>
            </w:r>
            <w:r>
              <w:rPr>
                <w:bCs/>
              </w:rPr>
              <w:t>10000mg/L，NH</w:t>
            </w:r>
            <w:r>
              <w:rPr>
                <w:bCs/>
                <w:vertAlign w:val="subscript"/>
              </w:rPr>
              <w:t>3</w:t>
            </w:r>
            <w:r>
              <w:rPr>
                <w:bCs/>
              </w:rPr>
              <w:t>-N浓度小于2000mg/L</w:t>
            </w:r>
            <w:r>
              <w:rPr>
                <w:rFonts w:hint="eastAsia"/>
                <w:bCs/>
              </w:rPr>
              <w:t>；涉及的固液体废物为废包装材料、</w:t>
            </w:r>
            <w:r>
              <w:rPr>
                <w:rFonts w:hint="eastAsia"/>
                <w:bCs/>
                <w:lang w:val="en-US" w:eastAsia="zh-CN"/>
              </w:rPr>
              <w:t>餐厨</w:t>
            </w:r>
            <w:r>
              <w:rPr>
                <w:rFonts w:hint="eastAsia"/>
                <w:bCs/>
              </w:rPr>
              <w:t>垃圾、</w:t>
            </w:r>
            <w:r>
              <w:rPr>
                <w:rFonts w:hint="eastAsia"/>
                <w:bCs/>
                <w:lang w:val="en-US" w:eastAsia="zh-CN"/>
              </w:rPr>
              <w:t>化学品库废物</w:t>
            </w:r>
            <w:r>
              <w:rPr>
                <w:rFonts w:hint="eastAsia"/>
                <w:bCs/>
              </w:rPr>
              <w:t>、不合格品、废</w:t>
            </w:r>
            <w:r>
              <w:rPr>
                <w:rFonts w:hint="eastAsia"/>
                <w:bCs/>
                <w:lang w:val="en-US" w:eastAsia="zh-CN"/>
              </w:rPr>
              <w:t>滤袋、废活性炭</w:t>
            </w:r>
            <w:r>
              <w:rPr>
                <w:rFonts w:hint="eastAsia"/>
                <w:bCs/>
              </w:rPr>
              <w:t>、废</w:t>
            </w:r>
            <w:r>
              <w:rPr>
                <w:rFonts w:hint="eastAsia"/>
                <w:bCs/>
                <w:lang w:val="en-US" w:eastAsia="zh-CN"/>
              </w:rPr>
              <w:t>矿物油、桶</w:t>
            </w:r>
            <w:r>
              <w:rPr>
                <w:rFonts w:hint="eastAsia"/>
                <w:bCs/>
              </w:rPr>
              <w:t>和生活垃圾。</w:t>
            </w:r>
          </w:p>
          <w:p>
            <w:pPr>
              <w:adjustRightInd w:val="0"/>
              <w:snapToGrid w:val="0"/>
              <w:spacing w:line="360" w:lineRule="auto"/>
              <w:ind w:firstLine="480" w:firstLineChars="200"/>
              <w:rPr>
                <w:bCs/>
              </w:rPr>
            </w:pPr>
            <w:r>
              <w:rPr>
                <w:rFonts w:hint="eastAsia"/>
                <w:bCs/>
              </w:rPr>
              <w:t>根据《危险化学品目录》和《建设项目环境风险评价技术导则》（HJ 169-2018）附录B中突发环境事件风险物质及临界值表</w:t>
            </w:r>
            <w:r>
              <w:rPr>
                <w:bCs/>
              </w:rPr>
              <w:t>，本项目</w:t>
            </w:r>
            <w:r>
              <w:rPr>
                <w:rFonts w:hint="eastAsia"/>
                <w:bCs/>
              </w:rPr>
              <w:t>涉及的危险物质为废</w:t>
            </w:r>
            <w:r>
              <w:rPr>
                <w:rFonts w:hint="eastAsia"/>
                <w:bCs/>
                <w:lang w:val="en-US" w:eastAsia="zh-CN"/>
              </w:rPr>
              <w:t>矿物</w:t>
            </w:r>
            <w:r>
              <w:rPr>
                <w:rFonts w:hint="eastAsia"/>
                <w:bCs/>
              </w:rPr>
              <w:t>油。</w:t>
            </w:r>
          </w:p>
          <w:p>
            <w:pPr>
              <w:adjustRightInd w:val="0"/>
              <w:snapToGrid w:val="0"/>
              <w:spacing w:line="360" w:lineRule="auto"/>
              <w:ind w:firstLine="480" w:firstLineChars="200"/>
              <w:rPr>
                <w:bCs/>
              </w:rPr>
            </w:pPr>
            <w:r>
              <w:rPr>
                <w:rFonts w:hint="eastAsia" w:hAnsi="宋体"/>
              </w:rPr>
              <w:t>废</w:t>
            </w:r>
            <w:r>
              <w:rPr>
                <w:rFonts w:hint="eastAsia" w:hAnsi="宋体"/>
                <w:lang w:val="en-US" w:eastAsia="zh-CN"/>
              </w:rPr>
              <w:t>矿物</w:t>
            </w:r>
            <w:r>
              <w:rPr>
                <w:rFonts w:hint="eastAsia" w:hAnsi="宋体"/>
              </w:rPr>
              <w:t>油暂存于危废暂存间，最大存量约</w:t>
            </w:r>
            <w:r>
              <w:rPr>
                <w:rFonts w:hint="eastAsia" w:hAnsi="宋体"/>
                <w:lang w:val="en-US" w:eastAsia="zh-CN"/>
              </w:rPr>
              <w:t>1.0</w:t>
            </w:r>
            <w:r>
              <w:rPr>
                <w:rFonts w:hint="eastAsia" w:hAnsi="宋体"/>
              </w:rPr>
              <w:t>t。</w:t>
            </w:r>
            <w:r>
              <w:rPr>
                <w:bCs/>
              </w:rPr>
              <w:t>本项目主要</w:t>
            </w:r>
            <w:r>
              <w:rPr>
                <w:rFonts w:hint="eastAsia"/>
                <w:bCs/>
              </w:rPr>
              <w:t>危险</w:t>
            </w:r>
            <w:r>
              <w:rPr>
                <w:bCs/>
              </w:rPr>
              <w:t>物质数量及分布情况详见下表。</w:t>
            </w:r>
          </w:p>
          <w:p>
            <w:pPr>
              <w:adjustRightInd w:val="0"/>
              <w:snapToGrid w:val="0"/>
              <w:jc w:val="center"/>
              <w:rPr>
                <w:rFonts w:hint="eastAsia" w:ascii="宋体" w:hAnsi="宋体" w:cs="宋体"/>
                <w:b/>
              </w:rPr>
            </w:pPr>
            <w:r>
              <w:rPr>
                <w:rFonts w:hint="eastAsia" w:ascii="宋体" w:hAnsi="宋体" w:cs="宋体"/>
                <w:b/>
              </w:rPr>
              <w:t>表4-</w:t>
            </w:r>
            <w:r>
              <w:rPr>
                <w:rFonts w:hint="eastAsia" w:ascii="宋体" w:hAnsi="宋体" w:cs="宋体"/>
                <w:b/>
                <w:lang w:val="en-US" w:eastAsia="zh-CN"/>
              </w:rPr>
              <w:t>18</w:t>
            </w:r>
            <w:r>
              <w:rPr>
                <w:rFonts w:hint="eastAsia" w:ascii="宋体" w:hAnsi="宋体" w:cs="宋体"/>
                <w:b/>
              </w:rPr>
              <w:t xml:space="preserve"> 企业涉及的危险物质情况一览表</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2855"/>
              <w:gridCol w:w="1758"/>
              <w:gridCol w:w="1112"/>
              <w:gridCol w:w="17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tcBorders>
                    <w:tl2br w:val="nil"/>
                    <w:tr2bl w:val="nil"/>
                  </w:tcBorders>
                  <w:noWrap w:val="0"/>
                  <w:vAlign w:val="center"/>
                </w:tcPr>
                <w:p>
                  <w:pPr>
                    <w:adjustRightInd w:val="0"/>
                    <w:snapToGrid w:val="0"/>
                    <w:spacing w:line="276" w:lineRule="auto"/>
                    <w:jc w:val="center"/>
                    <w:rPr>
                      <w:b/>
                      <w:bCs/>
                      <w:sz w:val="21"/>
                      <w:szCs w:val="21"/>
                      <w:lang w:val="zh-CN"/>
                    </w:rPr>
                  </w:pPr>
                  <w:r>
                    <w:rPr>
                      <w:b/>
                      <w:bCs/>
                      <w:sz w:val="21"/>
                      <w:szCs w:val="21"/>
                      <w:lang w:val="zh-CN"/>
                    </w:rPr>
                    <w:t>物质名称</w:t>
                  </w:r>
                </w:p>
              </w:tc>
              <w:tc>
                <w:tcPr>
                  <w:tcW w:w="1617" w:type="pct"/>
                  <w:tcBorders>
                    <w:tl2br w:val="nil"/>
                    <w:tr2bl w:val="nil"/>
                  </w:tcBorders>
                  <w:noWrap w:val="0"/>
                  <w:vAlign w:val="center"/>
                </w:tcPr>
                <w:p>
                  <w:pPr>
                    <w:adjustRightInd w:val="0"/>
                    <w:snapToGrid w:val="0"/>
                    <w:spacing w:line="276" w:lineRule="auto"/>
                    <w:jc w:val="center"/>
                    <w:rPr>
                      <w:b/>
                      <w:bCs/>
                      <w:sz w:val="21"/>
                      <w:szCs w:val="21"/>
                      <w:lang w:val="zh-CN"/>
                    </w:rPr>
                  </w:pPr>
                  <w:r>
                    <w:rPr>
                      <w:b/>
                      <w:bCs/>
                      <w:sz w:val="21"/>
                      <w:szCs w:val="21"/>
                      <w:lang w:val="zh-CN"/>
                    </w:rPr>
                    <w:t>厂区最大</w:t>
                  </w:r>
                  <w:r>
                    <w:rPr>
                      <w:rFonts w:hint="eastAsia"/>
                      <w:b/>
                      <w:bCs/>
                      <w:sz w:val="21"/>
                      <w:szCs w:val="21"/>
                      <w:lang w:val="zh-CN"/>
                    </w:rPr>
                    <w:t>存在</w:t>
                  </w:r>
                  <w:r>
                    <w:rPr>
                      <w:b/>
                      <w:bCs/>
                      <w:sz w:val="21"/>
                      <w:szCs w:val="21"/>
                      <w:lang w:val="zh-CN"/>
                    </w:rPr>
                    <w:t>量（t）</w:t>
                  </w:r>
                </w:p>
              </w:tc>
              <w:tc>
                <w:tcPr>
                  <w:tcW w:w="995" w:type="pct"/>
                  <w:tcBorders>
                    <w:tl2br w:val="nil"/>
                    <w:tr2bl w:val="nil"/>
                  </w:tcBorders>
                  <w:noWrap w:val="0"/>
                  <w:vAlign w:val="center"/>
                </w:tcPr>
                <w:p>
                  <w:pPr>
                    <w:adjustRightInd w:val="0"/>
                    <w:snapToGrid w:val="0"/>
                    <w:spacing w:line="276" w:lineRule="auto"/>
                    <w:jc w:val="center"/>
                    <w:rPr>
                      <w:b/>
                      <w:bCs/>
                      <w:sz w:val="21"/>
                      <w:szCs w:val="21"/>
                      <w:lang w:val="zh-CN"/>
                    </w:rPr>
                  </w:pPr>
                  <w:r>
                    <w:rPr>
                      <w:b/>
                      <w:sz w:val="21"/>
                      <w:szCs w:val="21"/>
                    </w:rPr>
                    <w:t>临界量</w:t>
                  </w:r>
                  <w:r>
                    <w:rPr>
                      <w:b/>
                      <w:bCs/>
                      <w:sz w:val="21"/>
                      <w:szCs w:val="21"/>
                      <w:lang w:val="zh-CN"/>
                    </w:rPr>
                    <w:t>（t）</w:t>
                  </w:r>
                </w:p>
              </w:tc>
              <w:tc>
                <w:tcPr>
                  <w:tcW w:w="630" w:type="pct"/>
                  <w:tcBorders>
                    <w:tl2br w:val="nil"/>
                    <w:tr2bl w:val="nil"/>
                  </w:tcBorders>
                  <w:noWrap w:val="0"/>
                  <w:vAlign w:val="center"/>
                </w:tcPr>
                <w:p>
                  <w:pPr>
                    <w:adjustRightInd w:val="0"/>
                    <w:snapToGrid w:val="0"/>
                    <w:spacing w:line="276" w:lineRule="auto"/>
                    <w:jc w:val="center"/>
                    <w:rPr>
                      <w:b/>
                      <w:bCs/>
                      <w:sz w:val="21"/>
                      <w:szCs w:val="21"/>
                      <w:lang w:val="zh-CN"/>
                    </w:rPr>
                  </w:pPr>
                  <w:r>
                    <w:rPr>
                      <w:rFonts w:hint="eastAsia"/>
                      <w:b/>
                      <w:bCs/>
                      <w:sz w:val="21"/>
                      <w:szCs w:val="21"/>
                      <w:lang w:val="zh-CN"/>
                    </w:rPr>
                    <w:t>Q值</w:t>
                  </w:r>
                </w:p>
              </w:tc>
              <w:tc>
                <w:tcPr>
                  <w:tcW w:w="972" w:type="pct"/>
                  <w:tcBorders>
                    <w:tl2br w:val="nil"/>
                    <w:tr2bl w:val="nil"/>
                  </w:tcBorders>
                  <w:noWrap w:val="0"/>
                  <w:vAlign w:val="center"/>
                </w:tcPr>
                <w:p>
                  <w:pPr>
                    <w:adjustRightInd w:val="0"/>
                    <w:snapToGrid w:val="0"/>
                    <w:spacing w:line="276" w:lineRule="auto"/>
                    <w:jc w:val="center"/>
                    <w:rPr>
                      <w:b/>
                      <w:bCs/>
                      <w:sz w:val="21"/>
                      <w:szCs w:val="21"/>
                      <w:lang w:val="zh-CN"/>
                    </w:rPr>
                  </w:pPr>
                  <w:r>
                    <w:rPr>
                      <w:b/>
                      <w:bCs/>
                      <w:sz w:val="21"/>
                      <w:szCs w:val="21"/>
                      <w:lang w:val="zh-CN"/>
                    </w:rPr>
                    <w:t>贮存位置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tcBorders>
                    <w:tl2br w:val="nil"/>
                    <w:tr2bl w:val="nil"/>
                  </w:tcBorders>
                  <w:noWrap w:val="0"/>
                  <w:vAlign w:val="center"/>
                </w:tcPr>
                <w:p>
                  <w:pPr>
                    <w:adjustRightInd w:val="0"/>
                    <w:snapToGrid w:val="0"/>
                    <w:spacing w:line="276" w:lineRule="auto"/>
                    <w:jc w:val="center"/>
                    <w:rPr>
                      <w:bCs/>
                      <w:sz w:val="21"/>
                      <w:szCs w:val="21"/>
                      <w:lang w:val="zh-CN"/>
                    </w:rPr>
                  </w:pPr>
                  <w:r>
                    <w:rPr>
                      <w:rFonts w:hint="eastAsia"/>
                      <w:bCs/>
                      <w:sz w:val="21"/>
                      <w:szCs w:val="21"/>
                      <w:lang w:val="zh-CN"/>
                    </w:rPr>
                    <w:t>废</w:t>
                  </w:r>
                  <w:r>
                    <w:rPr>
                      <w:rFonts w:hint="eastAsia"/>
                      <w:bCs/>
                      <w:sz w:val="21"/>
                      <w:szCs w:val="21"/>
                      <w:lang w:val="en-US" w:eastAsia="zh-CN"/>
                    </w:rPr>
                    <w:t>矿物</w:t>
                  </w:r>
                  <w:r>
                    <w:rPr>
                      <w:rFonts w:hint="eastAsia"/>
                      <w:bCs/>
                      <w:sz w:val="21"/>
                      <w:szCs w:val="21"/>
                      <w:lang w:val="zh-CN"/>
                    </w:rPr>
                    <w:t>油</w:t>
                  </w:r>
                </w:p>
              </w:tc>
              <w:tc>
                <w:tcPr>
                  <w:tcW w:w="1617" w:type="pct"/>
                  <w:tcBorders>
                    <w:tl2br w:val="nil"/>
                    <w:tr2bl w:val="nil"/>
                  </w:tcBorders>
                  <w:noWrap w:val="0"/>
                  <w:vAlign w:val="center"/>
                </w:tcPr>
                <w:p>
                  <w:pPr>
                    <w:adjustRightInd w:val="0"/>
                    <w:snapToGrid w:val="0"/>
                    <w:spacing w:line="276" w:lineRule="auto"/>
                    <w:jc w:val="center"/>
                    <w:rPr>
                      <w:rFonts w:hint="default" w:eastAsia="宋体"/>
                      <w:bCs/>
                      <w:sz w:val="21"/>
                      <w:szCs w:val="21"/>
                      <w:lang w:val="en-US" w:eastAsia="zh-CN"/>
                    </w:rPr>
                  </w:pPr>
                  <w:r>
                    <w:rPr>
                      <w:rFonts w:hint="eastAsia"/>
                      <w:bCs/>
                      <w:sz w:val="21"/>
                      <w:szCs w:val="21"/>
                      <w:lang w:val="en-US" w:eastAsia="zh-CN"/>
                    </w:rPr>
                    <w:t>1.0</w:t>
                  </w:r>
                </w:p>
              </w:tc>
              <w:tc>
                <w:tcPr>
                  <w:tcW w:w="995" w:type="pct"/>
                  <w:tcBorders>
                    <w:tl2br w:val="nil"/>
                    <w:tr2bl w:val="nil"/>
                  </w:tcBorders>
                  <w:noWrap w:val="0"/>
                  <w:vAlign w:val="center"/>
                </w:tcPr>
                <w:p>
                  <w:pPr>
                    <w:adjustRightInd w:val="0"/>
                    <w:snapToGrid w:val="0"/>
                    <w:spacing w:line="276" w:lineRule="auto"/>
                    <w:jc w:val="center"/>
                    <w:rPr>
                      <w:bCs/>
                      <w:sz w:val="21"/>
                      <w:szCs w:val="21"/>
                      <w:lang w:val="zh-CN"/>
                    </w:rPr>
                  </w:pPr>
                  <w:r>
                    <w:rPr>
                      <w:rFonts w:hint="eastAsia"/>
                      <w:bCs/>
                      <w:sz w:val="21"/>
                      <w:szCs w:val="21"/>
                      <w:lang w:val="zh-CN"/>
                    </w:rPr>
                    <w:t>2500</w:t>
                  </w:r>
                </w:p>
              </w:tc>
              <w:tc>
                <w:tcPr>
                  <w:tcW w:w="630" w:type="pct"/>
                  <w:tcBorders>
                    <w:tl2br w:val="nil"/>
                    <w:tr2bl w:val="nil"/>
                  </w:tcBorders>
                  <w:noWrap w:val="0"/>
                  <w:vAlign w:val="center"/>
                </w:tcPr>
                <w:p>
                  <w:pPr>
                    <w:adjustRightInd w:val="0"/>
                    <w:snapToGrid w:val="0"/>
                    <w:spacing w:line="276" w:lineRule="auto"/>
                    <w:jc w:val="center"/>
                    <w:rPr>
                      <w:rFonts w:hint="eastAsia" w:eastAsia="宋体"/>
                      <w:bCs/>
                      <w:sz w:val="21"/>
                      <w:szCs w:val="21"/>
                      <w:lang w:val="en-US" w:eastAsia="zh-CN"/>
                    </w:rPr>
                  </w:pPr>
                  <w:r>
                    <w:rPr>
                      <w:rFonts w:hint="eastAsia"/>
                      <w:bCs/>
                      <w:sz w:val="21"/>
                      <w:szCs w:val="21"/>
                      <w:lang w:val="zh-CN"/>
                    </w:rPr>
                    <w:t>0.000</w:t>
                  </w:r>
                  <w:r>
                    <w:rPr>
                      <w:rFonts w:hint="eastAsia"/>
                      <w:bCs/>
                      <w:sz w:val="21"/>
                      <w:szCs w:val="21"/>
                      <w:lang w:val="en-US" w:eastAsia="zh-CN"/>
                    </w:rPr>
                    <w:t>4</w:t>
                  </w:r>
                </w:p>
              </w:tc>
              <w:tc>
                <w:tcPr>
                  <w:tcW w:w="972" w:type="pct"/>
                  <w:tcBorders>
                    <w:tl2br w:val="nil"/>
                    <w:tr2bl w:val="nil"/>
                  </w:tcBorders>
                  <w:noWrap w:val="0"/>
                  <w:vAlign w:val="center"/>
                </w:tcPr>
                <w:p>
                  <w:pPr>
                    <w:adjustRightInd w:val="0"/>
                    <w:snapToGrid w:val="0"/>
                    <w:spacing w:line="276" w:lineRule="auto"/>
                    <w:jc w:val="center"/>
                    <w:rPr>
                      <w:bCs/>
                      <w:sz w:val="21"/>
                      <w:szCs w:val="21"/>
                      <w:lang w:val="zh-CN"/>
                    </w:rPr>
                  </w:pPr>
                  <w:r>
                    <w:rPr>
                      <w:bCs/>
                      <w:sz w:val="21"/>
                      <w:szCs w:val="21"/>
                      <w:lang w:val="zh-CN"/>
                    </w:rPr>
                    <w:t>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97" w:type="pct"/>
                  <w:gridSpan w:val="3"/>
                  <w:tcBorders>
                    <w:tl2br w:val="nil"/>
                    <w:tr2bl w:val="nil"/>
                  </w:tcBorders>
                  <w:noWrap w:val="0"/>
                  <w:vAlign w:val="center"/>
                </w:tcPr>
                <w:p>
                  <w:pPr>
                    <w:adjustRightInd w:val="0"/>
                    <w:snapToGrid w:val="0"/>
                    <w:spacing w:line="276" w:lineRule="auto"/>
                    <w:jc w:val="center"/>
                    <w:rPr>
                      <w:bCs/>
                      <w:sz w:val="21"/>
                      <w:szCs w:val="21"/>
                      <w:lang w:val="zh-CN"/>
                    </w:rPr>
                  </w:pPr>
                  <w:r>
                    <w:rPr>
                      <w:rFonts w:hint="eastAsia"/>
                      <w:bCs/>
                      <w:sz w:val="21"/>
                      <w:szCs w:val="21"/>
                      <w:lang w:val="zh-CN"/>
                    </w:rPr>
                    <w:t>合计</w:t>
                  </w:r>
                </w:p>
              </w:tc>
              <w:tc>
                <w:tcPr>
                  <w:tcW w:w="630" w:type="pct"/>
                  <w:tcBorders>
                    <w:tl2br w:val="nil"/>
                    <w:tr2bl w:val="nil"/>
                  </w:tcBorders>
                  <w:noWrap w:val="0"/>
                  <w:vAlign w:val="center"/>
                </w:tcPr>
                <w:p>
                  <w:pPr>
                    <w:adjustRightInd w:val="0"/>
                    <w:snapToGrid w:val="0"/>
                    <w:spacing w:line="276" w:lineRule="auto"/>
                    <w:jc w:val="center"/>
                    <w:rPr>
                      <w:rFonts w:hint="default" w:eastAsia="宋体"/>
                      <w:bCs/>
                      <w:sz w:val="21"/>
                      <w:szCs w:val="21"/>
                      <w:lang w:val="en-US" w:eastAsia="zh-CN"/>
                    </w:rPr>
                  </w:pPr>
                  <w:r>
                    <w:rPr>
                      <w:rFonts w:hint="eastAsia"/>
                      <w:bCs/>
                      <w:sz w:val="21"/>
                      <w:szCs w:val="21"/>
                      <w:lang w:val="zh-CN"/>
                    </w:rPr>
                    <w:t>0.0</w:t>
                  </w:r>
                  <w:r>
                    <w:rPr>
                      <w:rFonts w:hint="eastAsia"/>
                      <w:bCs/>
                      <w:sz w:val="21"/>
                      <w:szCs w:val="21"/>
                      <w:lang w:val="en-US" w:eastAsia="zh-CN"/>
                    </w:rPr>
                    <w:t>004</w:t>
                  </w:r>
                </w:p>
              </w:tc>
              <w:tc>
                <w:tcPr>
                  <w:tcW w:w="972" w:type="pct"/>
                  <w:tcBorders>
                    <w:tl2br w:val="nil"/>
                    <w:tr2bl w:val="nil"/>
                  </w:tcBorders>
                  <w:noWrap w:val="0"/>
                  <w:vAlign w:val="center"/>
                </w:tcPr>
                <w:p>
                  <w:pPr>
                    <w:adjustRightInd w:val="0"/>
                    <w:snapToGrid w:val="0"/>
                    <w:spacing w:line="276" w:lineRule="auto"/>
                    <w:jc w:val="center"/>
                    <w:rPr>
                      <w:bCs/>
                      <w:sz w:val="21"/>
                      <w:szCs w:val="21"/>
                      <w:lang w:val="zh-CN"/>
                    </w:rPr>
                  </w:pPr>
                  <w:r>
                    <w:rPr>
                      <w:rFonts w:hint="eastAsia"/>
                      <w:bCs/>
                      <w:sz w:val="21"/>
                      <w:szCs w:val="21"/>
                      <w:lang w:val="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pPr>
            <w:r>
              <w:rPr>
                <w:rFonts w:hint="eastAsia" w:hAnsi="宋体"/>
              </w:rPr>
              <w:t>②</w:t>
            </w:r>
            <w:r>
              <w:rPr>
                <w:rFonts w:hAnsi="宋体"/>
              </w:rPr>
              <w:t>环境风险潜势初判</w:t>
            </w:r>
          </w:p>
          <w:p>
            <w:pPr>
              <w:adjustRightInd w:val="0"/>
              <w:snapToGrid w:val="0"/>
              <w:spacing w:line="360" w:lineRule="auto"/>
              <w:ind w:firstLine="480" w:firstLineChars="200"/>
            </w:pPr>
            <w:r>
              <w:rPr>
                <w:rFonts w:hAnsi="宋体"/>
                <w:caps/>
              </w:rPr>
              <w:t>根据《建设项目环境风险评价技术导则》（</w:t>
            </w:r>
            <w:r>
              <w:rPr>
                <w:caps/>
              </w:rPr>
              <w:t>HJ169-2018</w:t>
            </w:r>
            <w:r>
              <w:rPr>
                <w:rFonts w:hAnsi="宋体"/>
                <w:caps/>
              </w:rPr>
              <w:t>），计算所涉及的每种危险物质在厂界内的最大存在总量与其在</w:t>
            </w:r>
            <w:r>
              <w:rPr>
                <w:caps/>
              </w:rPr>
              <w:t>HJ169-2018</w:t>
            </w:r>
            <w:r>
              <w:rPr>
                <w:rFonts w:hAnsi="宋体"/>
                <w:caps/>
              </w:rPr>
              <w:t>附录</w:t>
            </w:r>
            <w:r>
              <w:rPr>
                <w:caps/>
              </w:rPr>
              <w:t>B</w:t>
            </w:r>
            <w:r>
              <w:rPr>
                <w:rFonts w:hAnsi="宋体"/>
                <w:caps/>
              </w:rPr>
              <w:t>中对应临界量的比值</w:t>
            </w:r>
            <w:r>
              <w:rPr>
                <w:caps/>
              </w:rPr>
              <w:t>Q</w:t>
            </w:r>
            <w:r>
              <w:rPr>
                <w:rFonts w:hAnsi="宋体"/>
                <w:caps/>
              </w:rPr>
              <w:t>。在不同厂区的同一种物质，按其在厂界内的最大存在总量计算。</w:t>
            </w:r>
          </w:p>
          <w:p>
            <w:pPr>
              <w:adjustRightInd w:val="0"/>
              <w:snapToGrid w:val="0"/>
              <w:spacing w:line="360" w:lineRule="auto"/>
              <w:ind w:firstLine="600" w:firstLineChars="250"/>
            </w:pPr>
            <w:r>
              <w:rPr>
                <w:rFonts w:hAnsi="宋体"/>
              </w:rPr>
              <w:t>当只涉及一种危险物质时，计算该物质的总量与其临界量比值，即为</w:t>
            </w:r>
            <w:r>
              <w:t>Q</w:t>
            </w:r>
            <w:r>
              <w:rPr>
                <w:rFonts w:hAnsi="宋体"/>
              </w:rPr>
              <w:t>；</w:t>
            </w:r>
          </w:p>
          <w:p>
            <w:pPr>
              <w:adjustRightInd w:val="0"/>
              <w:snapToGrid w:val="0"/>
              <w:spacing w:line="360" w:lineRule="auto"/>
              <w:ind w:firstLine="600" w:firstLineChars="250"/>
            </w:pPr>
            <w:r>
              <w:rPr>
                <w:rFonts w:hAnsi="宋体"/>
              </w:rPr>
              <w:t>当存在多种危险物质时，则按下式计算物质总量与其临界量比值（</w:t>
            </w:r>
            <w:r>
              <w:t>Q</w:t>
            </w:r>
            <w:r>
              <w:rPr>
                <w:rFonts w:hAnsi="宋体"/>
              </w:rPr>
              <w:t>）；</w:t>
            </w:r>
          </w:p>
          <w:p>
            <w:pPr>
              <w:adjustRightInd w:val="0"/>
              <w:snapToGrid w:val="0"/>
              <w:spacing w:line="360" w:lineRule="auto"/>
              <w:ind w:firstLine="600" w:firstLineChars="250"/>
              <w:jc w:val="center"/>
            </w:pPr>
            <w:r>
              <w:t>Q=q</w:t>
            </w:r>
            <w:r>
              <w:rPr>
                <w:vertAlign w:val="subscript"/>
              </w:rPr>
              <w:t>1</w:t>
            </w:r>
            <w:r>
              <w:t>/Q</w:t>
            </w:r>
            <w:r>
              <w:rPr>
                <w:vertAlign w:val="subscript"/>
              </w:rPr>
              <w:t>1</w:t>
            </w:r>
            <w:r>
              <w:t>+q</w:t>
            </w:r>
            <w:r>
              <w:rPr>
                <w:vertAlign w:val="subscript"/>
              </w:rPr>
              <w:t>2</w:t>
            </w:r>
            <w:r>
              <w:t>/Q</w:t>
            </w:r>
            <w:r>
              <w:rPr>
                <w:vertAlign w:val="subscript"/>
              </w:rPr>
              <w:t>2</w:t>
            </w:r>
            <w:r>
              <w:t>+……+q</w:t>
            </w:r>
            <w:r>
              <w:rPr>
                <w:vertAlign w:val="subscript"/>
              </w:rPr>
              <w:t>n</w:t>
            </w:r>
            <w:r>
              <w:t>/Q</w:t>
            </w:r>
            <w:r>
              <w:rPr>
                <w:vertAlign w:val="subscript"/>
              </w:rPr>
              <w:t>n</w:t>
            </w:r>
          </w:p>
          <w:p>
            <w:pPr>
              <w:adjustRightInd w:val="0"/>
              <w:snapToGrid w:val="0"/>
              <w:spacing w:line="360" w:lineRule="auto"/>
              <w:ind w:firstLine="600" w:firstLineChars="250"/>
            </w:pPr>
            <w:r>
              <w:rPr>
                <w:rFonts w:hAnsi="宋体"/>
              </w:rPr>
              <w:t>式中：</w:t>
            </w:r>
            <w:r>
              <w:t>q</w:t>
            </w:r>
            <w:r>
              <w:rPr>
                <w:vertAlign w:val="subscript"/>
              </w:rPr>
              <w:t>1</w:t>
            </w:r>
            <w:r>
              <w:rPr>
                <w:rFonts w:hAnsi="宋体"/>
              </w:rPr>
              <w:t>，</w:t>
            </w:r>
            <w:r>
              <w:t>q</w:t>
            </w:r>
            <w:r>
              <w:rPr>
                <w:vertAlign w:val="subscript"/>
              </w:rPr>
              <w:t>2</w:t>
            </w:r>
            <w:r>
              <w:rPr>
                <w:rFonts w:hAnsi="宋体"/>
              </w:rPr>
              <w:t>，</w:t>
            </w:r>
            <w:r>
              <w:t xml:space="preserve"> …</w:t>
            </w:r>
            <w:r>
              <w:rPr>
                <w:rFonts w:hAnsi="宋体"/>
              </w:rPr>
              <w:t>，</w:t>
            </w:r>
            <w:r>
              <w:t>q</w:t>
            </w:r>
            <w:r>
              <w:rPr>
                <w:vertAlign w:val="subscript"/>
              </w:rPr>
              <w:t>n</w:t>
            </w:r>
            <w:r>
              <w:t>——</w:t>
            </w:r>
            <w:r>
              <w:rPr>
                <w:rFonts w:hAnsi="宋体"/>
              </w:rPr>
              <w:t>每种危险物质的最大存在总量，</w:t>
            </w:r>
            <w:r>
              <w:t>t</w:t>
            </w:r>
            <w:r>
              <w:rPr>
                <w:rFonts w:hAnsi="宋体"/>
              </w:rPr>
              <w:t>；</w:t>
            </w:r>
          </w:p>
          <w:p>
            <w:pPr>
              <w:adjustRightInd w:val="0"/>
              <w:snapToGrid w:val="0"/>
              <w:spacing w:line="360" w:lineRule="auto"/>
              <w:ind w:firstLine="1200" w:firstLineChars="500"/>
            </w:pPr>
            <w:r>
              <w:t>Q</w:t>
            </w:r>
            <w:r>
              <w:rPr>
                <w:vertAlign w:val="subscript"/>
              </w:rPr>
              <w:t>1</w:t>
            </w:r>
            <w:r>
              <w:rPr>
                <w:rFonts w:hAnsi="宋体"/>
              </w:rPr>
              <w:t>，</w:t>
            </w:r>
            <w:r>
              <w:t xml:space="preserve"> Q</w:t>
            </w:r>
            <w:r>
              <w:rPr>
                <w:vertAlign w:val="subscript"/>
              </w:rPr>
              <w:t>2</w:t>
            </w:r>
            <w:r>
              <w:rPr>
                <w:rFonts w:hAnsi="宋体"/>
              </w:rPr>
              <w:t>，</w:t>
            </w:r>
            <w:r>
              <w:t xml:space="preserve"> …</w:t>
            </w:r>
            <w:r>
              <w:rPr>
                <w:rFonts w:hAnsi="宋体"/>
              </w:rPr>
              <w:t>，</w:t>
            </w:r>
            <w:r>
              <w:t>Q</w:t>
            </w:r>
            <w:r>
              <w:rPr>
                <w:vertAlign w:val="subscript"/>
              </w:rPr>
              <w:t>n</w:t>
            </w:r>
            <w:r>
              <w:t>——</w:t>
            </w:r>
            <w:r>
              <w:rPr>
                <w:rFonts w:hAnsi="宋体"/>
              </w:rPr>
              <w:t>每种危险物质的临界量，</w:t>
            </w:r>
            <w:r>
              <w:t>t</w:t>
            </w:r>
            <w:r>
              <w:rPr>
                <w:rFonts w:hAnsi="宋体"/>
              </w:rPr>
              <w:t>。</w:t>
            </w:r>
          </w:p>
          <w:p>
            <w:pPr>
              <w:adjustRightInd w:val="0"/>
              <w:snapToGrid w:val="0"/>
              <w:spacing w:line="360" w:lineRule="auto"/>
              <w:ind w:firstLine="600" w:firstLineChars="250"/>
            </w:pPr>
            <w:r>
              <w:rPr>
                <w:rFonts w:hAnsi="宋体"/>
              </w:rPr>
              <w:t>当</w:t>
            </w:r>
            <w:r>
              <w:t>Q</w:t>
            </w:r>
            <w:r>
              <w:rPr>
                <w:rFonts w:hAnsi="宋体"/>
              </w:rPr>
              <w:t>＜</w:t>
            </w:r>
            <w:r>
              <w:t>1</w:t>
            </w:r>
            <w:r>
              <w:rPr>
                <w:rFonts w:hAnsi="宋体"/>
              </w:rPr>
              <w:t>时，该项目环境风险潜势为</w:t>
            </w:r>
            <w:r>
              <w:t>Ⅰ</w:t>
            </w:r>
            <w:r>
              <w:rPr>
                <w:rFonts w:hAnsi="宋体"/>
              </w:rPr>
              <w:t>。</w:t>
            </w:r>
          </w:p>
          <w:p>
            <w:pPr>
              <w:adjustRightInd w:val="0"/>
              <w:snapToGrid w:val="0"/>
              <w:spacing w:line="360" w:lineRule="auto"/>
              <w:ind w:firstLine="600" w:firstLineChars="250"/>
            </w:pPr>
            <w:r>
              <w:rPr>
                <w:rFonts w:hAnsi="宋体"/>
              </w:rPr>
              <w:t>当</w:t>
            </w:r>
            <w:r>
              <w:t>Q≥1</w:t>
            </w:r>
            <w:r>
              <w:rPr>
                <w:rFonts w:hAnsi="宋体"/>
              </w:rPr>
              <w:t>时，将</w:t>
            </w:r>
            <w:r>
              <w:t>Q</w:t>
            </w:r>
            <w:r>
              <w:rPr>
                <w:rFonts w:hAnsi="宋体"/>
              </w:rPr>
              <w:t>值划分为：（</w:t>
            </w:r>
            <w:r>
              <w:t>1</w:t>
            </w:r>
            <w:r>
              <w:rPr>
                <w:rFonts w:hAnsi="宋体"/>
              </w:rPr>
              <w:t>）</w:t>
            </w:r>
            <w:r>
              <w:t>1≤Q</w:t>
            </w:r>
            <w:r>
              <w:rPr>
                <w:rFonts w:hAnsi="宋体"/>
              </w:rPr>
              <w:t>＜</w:t>
            </w:r>
            <w:r>
              <w:t>10</w:t>
            </w:r>
            <w:r>
              <w:rPr>
                <w:rFonts w:hAnsi="宋体"/>
              </w:rPr>
              <w:t>；（</w:t>
            </w:r>
            <w:r>
              <w:t>2</w:t>
            </w:r>
            <w:r>
              <w:rPr>
                <w:rFonts w:hAnsi="宋体"/>
              </w:rPr>
              <w:t>）</w:t>
            </w:r>
            <w:r>
              <w:t>10≤Q</w:t>
            </w:r>
            <w:r>
              <w:rPr>
                <w:rFonts w:hAnsi="宋体"/>
              </w:rPr>
              <w:t>＜</w:t>
            </w:r>
            <w:r>
              <w:t>100</w:t>
            </w:r>
            <w:r>
              <w:rPr>
                <w:rFonts w:hAnsi="宋体"/>
              </w:rPr>
              <w:t>；（</w:t>
            </w:r>
            <w:r>
              <w:t>3</w:t>
            </w:r>
            <w:r>
              <w:rPr>
                <w:rFonts w:hAnsi="宋体"/>
              </w:rPr>
              <w:t>）</w:t>
            </w:r>
            <w:r>
              <w:t>Q≥100</w:t>
            </w:r>
            <w:r>
              <w:rPr>
                <w:rFonts w:hAnsi="宋体"/>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pPr>
            <w:r>
              <w:rPr>
                <w:rFonts w:hAnsi="宋体"/>
              </w:rPr>
              <w:t>根据以上分析，本项目</w:t>
            </w:r>
            <w:r>
              <w:t>Q</w:t>
            </w:r>
            <w:r>
              <w:rPr>
                <w:rFonts w:hAnsi="宋体"/>
              </w:rPr>
              <w:t>值为</w:t>
            </w:r>
            <w:r>
              <w:rPr>
                <w:rFonts w:hint="eastAsia"/>
                <w:bCs/>
                <w:lang w:val="zh-CN"/>
              </w:rPr>
              <w:t>0.0</w:t>
            </w:r>
            <w:r>
              <w:rPr>
                <w:rFonts w:hint="eastAsia"/>
                <w:bCs/>
                <w:lang w:val="en-US" w:eastAsia="zh-CN"/>
              </w:rPr>
              <w:t>004</w:t>
            </w:r>
            <w:r>
              <w:rPr>
                <w:rFonts w:hAnsi="宋体"/>
              </w:rPr>
              <w:t>，小于</w:t>
            </w:r>
            <w:r>
              <w:t>1</w:t>
            </w:r>
            <w:r>
              <w:rPr>
                <w:rFonts w:hAnsi="宋体"/>
              </w:rPr>
              <w:t>，故环境风险潜势为</w:t>
            </w:r>
            <w:r>
              <w:t>Ⅰ</w:t>
            </w:r>
            <w:r>
              <w:rPr>
                <w:rFonts w:hAnsi="宋体"/>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hAnsi="宋体"/>
              </w:rPr>
              <w:t>③</w:t>
            </w:r>
            <w:r>
              <w:rPr>
                <w:rFonts w:hAnsi="宋体"/>
              </w:rPr>
              <w:t>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Ansi="宋体"/>
              </w:rPr>
              <w:t>由上表可知，拟建项目</w:t>
            </w:r>
            <w:r>
              <w:t>Q</w:t>
            </w:r>
            <w:r>
              <w:rPr>
                <w:rFonts w:hAnsi="宋体"/>
              </w:rPr>
              <w:t>值小于</w:t>
            </w:r>
            <w:r>
              <w:t>1</w:t>
            </w:r>
            <w:r>
              <w:rPr>
                <w:rFonts w:hAnsi="宋体"/>
              </w:rPr>
              <w:t>，其项目环境风险潜势为</w:t>
            </w:r>
            <w:r>
              <w:t>I</w:t>
            </w:r>
            <w:r>
              <w:rPr>
                <w:rFonts w:hAnsi="宋体"/>
              </w:rPr>
              <w:t>级，依据《建设项目环境风险评价导则》（</w:t>
            </w:r>
            <w:r>
              <w:t>HJ/T169-2018</w:t>
            </w:r>
            <w:r>
              <w:rPr>
                <w:rFonts w:hAnsi="宋体"/>
              </w:rPr>
              <w:t>）中的要求，本项目仅展开简单分析。</w:t>
            </w:r>
          </w:p>
          <w:p>
            <w:pPr>
              <w:adjustRightInd w:val="0"/>
              <w:snapToGrid w:val="0"/>
              <w:jc w:val="center"/>
              <w:rPr>
                <w:rFonts w:hint="eastAsia" w:ascii="宋体" w:hAnsi="宋体" w:cs="宋体"/>
                <w:b/>
              </w:rPr>
            </w:pPr>
          </w:p>
          <w:p>
            <w:pPr>
              <w:adjustRightInd w:val="0"/>
              <w:snapToGrid w:val="0"/>
              <w:jc w:val="center"/>
              <w:rPr>
                <w:rFonts w:hint="eastAsia" w:ascii="宋体" w:hAnsi="宋体" w:cs="宋体"/>
                <w:b/>
              </w:rPr>
            </w:pPr>
          </w:p>
          <w:p>
            <w:pPr>
              <w:adjustRightInd w:val="0"/>
              <w:snapToGrid w:val="0"/>
              <w:jc w:val="center"/>
              <w:rPr>
                <w:rFonts w:hint="eastAsia" w:ascii="宋体" w:hAnsi="宋体" w:cs="宋体"/>
                <w:b/>
              </w:rPr>
            </w:pPr>
            <w:r>
              <w:rPr>
                <w:rFonts w:hint="eastAsia" w:ascii="宋体" w:hAnsi="宋体" w:cs="宋体"/>
                <w:b/>
              </w:rPr>
              <w:t>表4-</w:t>
            </w:r>
            <w:r>
              <w:rPr>
                <w:rFonts w:hint="eastAsia" w:ascii="宋体" w:hAnsi="宋体" w:cs="宋体"/>
                <w:b/>
                <w:lang w:val="en-US" w:eastAsia="zh-CN"/>
              </w:rPr>
              <w:t>19</w:t>
            </w:r>
            <w:r>
              <w:rPr>
                <w:rFonts w:hint="eastAsia" w:ascii="宋体" w:hAnsi="宋体" w:cs="宋体"/>
                <w:b/>
              </w:rPr>
              <w:t xml:space="preserve"> 评价工作等级划分</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1815"/>
              <w:gridCol w:w="1754"/>
              <w:gridCol w:w="1754"/>
              <w:gridCol w:w="1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l2br w:val="nil"/>
                    <w:tr2bl w:val="nil"/>
                  </w:tcBorders>
                  <w:noWrap w:val="0"/>
                  <w:vAlign w:val="center"/>
                </w:tcPr>
                <w:p>
                  <w:pPr>
                    <w:pStyle w:val="19"/>
                    <w:widowControl w:val="0"/>
                    <w:adjustRightInd w:val="0"/>
                    <w:snapToGrid w:val="0"/>
                    <w:spacing w:before="0" w:beforeAutospacing="0" w:after="0" w:afterAutospacing="0" w:line="276" w:lineRule="auto"/>
                    <w:jc w:val="center"/>
                    <w:rPr>
                      <w:rFonts w:ascii="Times New Roman" w:hAnsi="Times New Roman" w:cs="宋体"/>
                      <w:b/>
                      <w:sz w:val="21"/>
                      <w:szCs w:val="21"/>
                    </w:rPr>
                  </w:pPr>
                  <w:r>
                    <w:rPr>
                      <w:rFonts w:hint="eastAsia" w:ascii="Times New Roman" w:hAnsi="Times New Roman" w:cs="宋体"/>
                      <w:b/>
                      <w:sz w:val="21"/>
                      <w:szCs w:val="21"/>
                    </w:rPr>
                    <w:t>环境风险潜势</w:t>
                  </w:r>
                </w:p>
              </w:tc>
              <w:tc>
                <w:tcPr>
                  <w:tcW w:w="2000" w:type="dxa"/>
                  <w:tcBorders>
                    <w:tl2br w:val="nil"/>
                    <w:tr2bl w:val="nil"/>
                  </w:tcBorders>
                  <w:noWrap w:val="0"/>
                  <w:vAlign w:val="center"/>
                </w:tcPr>
                <w:p>
                  <w:pPr>
                    <w:pStyle w:val="19"/>
                    <w:widowControl w:val="0"/>
                    <w:adjustRightInd w:val="0"/>
                    <w:snapToGrid w:val="0"/>
                    <w:spacing w:before="0" w:beforeAutospacing="0" w:after="0" w:afterAutospacing="0" w:line="276" w:lineRule="auto"/>
                    <w:jc w:val="center"/>
                    <w:rPr>
                      <w:rFonts w:ascii="Times New Roman" w:hAnsi="Times New Roman" w:cs="宋体"/>
                      <w:b/>
                      <w:sz w:val="21"/>
                      <w:szCs w:val="21"/>
                    </w:rPr>
                  </w:pPr>
                  <w:r>
                    <w:rPr>
                      <w:rFonts w:ascii="Times New Roman" w:hAnsi="Times New Roman" w:eastAsia="微软雅黑" w:cs="宋体"/>
                      <w:b/>
                      <w:sz w:val="21"/>
                      <w:szCs w:val="21"/>
                    </w:rPr>
                    <w:t>Ⅳ</w:t>
                  </w:r>
                  <w:r>
                    <w:rPr>
                      <w:rFonts w:hint="eastAsia" w:ascii="Times New Roman" w:hAnsi="Times New Roman" w:cs="宋体"/>
                      <w:b/>
                      <w:sz w:val="21"/>
                      <w:szCs w:val="21"/>
                    </w:rPr>
                    <w:t>、</w:t>
                  </w:r>
                  <w:r>
                    <w:rPr>
                      <w:rFonts w:ascii="Times New Roman" w:hAnsi="Times New Roman" w:eastAsia="微软雅黑" w:cs="宋体"/>
                      <w:b/>
                      <w:sz w:val="21"/>
                      <w:szCs w:val="21"/>
                    </w:rPr>
                    <w:t>Ⅳ</w:t>
                  </w:r>
                  <w:r>
                    <w:rPr>
                      <w:rFonts w:ascii="Times New Roman" w:hAnsi="Times New Roman" w:cs="宋体"/>
                      <w:b/>
                      <w:sz w:val="21"/>
                      <w:szCs w:val="21"/>
                      <w:vertAlign w:val="superscript"/>
                    </w:rPr>
                    <w:t>+</w:t>
                  </w:r>
                </w:p>
              </w:tc>
              <w:tc>
                <w:tcPr>
                  <w:tcW w:w="1963" w:type="dxa"/>
                  <w:tcBorders>
                    <w:tl2br w:val="nil"/>
                    <w:tr2bl w:val="nil"/>
                  </w:tcBorders>
                  <w:noWrap w:val="0"/>
                  <w:vAlign w:val="center"/>
                </w:tcPr>
                <w:p>
                  <w:pPr>
                    <w:pStyle w:val="19"/>
                    <w:widowControl w:val="0"/>
                    <w:adjustRightInd w:val="0"/>
                    <w:snapToGrid w:val="0"/>
                    <w:spacing w:before="0" w:beforeAutospacing="0" w:after="0" w:afterAutospacing="0" w:line="276" w:lineRule="auto"/>
                    <w:jc w:val="center"/>
                    <w:rPr>
                      <w:rFonts w:ascii="Times New Roman" w:hAnsi="Times New Roman" w:cs="宋体"/>
                      <w:b/>
                      <w:sz w:val="21"/>
                      <w:szCs w:val="21"/>
                    </w:rPr>
                  </w:pPr>
                  <w:r>
                    <w:rPr>
                      <w:rFonts w:ascii="Times New Roman" w:hAnsi="Times New Roman" w:eastAsia="微软雅黑" w:cs="宋体"/>
                      <w:b/>
                      <w:sz w:val="21"/>
                      <w:szCs w:val="21"/>
                    </w:rPr>
                    <w:t>Ⅲ</w:t>
                  </w:r>
                </w:p>
              </w:tc>
              <w:tc>
                <w:tcPr>
                  <w:tcW w:w="1963" w:type="dxa"/>
                  <w:tcBorders>
                    <w:tl2br w:val="nil"/>
                    <w:tr2bl w:val="nil"/>
                  </w:tcBorders>
                  <w:noWrap w:val="0"/>
                  <w:vAlign w:val="center"/>
                </w:tcPr>
                <w:p>
                  <w:pPr>
                    <w:pStyle w:val="19"/>
                    <w:widowControl w:val="0"/>
                    <w:adjustRightInd w:val="0"/>
                    <w:snapToGrid w:val="0"/>
                    <w:spacing w:before="0" w:beforeAutospacing="0" w:after="0" w:afterAutospacing="0" w:line="276" w:lineRule="auto"/>
                    <w:jc w:val="center"/>
                    <w:rPr>
                      <w:rFonts w:ascii="Times New Roman" w:hAnsi="Times New Roman" w:cs="宋体"/>
                      <w:b/>
                      <w:sz w:val="21"/>
                      <w:szCs w:val="21"/>
                    </w:rPr>
                  </w:pPr>
                  <w:r>
                    <w:rPr>
                      <w:rFonts w:ascii="Times New Roman" w:hAnsi="Times New Roman" w:eastAsia="微软雅黑" w:cs="宋体"/>
                      <w:b/>
                      <w:sz w:val="21"/>
                      <w:szCs w:val="21"/>
                    </w:rPr>
                    <w:t>Ⅱ</w:t>
                  </w:r>
                </w:p>
              </w:tc>
              <w:tc>
                <w:tcPr>
                  <w:tcW w:w="1965" w:type="dxa"/>
                  <w:tcBorders>
                    <w:tl2br w:val="nil"/>
                    <w:tr2bl w:val="nil"/>
                  </w:tcBorders>
                  <w:noWrap w:val="0"/>
                  <w:vAlign w:val="center"/>
                </w:tcPr>
                <w:p>
                  <w:pPr>
                    <w:pStyle w:val="19"/>
                    <w:widowControl w:val="0"/>
                    <w:adjustRightInd w:val="0"/>
                    <w:snapToGrid w:val="0"/>
                    <w:spacing w:before="0" w:beforeAutospacing="0" w:after="0" w:afterAutospacing="0" w:line="276" w:lineRule="auto"/>
                    <w:jc w:val="center"/>
                    <w:rPr>
                      <w:rFonts w:ascii="Times New Roman" w:hAnsi="Times New Roman" w:cs="宋体"/>
                      <w:b/>
                      <w:sz w:val="21"/>
                      <w:szCs w:val="21"/>
                    </w:rPr>
                  </w:pPr>
                  <w:r>
                    <w:rPr>
                      <w:rFonts w:ascii="Times New Roman" w:hAnsi="Times New Roman" w:eastAsia="微软雅黑" w:cs="宋体"/>
                      <w:b/>
                      <w:sz w:val="21"/>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63" w:type="dxa"/>
                  <w:tcBorders>
                    <w:tl2br w:val="nil"/>
                    <w:tr2bl w:val="nil"/>
                  </w:tcBorders>
                  <w:shd w:val="clear" w:color="auto" w:fill="auto"/>
                  <w:noWrap w:val="0"/>
                  <w:vAlign w:val="center"/>
                </w:tcPr>
                <w:p>
                  <w:pPr>
                    <w:pStyle w:val="19"/>
                    <w:widowControl w:val="0"/>
                    <w:adjustRightInd w:val="0"/>
                    <w:snapToGrid w:val="0"/>
                    <w:spacing w:before="0" w:beforeAutospacing="0" w:after="0" w:afterAutospacing="0" w:line="276" w:lineRule="auto"/>
                    <w:jc w:val="center"/>
                    <w:rPr>
                      <w:rFonts w:ascii="Times New Roman" w:hAnsi="Times New Roman" w:cs="宋体"/>
                      <w:sz w:val="21"/>
                      <w:szCs w:val="21"/>
                    </w:rPr>
                  </w:pPr>
                  <w:r>
                    <w:rPr>
                      <w:rFonts w:hint="eastAsia" w:ascii="Times New Roman" w:hAnsi="Times New Roman" w:cs="宋体"/>
                      <w:sz w:val="21"/>
                      <w:szCs w:val="21"/>
                    </w:rPr>
                    <w:t>评价工作等级</w:t>
                  </w:r>
                </w:p>
              </w:tc>
              <w:tc>
                <w:tcPr>
                  <w:tcW w:w="2000" w:type="dxa"/>
                  <w:tcBorders>
                    <w:tl2br w:val="nil"/>
                    <w:tr2bl w:val="nil"/>
                  </w:tcBorders>
                  <w:shd w:val="clear" w:color="auto" w:fill="auto"/>
                  <w:noWrap w:val="0"/>
                  <w:vAlign w:val="center"/>
                </w:tcPr>
                <w:p>
                  <w:pPr>
                    <w:pStyle w:val="19"/>
                    <w:widowControl w:val="0"/>
                    <w:adjustRightInd w:val="0"/>
                    <w:snapToGrid w:val="0"/>
                    <w:spacing w:before="0" w:beforeAutospacing="0" w:after="0" w:afterAutospacing="0" w:line="276" w:lineRule="auto"/>
                    <w:jc w:val="center"/>
                    <w:rPr>
                      <w:rFonts w:ascii="Times New Roman" w:hAnsi="Times New Roman" w:cs="宋体"/>
                      <w:sz w:val="21"/>
                      <w:szCs w:val="21"/>
                    </w:rPr>
                  </w:pPr>
                  <w:r>
                    <w:rPr>
                      <w:rFonts w:hint="eastAsia" w:ascii="Times New Roman" w:hAnsi="Times New Roman" w:cs="宋体"/>
                      <w:sz w:val="21"/>
                      <w:szCs w:val="21"/>
                    </w:rPr>
                    <w:t>一</w:t>
                  </w:r>
                </w:p>
              </w:tc>
              <w:tc>
                <w:tcPr>
                  <w:tcW w:w="1963" w:type="dxa"/>
                  <w:tcBorders>
                    <w:tl2br w:val="nil"/>
                    <w:tr2bl w:val="nil"/>
                  </w:tcBorders>
                  <w:shd w:val="clear" w:color="auto" w:fill="auto"/>
                  <w:noWrap w:val="0"/>
                  <w:vAlign w:val="center"/>
                </w:tcPr>
                <w:p>
                  <w:pPr>
                    <w:pStyle w:val="19"/>
                    <w:widowControl w:val="0"/>
                    <w:adjustRightInd w:val="0"/>
                    <w:snapToGrid w:val="0"/>
                    <w:spacing w:before="0" w:beforeAutospacing="0" w:after="0" w:afterAutospacing="0" w:line="276" w:lineRule="auto"/>
                    <w:jc w:val="center"/>
                    <w:rPr>
                      <w:rFonts w:ascii="Times New Roman" w:hAnsi="Times New Roman" w:cs="宋体"/>
                      <w:sz w:val="21"/>
                      <w:szCs w:val="21"/>
                    </w:rPr>
                  </w:pPr>
                  <w:r>
                    <w:rPr>
                      <w:rFonts w:hint="eastAsia" w:ascii="Times New Roman" w:hAnsi="Times New Roman" w:cs="宋体"/>
                      <w:sz w:val="21"/>
                      <w:szCs w:val="21"/>
                    </w:rPr>
                    <w:t>二</w:t>
                  </w:r>
                </w:p>
              </w:tc>
              <w:tc>
                <w:tcPr>
                  <w:tcW w:w="1963" w:type="dxa"/>
                  <w:tcBorders>
                    <w:tl2br w:val="nil"/>
                    <w:tr2bl w:val="nil"/>
                  </w:tcBorders>
                  <w:shd w:val="clear" w:color="auto" w:fill="auto"/>
                  <w:noWrap w:val="0"/>
                  <w:vAlign w:val="center"/>
                </w:tcPr>
                <w:p>
                  <w:pPr>
                    <w:pStyle w:val="19"/>
                    <w:widowControl w:val="0"/>
                    <w:adjustRightInd w:val="0"/>
                    <w:snapToGrid w:val="0"/>
                    <w:spacing w:before="0" w:beforeAutospacing="0" w:after="0" w:afterAutospacing="0" w:line="276" w:lineRule="auto"/>
                    <w:jc w:val="center"/>
                    <w:rPr>
                      <w:rFonts w:ascii="Times New Roman" w:hAnsi="Times New Roman" w:cs="宋体"/>
                      <w:sz w:val="21"/>
                      <w:szCs w:val="21"/>
                    </w:rPr>
                  </w:pPr>
                  <w:r>
                    <w:rPr>
                      <w:rFonts w:hint="eastAsia" w:ascii="Times New Roman" w:hAnsi="Times New Roman" w:cs="宋体"/>
                      <w:sz w:val="21"/>
                      <w:szCs w:val="21"/>
                    </w:rPr>
                    <w:t>三</w:t>
                  </w:r>
                </w:p>
              </w:tc>
              <w:tc>
                <w:tcPr>
                  <w:tcW w:w="1965" w:type="dxa"/>
                  <w:tcBorders>
                    <w:tl2br w:val="nil"/>
                    <w:tr2bl w:val="nil"/>
                  </w:tcBorders>
                  <w:shd w:val="pct10" w:color="auto" w:fill="auto"/>
                  <w:noWrap w:val="0"/>
                  <w:vAlign w:val="center"/>
                </w:tcPr>
                <w:p>
                  <w:pPr>
                    <w:pStyle w:val="19"/>
                    <w:widowControl w:val="0"/>
                    <w:adjustRightInd w:val="0"/>
                    <w:snapToGrid w:val="0"/>
                    <w:spacing w:before="0" w:beforeAutospacing="0" w:after="0" w:afterAutospacing="0" w:line="276" w:lineRule="auto"/>
                    <w:jc w:val="center"/>
                    <w:rPr>
                      <w:rFonts w:ascii="Times New Roman" w:hAnsi="Times New Roman" w:cs="宋体"/>
                      <w:sz w:val="21"/>
                      <w:szCs w:val="21"/>
                    </w:rPr>
                  </w:pPr>
                  <w:r>
                    <w:rPr>
                      <w:rFonts w:hint="eastAsia" w:ascii="Times New Roman" w:hAnsi="Times New Roman" w:cs="宋体"/>
                      <w:sz w:val="21"/>
                      <w:szCs w:val="21"/>
                    </w:rPr>
                    <w:t>简单分析</w:t>
                  </w:r>
                  <w:r>
                    <w:rPr>
                      <w:rFonts w:ascii="Times New Roman" w:hAnsi="Times New Roman" w:cs="宋体"/>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854" w:type="dxa"/>
                  <w:gridSpan w:val="5"/>
                  <w:tcBorders>
                    <w:tl2br w:val="nil"/>
                    <w:tr2bl w:val="nil"/>
                  </w:tcBorders>
                  <w:noWrap w:val="0"/>
                  <w:vAlign w:val="center"/>
                </w:tcPr>
                <w:p>
                  <w:pPr>
                    <w:pStyle w:val="19"/>
                    <w:widowControl w:val="0"/>
                    <w:adjustRightInd w:val="0"/>
                    <w:snapToGrid w:val="0"/>
                    <w:spacing w:before="0" w:beforeAutospacing="0" w:after="0" w:afterAutospacing="0" w:line="276" w:lineRule="auto"/>
                    <w:jc w:val="both"/>
                    <w:rPr>
                      <w:rFonts w:ascii="Times New Roman" w:hAnsi="Times New Roman" w:cs="宋体"/>
                      <w:sz w:val="21"/>
                      <w:szCs w:val="21"/>
                    </w:rPr>
                  </w:pPr>
                  <w:r>
                    <w:rPr>
                      <w:rFonts w:ascii="Times New Roman" w:hAnsi="Times New Roman" w:cs="宋体"/>
                      <w:sz w:val="21"/>
                      <w:szCs w:val="21"/>
                      <w:vertAlign w:val="superscript"/>
                    </w:rPr>
                    <w:t>a</w:t>
                  </w:r>
                  <w:r>
                    <w:rPr>
                      <w:rFonts w:hint="eastAsia" w:ascii="Times New Roman" w:hAnsi="Times New Roman" w:cs="宋体"/>
                      <w:sz w:val="21"/>
                      <w:szCs w:val="21"/>
                    </w:rPr>
                    <w:t>：是相当于详细评价工作内容而言，在描述危险物质、环境影响途径、环境危害后果、风险防范措施等方面给出定性说明。</w:t>
                  </w:r>
                </w:p>
              </w:tc>
            </w:tr>
          </w:tbl>
          <w:p>
            <w:pPr>
              <w:adjustRightInd w:val="0"/>
              <w:snapToGrid w:val="0"/>
              <w:spacing w:before="120" w:beforeLines="50" w:line="360" w:lineRule="auto"/>
              <w:ind w:firstLine="480" w:firstLineChars="200"/>
              <w:rPr>
                <w:bCs/>
              </w:rPr>
            </w:pPr>
            <w:r>
              <w:rPr>
                <w:rFonts w:hint="eastAsia"/>
                <w:bCs/>
              </w:rPr>
              <w:t>（2）</w:t>
            </w:r>
            <w:r>
              <w:rPr>
                <w:bCs/>
              </w:rPr>
              <w:t>环境风险识别及分析</w:t>
            </w:r>
          </w:p>
          <w:p>
            <w:pPr>
              <w:adjustRightInd w:val="0"/>
              <w:snapToGrid w:val="0"/>
              <w:spacing w:line="360" w:lineRule="auto"/>
              <w:ind w:firstLine="480" w:firstLineChars="200"/>
            </w:pPr>
            <w:r>
              <w:t>根据导则要求，环境风险评价的风险识别范围主要包括生产设施风险识别以及生产过程中物质风险识别。</w:t>
            </w:r>
            <w:r>
              <w:rPr>
                <w:rFonts w:hint="eastAsia"/>
              </w:rPr>
              <w:t>本</w:t>
            </w:r>
            <w:r>
              <w:t>项目运营期环境风险识别结果见下表。</w:t>
            </w:r>
          </w:p>
          <w:p>
            <w:pPr>
              <w:adjustRightInd w:val="0"/>
              <w:snapToGrid w:val="0"/>
              <w:jc w:val="center"/>
              <w:rPr>
                <w:rFonts w:hint="eastAsia" w:ascii="宋体" w:hAnsi="宋体" w:cs="宋体"/>
                <w:b/>
                <w:bCs/>
              </w:rPr>
            </w:pPr>
            <w:r>
              <w:rPr>
                <w:rFonts w:hint="eastAsia" w:ascii="宋体" w:hAnsi="宋体" w:cs="宋体"/>
                <w:b/>
                <w:bCs/>
              </w:rPr>
              <w:t>表4-</w:t>
            </w:r>
            <w:r>
              <w:rPr>
                <w:rFonts w:hint="eastAsia" w:ascii="宋体" w:hAnsi="宋体" w:cs="宋体"/>
                <w:b/>
                <w:bCs/>
                <w:lang w:val="en-US" w:eastAsia="zh-CN"/>
              </w:rPr>
              <w:t>20</w:t>
            </w:r>
            <w:r>
              <w:rPr>
                <w:rFonts w:hint="eastAsia" w:ascii="宋体" w:hAnsi="宋体" w:cs="宋体"/>
                <w:b/>
                <w:bCs/>
              </w:rPr>
              <w:t xml:space="preserve"> 环境风险识别一览表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88"/>
              <w:gridCol w:w="1060"/>
              <w:gridCol w:w="1476"/>
              <w:gridCol w:w="3303"/>
              <w:gridCol w:w="21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3" w:type="pct"/>
                  <w:tcBorders>
                    <w:tl2br w:val="nil"/>
                    <w:tr2bl w:val="nil"/>
                  </w:tcBorders>
                  <w:noWrap w:val="0"/>
                  <w:vAlign w:val="center"/>
                </w:tcPr>
                <w:p>
                  <w:pPr>
                    <w:pStyle w:val="48"/>
                    <w:adjustRightInd w:val="0"/>
                    <w:snapToGrid w:val="0"/>
                    <w:spacing w:line="240" w:lineRule="auto"/>
                    <w:rPr>
                      <w:b/>
                      <w:sz w:val="21"/>
                      <w:szCs w:val="21"/>
                    </w:rPr>
                  </w:pPr>
                  <w:r>
                    <w:rPr>
                      <w:b/>
                      <w:sz w:val="21"/>
                      <w:szCs w:val="21"/>
                    </w:rPr>
                    <w:t>危险</w:t>
                  </w:r>
                </w:p>
                <w:p>
                  <w:pPr>
                    <w:pStyle w:val="48"/>
                    <w:adjustRightInd w:val="0"/>
                    <w:snapToGrid w:val="0"/>
                    <w:spacing w:line="240" w:lineRule="auto"/>
                    <w:rPr>
                      <w:b/>
                      <w:sz w:val="21"/>
                      <w:szCs w:val="21"/>
                    </w:rPr>
                  </w:pPr>
                  <w:r>
                    <w:rPr>
                      <w:b/>
                      <w:sz w:val="21"/>
                      <w:szCs w:val="21"/>
                    </w:rPr>
                    <w:t>单元</w:t>
                  </w:r>
                </w:p>
              </w:tc>
              <w:tc>
                <w:tcPr>
                  <w:tcW w:w="600" w:type="pct"/>
                  <w:tcBorders>
                    <w:tl2br w:val="nil"/>
                    <w:tr2bl w:val="nil"/>
                  </w:tcBorders>
                  <w:noWrap w:val="0"/>
                  <w:vAlign w:val="center"/>
                </w:tcPr>
                <w:p>
                  <w:pPr>
                    <w:pStyle w:val="48"/>
                    <w:adjustRightInd w:val="0"/>
                    <w:snapToGrid w:val="0"/>
                    <w:spacing w:line="240" w:lineRule="auto"/>
                    <w:rPr>
                      <w:b/>
                      <w:sz w:val="21"/>
                      <w:szCs w:val="21"/>
                    </w:rPr>
                  </w:pPr>
                  <w:r>
                    <w:rPr>
                      <w:b/>
                      <w:sz w:val="21"/>
                      <w:szCs w:val="21"/>
                    </w:rPr>
                    <w:t>主要危险物质</w:t>
                  </w:r>
                </w:p>
              </w:tc>
              <w:tc>
                <w:tcPr>
                  <w:tcW w:w="835" w:type="pct"/>
                  <w:tcBorders>
                    <w:tl2br w:val="nil"/>
                    <w:tr2bl w:val="nil"/>
                  </w:tcBorders>
                  <w:noWrap w:val="0"/>
                  <w:vAlign w:val="center"/>
                </w:tcPr>
                <w:p>
                  <w:pPr>
                    <w:pStyle w:val="48"/>
                    <w:adjustRightInd w:val="0"/>
                    <w:snapToGrid w:val="0"/>
                    <w:spacing w:line="240" w:lineRule="auto"/>
                    <w:rPr>
                      <w:b/>
                      <w:sz w:val="21"/>
                      <w:szCs w:val="21"/>
                    </w:rPr>
                  </w:pPr>
                  <w:r>
                    <w:rPr>
                      <w:b/>
                      <w:sz w:val="21"/>
                      <w:szCs w:val="21"/>
                    </w:rPr>
                    <w:t>环境风险</w:t>
                  </w:r>
                </w:p>
                <w:p>
                  <w:pPr>
                    <w:pStyle w:val="48"/>
                    <w:adjustRightInd w:val="0"/>
                    <w:snapToGrid w:val="0"/>
                    <w:spacing w:line="240" w:lineRule="auto"/>
                    <w:rPr>
                      <w:b/>
                      <w:sz w:val="21"/>
                      <w:szCs w:val="21"/>
                    </w:rPr>
                  </w:pPr>
                  <w:r>
                    <w:rPr>
                      <w:b/>
                      <w:sz w:val="21"/>
                      <w:szCs w:val="21"/>
                    </w:rPr>
                    <w:t>类型</w:t>
                  </w:r>
                </w:p>
              </w:tc>
              <w:tc>
                <w:tcPr>
                  <w:tcW w:w="1869" w:type="pct"/>
                  <w:tcBorders>
                    <w:tl2br w:val="nil"/>
                    <w:tr2bl w:val="nil"/>
                  </w:tcBorders>
                  <w:noWrap w:val="0"/>
                  <w:vAlign w:val="center"/>
                </w:tcPr>
                <w:p>
                  <w:pPr>
                    <w:pStyle w:val="48"/>
                    <w:adjustRightInd w:val="0"/>
                    <w:snapToGrid w:val="0"/>
                    <w:spacing w:line="240" w:lineRule="auto"/>
                    <w:rPr>
                      <w:b/>
                      <w:sz w:val="21"/>
                      <w:szCs w:val="21"/>
                    </w:rPr>
                  </w:pPr>
                  <w:r>
                    <w:rPr>
                      <w:b/>
                      <w:sz w:val="21"/>
                      <w:szCs w:val="21"/>
                    </w:rPr>
                    <w:t>环境影响途径</w:t>
                  </w:r>
                </w:p>
              </w:tc>
              <w:tc>
                <w:tcPr>
                  <w:tcW w:w="1191" w:type="pct"/>
                  <w:tcBorders>
                    <w:tl2br w:val="nil"/>
                    <w:tr2bl w:val="nil"/>
                  </w:tcBorders>
                  <w:noWrap w:val="0"/>
                  <w:vAlign w:val="center"/>
                </w:tcPr>
                <w:p>
                  <w:pPr>
                    <w:pStyle w:val="48"/>
                    <w:adjustRightInd w:val="0"/>
                    <w:snapToGrid w:val="0"/>
                    <w:spacing w:line="240" w:lineRule="auto"/>
                    <w:rPr>
                      <w:b/>
                      <w:sz w:val="21"/>
                      <w:szCs w:val="21"/>
                    </w:rPr>
                  </w:pPr>
                  <w:r>
                    <w:rPr>
                      <w:b/>
                      <w:sz w:val="21"/>
                      <w:szCs w:val="21"/>
                    </w:rPr>
                    <w:t>可能受影响的</w:t>
                  </w:r>
                </w:p>
                <w:p>
                  <w:pPr>
                    <w:pStyle w:val="48"/>
                    <w:adjustRightInd w:val="0"/>
                    <w:snapToGrid w:val="0"/>
                    <w:spacing w:line="240" w:lineRule="auto"/>
                    <w:rPr>
                      <w:b/>
                      <w:sz w:val="21"/>
                      <w:szCs w:val="21"/>
                    </w:rPr>
                  </w:pPr>
                  <w:r>
                    <w:rPr>
                      <w:b/>
                      <w:sz w:val="21"/>
                      <w:szCs w:val="21"/>
                    </w:rPr>
                    <w:t>环境敏感目标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3" w:type="pct"/>
                  <w:tcBorders>
                    <w:tl2br w:val="nil"/>
                    <w:tr2bl w:val="nil"/>
                  </w:tcBorders>
                  <w:noWrap w:val="0"/>
                  <w:vAlign w:val="center"/>
                </w:tcPr>
                <w:p>
                  <w:pPr>
                    <w:pStyle w:val="48"/>
                    <w:adjustRightInd w:val="0"/>
                    <w:snapToGrid w:val="0"/>
                    <w:spacing w:line="276" w:lineRule="auto"/>
                    <w:rPr>
                      <w:sz w:val="21"/>
                      <w:szCs w:val="21"/>
                    </w:rPr>
                  </w:pPr>
                  <w:r>
                    <w:rPr>
                      <w:rFonts w:hint="eastAsia"/>
                      <w:sz w:val="21"/>
                      <w:szCs w:val="21"/>
                    </w:rPr>
                    <w:t>危废暂存间</w:t>
                  </w:r>
                </w:p>
              </w:tc>
              <w:tc>
                <w:tcPr>
                  <w:tcW w:w="600" w:type="pct"/>
                  <w:tcBorders>
                    <w:tl2br w:val="nil"/>
                    <w:tr2bl w:val="nil"/>
                  </w:tcBorders>
                  <w:noWrap w:val="0"/>
                  <w:vAlign w:val="center"/>
                </w:tcPr>
                <w:p>
                  <w:pPr>
                    <w:pStyle w:val="48"/>
                    <w:adjustRightInd w:val="0"/>
                    <w:snapToGrid w:val="0"/>
                    <w:spacing w:line="276" w:lineRule="auto"/>
                    <w:rPr>
                      <w:sz w:val="21"/>
                      <w:szCs w:val="21"/>
                    </w:rPr>
                  </w:pPr>
                  <w:r>
                    <w:rPr>
                      <w:rFonts w:hint="eastAsia"/>
                      <w:sz w:val="21"/>
                      <w:szCs w:val="21"/>
                    </w:rPr>
                    <w:t>废</w:t>
                  </w:r>
                  <w:r>
                    <w:rPr>
                      <w:rFonts w:hint="eastAsia"/>
                      <w:sz w:val="21"/>
                      <w:szCs w:val="21"/>
                      <w:lang w:val="en-US" w:eastAsia="zh-CN"/>
                    </w:rPr>
                    <w:t>矿物</w:t>
                  </w:r>
                  <w:r>
                    <w:rPr>
                      <w:rFonts w:hint="eastAsia"/>
                      <w:sz w:val="21"/>
                      <w:szCs w:val="21"/>
                    </w:rPr>
                    <w:t>油</w:t>
                  </w:r>
                </w:p>
              </w:tc>
              <w:tc>
                <w:tcPr>
                  <w:tcW w:w="835" w:type="pct"/>
                  <w:tcBorders>
                    <w:tl2br w:val="nil"/>
                    <w:tr2bl w:val="nil"/>
                  </w:tcBorders>
                  <w:noWrap w:val="0"/>
                  <w:vAlign w:val="center"/>
                </w:tcPr>
                <w:p>
                  <w:pPr>
                    <w:pStyle w:val="48"/>
                    <w:adjustRightInd w:val="0"/>
                    <w:snapToGrid w:val="0"/>
                    <w:spacing w:line="276" w:lineRule="auto"/>
                    <w:rPr>
                      <w:sz w:val="21"/>
                      <w:szCs w:val="21"/>
                    </w:rPr>
                  </w:pPr>
                  <w:r>
                    <w:rPr>
                      <w:rFonts w:hint="eastAsia"/>
                      <w:sz w:val="21"/>
                      <w:szCs w:val="21"/>
                    </w:rPr>
                    <w:t>盛装容器</w:t>
                  </w:r>
                  <w:r>
                    <w:rPr>
                      <w:sz w:val="21"/>
                      <w:szCs w:val="21"/>
                    </w:rPr>
                    <w:t>破损导致泄漏</w:t>
                  </w:r>
                </w:p>
              </w:tc>
              <w:tc>
                <w:tcPr>
                  <w:tcW w:w="1869" w:type="pct"/>
                  <w:tcBorders>
                    <w:tl2br w:val="nil"/>
                    <w:tr2bl w:val="nil"/>
                  </w:tcBorders>
                  <w:noWrap w:val="0"/>
                  <w:vAlign w:val="center"/>
                </w:tcPr>
                <w:p>
                  <w:pPr>
                    <w:pStyle w:val="48"/>
                    <w:adjustRightInd w:val="0"/>
                    <w:snapToGrid w:val="0"/>
                    <w:spacing w:line="276" w:lineRule="auto"/>
                    <w:rPr>
                      <w:sz w:val="21"/>
                      <w:szCs w:val="21"/>
                    </w:rPr>
                  </w:pPr>
                  <w:r>
                    <w:rPr>
                      <w:rFonts w:hint="eastAsia"/>
                      <w:sz w:val="21"/>
                      <w:szCs w:val="21"/>
                    </w:rPr>
                    <w:t>存装废</w:t>
                  </w:r>
                  <w:r>
                    <w:rPr>
                      <w:rFonts w:hint="eastAsia"/>
                      <w:sz w:val="21"/>
                      <w:szCs w:val="21"/>
                      <w:lang w:val="en-US" w:eastAsia="zh-CN"/>
                    </w:rPr>
                    <w:t>矿物</w:t>
                  </w:r>
                  <w:r>
                    <w:rPr>
                      <w:rFonts w:hint="eastAsia"/>
                      <w:sz w:val="21"/>
                      <w:szCs w:val="21"/>
                    </w:rPr>
                    <w:t>油的装置</w:t>
                  </w:r>
                  <w:r>
                    <w:rPr>
                      <w:sz w:val="21"/>
                      <w:szCs w:val="21"/>
                    </w:rPr>
                    <w:t>破损导致泄漏液体</w:t>
                  </w:r>
                  <w:r>
                    <w:rPr>
                      <w:rFonts w:hint="eastAsia"/>
                      <w:sz w:val="21"/>
                      <w:szCs w:val="21"/>
                    </w:rPr>
                    <w:t>或火灾事故产生废气对环境空气产生不利影响</w:t>
                  </w:r>
                </w:p>
              </w:tc>
              <w:tc>
                <w:tcPr>
                  <w:tcW w:w="1191" w:type="pct"/>
                  <w:tcBorders>
                    <w:tl2br w:val="nil"/>
                    <w:tr2bl w:val="nil"/>
                  </w:tcBorders>
                  <w:noWrap w:val="0"/>
                  <w:vAlign w:val="center"/>
                </w:tcPr>
                <w:p>
                  <w:pPr>
                    <w:adjustRightInd w:val="0"/>
                    <w:snapToGrid w:val="0"/>
                    <w:spacing w:line="276" w:lineRule="auto"/>
                    <w:jc w:val="center"/>
                    <w:rPr>
                      <w:sz w:val="21"/>
                      <w:szCs w:val="21"/>
                    </w:rPr>
                  </w:pPr>
                  <w:r>
                    <w:rPr>
                      <w:rFonts w:hint="eastAsia"/>
                      <w:sz w:val="21"/>
                      <w:szCs w:val="21"/>
                    </w:rPr>
                    <w:t>下风向</w:t>
                  </w:r>
                  <w:r>
                    <w:rPr>
                      <w:sz w:val="21"/>
                      <w:szCs w:val="21"/>
                    </w:rPr>
                    <w:t>居民点、区域土壤、地下水</w:t>
                  </w:r>
                </w:p>
              </w:tc>
            </w:tr>
          </w:tbl>
          <w:p>
            <w:pPr>
              <w:adjustRightInd w:val="0"/>
              <w:snapToGrid w:val="0"/>
              <w:spacing w:before="120" w:beforeLines="50" w:line="360" w:lineRule="auto"/>
              <w:ind w:firstLine="480" w:firstLineChars="200"/>
            </w:pPr>
            <w:r>
              <w:rPr>
                <w:rFonts w:hint="eastAsia"/>
              </w:rPr>
              <w:t>（3）危废暂存库</w:t>
            </w:r>
            <w:r>
              <w:t>风险防范措施</w:t>
            </w:r>
          </w:p>
          <w:p>
            <w:pPr>
              <w:adjustRightInd w:val="0"/>
              <w:snapToGrid w:val="0"/>
              <w:spacing w:line="360" w:lineRule="auto"/>
              <w:ind w:firstLine="480" w:firstLineChars="200"/>
            </w:pPr>
            <w:r>
              <w:rPr>
                <w:rFonts w:hint="eastAsia"/>
              </w:rPr>
              <w:t>本项目危废暂存库</w:t>
            </w:r>
            <w:r>
              <w:t>存放有</w:t>
            </w:r>
            <w:r>
              <w:rPr>
                <w:rFonts w:hint="eastAsia"/>
              </w:rPr>
              <w:t>废</w:t>
            </w:r>
            <w:r>
              <w:rPr>
                <w:rFonts w:hint="eastAsia"/>
                <w:lang w:val="en-US" w:eastAsia="zh-CN"/>
              </w:rPr>
              <w:t>矿物</w:t>
            </w:r>
            <w:r>
              <w:rPr>
                <w:rFonts w:hint="eastAsia"/>
              </w:rPr>
              <w:t>油，采用桶装存放，因此建设单位应做到如下：</w:t>
            </w:r>
          </w:p>
          <w:p>
            <w:pPr>
              <w:pStyle w:val="32"/>
              <w:autoSpaceDE/>
              <w:autoSpaceDN/>
              <w:snapToGrid w:val="0"/>
              <w:spacing w:line="360" w:lineRule="auto"/>
              <w:ind w:firstLine="480" w:firstLineChars="200"/>
              <w:rPr>
                <w:bCs/>
                <w:color w:val="auto"/>
              </w:rPr>
            </w:pPr>
            <w:r>
              <w:rPr>
                <w:rFonts w:hint="eastAsia"/>
                <w:bCs/>
                <w:color w:val="auto"/>
              </w:rPr>
              <w:t>①桶装危废单层码放，禁止多层堆叠。</w:t>
            </w:r>
          </w:p>
          <w:p>
            <w:pPr>
              <w:pStyle w:val="32"/>
              <w:autoSpaceDE/>
              <w:autoSpaceDN/>
              <w:snapToGrid w:val="0"/>
              <w:spacing w:line="360" w:lineRule="auto"/>
              <w:ind w:firstLine="480" w:firstLineChars="200"/>
              <w:rPr>
                <w:bCs/>
                <w:color w:val="auto"/>
              </w:rPr>
            </w:pPr>
            <w:r>
              <w:rPr>
                <w:rFonts w:hint="eastAsia"/>
                <w:bCs/>
                <w:color w:val="auto"/>
              </w:rPr>
              <w:t>②</w:t>
            </w:r>
            <w:r>
              <w:rPr>
                <w:color w:val="auto"/>
              </w:rPr>
              <w:t>危废暂存库地面、裙角等按照《危险废物贮存污染控制标准》（GB18597-20</w:t>
            </w:r>
            <w:r>
              <w:rPr>
                <w:rFonts w:hint="eastAsia"/>
                <w:color w:val="auto"/>
              </w:rPr>
              <w:t>23</w:t>
            </w:r>
            <w:r>
              <w:rPr>
                <w:color w:val="auto"/>
              </w:rPr>
              <w:t>）的相关要求进行建设，并设置导流沟和</w:t>
            </w:r>
            <w:r>
              <w:rPr>
                <w:rFonts w:hint="eastAsia"/>
                <w:color w:val="auto"/>
              </w:rPr>
              <w:t>集液池</w:t>
            </w:r>
            <w:r>
              <w:rPr>
                <w:rFonts w:hint="eastAsia"/>
                <w:bCs/>
                <w:color w:val="auto"/>
              </w:rPr>
              <w:t>（不小于0.5m</w:t>
            </w:r>
            <w:r>
              <w:rPr>
                <w:rFonts w:hint="eastAsia"/>
                <w:bCs/>
                <w:color w:val="auto"/>
                <w:vertAlign w:val="superscript"/>
              </w:rPr>
              <w:t>3</w:t>
            </w:r>
            <w:r>
              <w:rPr>
                <w:rFonts w:hint="eastAsia"/>
                <w:bCs/>
                <w:color w:val="auto"/>
              </w:rPr>
              <w:t>）</w:t>
            </w:r>
            <w:r>
              <w:rPr>
                <w:rFonts w:hint="eastAsia"/>
                <w:color w:val="auto"/>
              </w:rPr>
              <w:t>。</w:t>
            </w:r>
          </w:p>
          <w:p>
            <w:pPr>
              <w:adjustRightInd w:val="0"/>
              <w:snapToGrid w:val="0"/>
              <w:spacing w:line="360" w:lineRule="auto"/>
              <w:ind w:firstLine="480" w:firstLineChars="200"/>
            </w:pPr>
            <w:r>
              <w:rPr>
                <w:rFonts w:hint="eastAsia"/>
              </w:rPr>
              <w:t>③</w:t>
            </w:r>
            <w:r>
              <w:t>危废暂存库安排专人管理，并记录台账。</w:t>
            </w:r>
          </w:p>
          <w:p>
            <w:pPr>
              <w:adjustRightInd w:val="0"/>
              <w:snapToGrid w:val="0"/>
              <w:spacing w:line="360" w:lineRule="auto"/>
              <w:ind w:firstLine="480" w:firstLineChars="200"/>
              <w:rPr>
                <w:rFonts w:hAnsi="宋体"/>
              </w:rPr>
            </w:pPr>
            <w:r>
              <w:rPr>
                <w:rFonts w:hint="eastAsia"/>
              </w:rPr>
              <w:t>④</w:t>
            </w:r>
            <w:r>
              <w:rPr>
                <w:rFonts w:hAnsi="宋体"/>
              </w:rPr>
              <w:t>加强危废的转运管理，避免转移过程出现倾倒。</w:t>
            </w:r>
          </w:p>
          <w:p>
            <w:pPr>
              <w:pStyle w:val="32"/>
              <w:autoSpaceDE/>
              <w:autoSpaceDN/>
              <w:snapToGrid w:val="0"/>
              <w:spacing w:line="360" w:lineRule="auto"/>
              <w:ind w:firstLine="480" w:firstLineChars="200"/>
              <w:rPr>
                <w:color w:val="auto"/>
              </w:rPr>
            </w:pPr>
            <w:r>
              <w:rPr>
                <w:rFonts w:hint="eastAsia"/>
                <w:color w:val="auto"/>
              </w:rPr>
              <w:t>（</w:t>
            </w:r>
            <w:r>
              <w:rPr>
                <w:rFonts w:hint="eastAsia"/>
                <w:color w:val="auto"/>
                <w:lang w:val="en-US" w:eastAsia="zh-CN"/>
              </w:rPr>
              <w:t>4</w:t>
            </w:r>
            <w:r>
              <w:rPr>
                <w:rFonts w:hint="eastAsia"/>
                <w:color w:val="auto"/>
              </w:rPr>
              <w:t>）</w:t>
            </w:r>
            <w:r>
              <w:rPr>
                <w:color w:val="auto"/>
              </w:rPr>
              <w:t>环境风险简单分析</w:t>
            </w:r>
          </w:p>
          <w:p>
            <w:pPr>
              <w:adjustRightInd w:val="0"/>
              <w:snapToGrid w:val="0"/>
              <w:jc w:val="center"/>
              <w:rPr>
                <w:rFonts w:hint="eastAsia" w:ascii="宋体" w:hAnsi="宋体" w:cs="宋体"/>
                <w:b/>
                <w:bCs/>
              </w:rPr>
            </w:pPr>
            <w:r>
              <w:rPr>
                <w:rFonts w:hint="eastAsia" w:ascii="宋体" w:hAnsi="宋体" w:cs="宋体"/>
                <w:b/>
                <w:bCs/>
              </w:rPr>
              <w:t>表4-</w:t>
            </w:r>
            <w:r>
              <w:rPr>
                <w:rFonts w:hint="eastAsia" w:ascii="宋体" w:hAnsi="宋体" w:cs="宋体"/>
                <w:b/>
                <w:bCs/>
                <w:lang w:val="en-US" w:eastAsia="zh-CN"/>
              </w:rPr>
              <w:t>21</w:t>
            </w:r>
            <w:r>
              <w:rPr>
                <w:rFonts w:hint="eastAsia" w:ascii="宋体" w:hAnsi="宋体" w:cs="宋体"/>
                <w:b/>
                <w:bCs/>
              </w:rPr>
              <w:t xml:space="preserve"> 建设项目环境风险简单分析内容表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575"/>
              <w:gridCol w:w="2166"/>
              <w:gridCol w:w="972"/>
              <w:gridCol w:w="24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8"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b/>
                      <w:sz w:val="21"/>
                      <w:szCs w:val="21"/>
                    </w:rPr>
                  </w:pPr>
                  <w:r>
                    <w:rPr>
                      <w:rFonts w:hAnsi="宋体"/>
                      <w:b/>
                      <w:sz w:val="21"/>
                      <w:szCs w:val="21"/>
                    </w:rPr>
                    <w:t>建设项目名称</w:t>
                  </w:r>
                </w:p>
              </w:tc>
              <w:tc>
                <w:tcPr>
                  <w:tcW w:w="4051" w:type="pct"/>
                  <w:gridSpan w:val="4"/>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lang w:val="en-US" w:eastAsia="zh-CN"/>
                    </w:rPr>
                    <w:t>今麦郎饮品（淮北）有限</w:t>
                  </w:r>
                  <w:r>
                    <w:rPr>
                      <w:sz w:val="21"/>
                      <w:szCs w:val="21"/>
                    </w:rPr>
                    <w:t>公司</w:t>
                  </w:r>
                  <w:r>
                    <w:rPr>
                      <w:rFonts w:hint="eastAsia"/>
                      <w:sz w:val="21"/>
                      <w:szCs w:val="21"/>
                      <w:lang w:val="en-US" w:eastAsia="zh-CN"/>
                    </w:rPr>
                    <w:t>今麦郎软化纯净水生产技术改造升级</w:t>
                  </w:r>
                  <w:r>
                    <w:rPr>
                      <w:rFonts w:hint="eastAsia"/>
                      <w:sz w:val="21"/>
                      <w:szCs w:val="21"/>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8"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b/>
                      <w:sz w:val="21"/>
                      <w:szCs w:val="21"/>
                    </w:rPr>
                  </w:pPr>
                  <w:r>
                    <w:rPr>
                      <w:rFonts w:hAnsi="宋体"/>
                      <w:b/>
                      <w:sz w:val="21"/>
                      <w:szCs w:val="21"/>
                    </w:rPr>
                    <w:t>建设地点</w:t>
                  </w:r>
                </w:p>
              </w:tc>
              <w:tc>
                <w:tcPr>
                  <w:tcW w:w="4051" w:type="pct"/>
                  <w:gridSpan w:val="4"/>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spacing w:val="-2"/>
                      <w:sz w:val="21"/>
                      <w:szCs w:val="21"/>
                    </w:rPr>
                  </w:pPr>
                  <w:r>
                    <w:rPr>
                      <w:rFonts w:hint="eastAsia" w:hAnsi="宋体"/>
                      <w:spacing w:val="-2"/>
                      <w:sz w:val="21"/>
                      <w:szCs w:val="21"/>
                    </w:rPr>
                    <w:t>安徽省淮北市相山经济开发区凤</w:t>
                  </w:r>
                  <w:r>
                    <w:rPr>
                      <w:rFonts w:hint="eastAsia" w:hAnsi="宋体"/>
                      <w:spacing w:val="-2"/>
                      <w:sz w:val="21"/>
                      <w:szCs w:val="21"/>
                      <w:lang w:val="en-US" w:eastAsia="zh-CN"/>
                    </w:rPr>
                    <w:t>冠</w:t>
                  </w:r>
                  <w:r>
                    <w:rPr>
                      <w:rFonts w:hint="eastAsia" w:hAnsi="宋体"/>
                      <w:spacing w:val="-2"/>
                      <w:sz w:val="21"/>
                      <w:szCs w:val="21"/>
                    </w:rPr>
                    <w:t>路2</w:t>
                  </w:r>
                  <w:r>
                    <w:rPr>
                      <w:rFonts w:hint="eastAsia" w:hAnsi="宋体"/>
                      <w:spacing w:val="-2"/>
                      <w:sz w:val="21"/>
                      <w:szCs w:val="21"/>
                      <w:lang w:val="en-US" w:eastAsia="zh-CN"/>
                    </w:rPr>
                    <w:t>0</w:t>
                  </w:r>
                  <w:r>
                    <w:rPr>
                      <w:rFonts w:hint="eastAsia" w:hAnsi="宋体"/>
                      <w:spacing w:val="-2"/>
                      <w:sz w:val="21"/>
                      <w:szCs w:val="21"/>
                    </w:rPr>
                    <w:t>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8"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b/>
                      <w:sz w:val="21"/>
                      <w:szCs w:val="21"/>
                    </w:rPr>
                  </w:pPr>
                  <w:r>
                    <w:rPr>
                      <w:rFonts w:hAnsi="宋体"/>
                      <w:b/>
                      <w:sz w:val="21"/>
                      <w:szCs w:val="21"/>
                    </w:rPr>
                    <w:t>地理坐标</w:t>
                  </w:r>
                </w:p>
              </w:tc>
              <w:tc>
                <w:tcPr>
                  <w:tcW w:w="892"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sz w:val="21"/>
                      <w:szCs w:val="21"/>
                    </w:rPr>
                  </w:pPr>
                  <w:r>
                    <w:rPr>
                      <w:rFonts w:hAnsi="宋体"/>
                      <w:sz w:val="21"/>
                      <w:szCs w:val="21"/>
                    </w:rPr>
                    <w:t>经度</w:t>
                  </w:r>
                </w:p>
              </w:tc>
              <w:tc>
                <w:tcPr>
                  <w:tcW w:w="1226"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spacing w:val="-6"/>
                      <w:sz w:val="21"/>
                      <w:szCs w:val="21"/>
                    </w:rPr>
                  </w:pPr>
                  <w:r>
                    <w:rPr>
                      <w:spacing w:val="-6"/>
                      <w:sz w:val="21"/>
                      <w:szCs w:val="21"/>
                    </w:rPr>
                    <w:t>11</w:t>
                  </w:r>
                  <w:r>
                    <w:rPr>
                      <w:rFonts w:hint="eastAsia"/>
                      <w:spacing w:val="-6"/>
                      <w:sz w:val="21"/>
                      <w:szCs w:val="21"/>
                    </w:rPr>
                    <w:t>6</w:t>
                  </w:r>
                  <w:r>
                    <w:rPr>
                      <w:bCs/>
                      <w:spacing w:val="-6"/>
                      <w:sz w:val="21"/>
                      <w:szCs w:val="21"/>
                    </w:rPr>
                    <w:t>°</w:t>
                  </w:r>
                  <w:r>
                    <w:rPr>
                      <w:rFonts w:hint="eastAsia"/>
                      <w:bCs/>
                      <w:spacing w:val="-6"/>
                      <w:sz w:val="21"/>
                      <w:szCs w:val="21"/>
                    </w:rPr>
                    <w:t>4</w:t>
                  </w:r>
                  <w:r>
                    <w:rPr>
                      <w:rFonts w:hint="eastAsia"/>
                      <w:bCs/>
                      <w:spacing w:val="-6"/>
                      <w:sz w:val="21"/>
                      <w:szCs w:val="21"/>
                      <w:lang w:val="en-US" w:eastAsia="zh-CN"/>
                    </w:rPr>
                    <w:t>4</w:t>
                  </w:r>
                  <w:r>
                    <w:rPr>
                      <w:bCs/>
                      <w:spacing w:val="-6"/>
                      <w:sz w:val="21"/>
                      <w:szCs w:val="21"/>
                    </w:rPr>
                    <w:t>′</w:t>
                  </w:r>
                  <w:r>
                    <w:rPr>
                      <w:rFonts w:hint="eastAsia"/>
                      <w:bCs/>
                      <w:spacing w:val="-6"/>
                      <w:sz w:val="21"/>
                      <w:szCs w:val="21"/>
                      <w:lang w:val="en-US" w:eastAsia="zh-CN"/>
                    </w:rPr>
                    <w:t>34.339</w:t>
                  </w:r>
                  <w:r>
                    <w:rPr>
                      <w:bCs/>
                      <w:spacing w:val="-6"/>
                      <w:sz w:val="21"/>
                      <w:szCs w:val="21"/>
                    </w:rPr>
                    <w:t>″</w:t>
                  </w:r>
                </w:p>
              </w:tc>
              <w:tc>
                <w:tcPr>
                  <w:tcW w:w="550"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sz w:val="21"/>
                      <w:szCs w:val="21"/>
                    </w:rPr>
                  </w:pPr>
                  <w:r>
                    <w:rPr>
                      <w:rFonts w:hAnsi="宋体"/>
                      <w:sz w:val="21"/>
                      <w:szCs w:val="21"/>
                    </w:rPr>
                    <w:t>纬度</w:t>
                  </w:r>
                </w:p>
              </w:tc>
              <w:tc>
                <w:tcPr>
                  <w:tcW w:w="1382"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sz w:val="21"/>
                      <w:szCs w:val="21"/>
                    </w:rPr>
                  </w:pPr>
                  <w:r>
                    <w:rPr>
                      <w:spacing w:val="-6"/>
                      <w:sz w:val="21"/>
                      <w:szCs w:val="21"/>
                    </w:rPr>
                    <w:t>3</w:t>
                  </w:r>
                  <w:r>
                    <w:rPr>
                      <w:rFonts w:hint="eastAsia"/>
                      <w:spacing w:val="-6"/>
                      <w:sz w:val="21"/>
                      <w:szCs w:val="21"/>
                    </w:rPr>
                    <w:t>3</w:t>
                  </w:r>
                  <w:r>
                    <w:rPr>
                      <w:bCs/>
                      <w:spacing w:val="-6"/>
                      <w:sz w:val="21"/>
                      <w:szCs w:val="21"/>
                    </w:rPr>
                    <w:t>°</w:t>
                  </w:r>
                  <w:r>
                    <w:rPr>
                      <w:rFonts w:hint="eastAsia"/>
                      <w:bCs/>
                      <w:spacing w:val="-6"/>
                      <w:sz w:val="21"/>
                      <w:szCs w:val="21"/>
                    </w:rPr>
                    <w:t>59</w:t>
                  </w:r>
                  <w:r>
                    <w:rPr>
                      <w:bCs/>
                      <w:spacing w:val="-6"/>
                      <w:sz w:val="21"/>
                      <w:szCs w:val="21"/>
                    </w:rPr>
                    <w:t>′</w:t>
                  </w:r>
                  <w:r>
                    <w:rPr>
                      <w:rFonts w:hint="eastAsia"/>
                      <w:bCs/>
                      <w:spacing w:val="-6"/>
                      <w:sz w:val="21"/>
                      <w:szCs w:val="21"/>
                      <w:lang w:val="en-US" w:eastAsia="zh-CN"/>
                    </w:rPr>
                    <w:t>58.386</w:t>
                  </w:r>
                  <w:r>
                    <w:rPr>
                      <w:bCs/>
                      <w:spacing w:val="-6"/>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48"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b/>
                      <w:sz w:val="21"/>
                      <w:szCs w:val="21"/>
                    </w:rPr>
                  </w:pPr>
                  <w:r>
                    <w:rPr>
                      <w:rFonts w:hAnsi="宋体"/>
                      <w:b/>
                      <w:sz w:val="21"/>
                      <w:szCs w:val="21"/>
                    </w:rPr>
                    <w:t>主要</w:t>
                  </w:r>
                  <w:r>
                    <w:rPr>
                      <w:rFonts w:hint="eastAsia" w:hAnsi="宋体"/>
                      <w:b/>
                      <w:sz w:val="21"/>
                      <w:szCs w:val="21"/>
                    </w:rPr>
                    <w:t>风险</w:t>
                  </w:r>
                  <w:r>
                    <w:rPr>
                      <w:rFonts w:hAnsi="宋体"/>
                      <w:b/>
                      <w:sz w:val="21"/>
                      <w:szCs w:val="21"/>
                    </w:rPr>
                    <w:t>物质及分布</w:t>
                  </w:r>
                </w:p>
              </w:tc>
              <w:tc>
                <w:tcPr>
                  <w:tcW w:w="4051" w:type="pct"/>
                  <w:gridSpan w:val="4"/>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rFonts w:hint="default" w:hAnsi="宋体" w:eastAsia="宋体"/>
                      <w:sz w:val="21"/>
                      <w:szCs w:val="21"/>
                      <w:lang w:val="en-US" w:eastAsia="zh-CN"/>
                    </w:rPr>
                  </w:pPr>
                  <w:r>
                    <w:rPr>
                      <w:rFonts w:hint="eastAsia"/>
                      <w:sz w:val="21"/>
                      <w:szCs w:val="21"/>
                    </w:rPr>
                    <w:t>废</w:t>
                  </w:r>
                  <w:r>
                    <w:rPr>
                      <w:rFonts w:hint="eastAsia"/>
                      <w:sz w:val="21"/>
                      <w:szCs w:val="21"/>
                      <w:lang w:val="en-US" w:eastAsia="zh-CN"/>
                    </w:rPr>
                    <w:t>矿物</w:t>
                  </w:r>
                  <w:r>
                    <w:rPr>
                      <w:rFonts w:hint="eastAsia"/>
                      <w:sz w:val="21"/>
                      <w:szCs w:val="21"/>
                    </w:rPr>
                    <w:t>油暂存</w:t>
                  </w:r>
                  <w:r>
                    <w:rPr>
                      <w:rFonts w:hAnsi="宋体"/>
                      <w:sz w:val="21"/>
                      <w:szCs w:val="21"/>
                    </w:rPr>
                    <w:t>在危废暂存库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8"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rFonts w:hAnsi="宋体"/>
                      <w:b/>
                      <w:sz w:val="21"/>
                      <w:szCs w:val="21"/>
                    </w:rPr>
                  </w:pPr>
                  <w:r>
                    <w:rPr>
                      <w:rFonts w:hAnsi="宋体"/>
                      <w:b/>
                      <w:sz w:val="21"/>
                      <w:szCs w:val="21"/>
                    </w:rPr>
                    <w:t>环境影响途经及危害后果（大气、地表水、</w:t>
                  </w:r>
                </w:p>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b/>
                      <w:sz w:val="21"/>
                      <w:szCs w:val="21"/>
                    </w:rPr>
                  </w:pPr>
                  <w:r>
                    <w:rPr>
                      <w:rFonts w:hAnsi="宋体"/>
                      <w:b/>
                      <w:sz w:val="21"/>
                      <w:szCs w:val="21"/>
                    </w:rPr>
                    <w:t>地下水等）</w:t>
                  </w:r>
                </w:p>
              </w:tc>
              <w:tc>
                <w:tcPr>
                  <w:tcW w:w="4051" w:type="pct"/>
                  <w:gridSpan w:val="4"/>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bCs/>
                      <w:color w:val="auto"/>
                      <w:sz w:val="21"/>
                      <w:szCs w:val="21"/>
                    </w:rPr>
                    <w:t>危废暂存库：</w:t>
                  </w:r>
                  <w:r>
                    <w:rPr>
                      <w:rFonts w:hint="eastAsia"/>
                      <w:color w:val="auto"/>
                      <w:sz w:val="21"/>
                      <w:szCs w:val="21"/>
                    </w:rPr>
                    <w:t>存装危险废物的装置</w:t>
                  </w:r>
                  <w:r>
                    <w:rPr>
                      <w:color w:val="auto"/>
                      <w:sz w:val="21"/>
                      <w:szCs w:val="21"/>
                    </w:rPr>
                    <w:t>破损导致液体泄漏</w:t>
                  </w:r>
                  <w:r>
                    <w:rPr>
                      <w:rFonts w:hint="eastAsia"/>
                      <w:color w:val="auto"/>
                      <w:sz w:val="21"/>
                      <w:szCs w:val="21"/>
                    </w:rPr>
                    <w:t>或火灾事故产生废气对环境空气产生不利影响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8" w:type="pct"/>
                  <w:tcBorders>
                    <w:tl2br w:val="nil"/>
                    <w:tr2bl w:val="nil"/>
                  </w:tcBorders>
                  <w:noWrap w:val="0"/>
                  <w:vAlign w:val="center"/>
                </w:tcPr>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rFonts w:hAnsi="宋体"/>
                      <w:b/>
                      <w:sz w:val="21"/>
                      <w:szCs w:val="21"/>
                    </w:rPr>
                  </w:pPr>
                  <w:r>
                    <w:rPr>
                      <w:rFonts w:hAnsi="宋体"/>
                      <w:b/>
                      <w:sz w:val="21"/>
                      <w:szCs w:val="21"/>
                    </w:rPr>
                    <w:t>风险防范措施</w:t>
                  </w:r>
                </w:p>
                <w:p>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240" w:lineRule="auto"/>
                    <w:jc w:val="center"/>
                    <w:textAlignment w:val="auto"/>
                    <w:rPr>
                      <w:b/>
                      <w:sz w:val="21"/>
                      <w:szCs w:val="21"/>
                    </w:rPr>
                  </w:pPr>
                  <w:r>
                    <w:rPr>
                      <w:rFonts w:hAnsi="宋体"/>
                      <w:b/>
                      <w:sz w:val="21"/>
                      <w:szCs w:val="21"/>
                    </w:rPr>
                    <w:t>要求</w:t>
                  </w:r>
                </w:p>
              </w:tc>
              <w:tc>
                <w:tcPr>
                  <w:tcW w:w="4051" w:type="pct"/>
                  <w:gridSpan w:val="4"/>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color w:val="auto"/>
                      <w:sz w:val="21"/>
                      <w:szCs w:val="21"/>
                      <w:lang w:val="en-US" w:eastAsia="zh-CN"/>
                    </w:rPr>
                  </w:pPr>
                  <w:r>
                    <w:rPr>
                      <w:rFonts w:hint="eastAsia"/>
                      <w:bCs/>
                      <w:color w:val="auto"/>
                      <w:sz w:val="21"/>
                      <w:szCs w:val="21"/>
                    </w:rPr>
                    <w:t>危废暂存库内设置导流沟和集液池（不小于0.5m</w:t>
                  </w:r>
                  <w:r>
                    <w:rPr>
                      <w:rFonts w:hint="eastAsia"/>
                      <w:bCs/>
                      <w:color w:val="auto"/>
                      <w:sz w:val="21"/>
                      <w:szCs w:val="21"/>
                      <w:vertAlign w:val="superscript"/>
                    </w:rPr>
                    <w:t>3</w:t>
                  </w:r>
                  <w:r>
                    <w:rPr>
                      <w:rFonts w:hint="eastAsia"/>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textAlignment w:val="auto"/>
                    <w:rPr>
                      <w:sz w:val="21"/>
                      <w:szCs w:val="21"/>
                    </w:rPr>
                  </w:pPr>
                  <w:r>
                    <w:rPr>
                      <w:rFonts w:hAnsi="宋体"/>
                      <w:sz w:val="21"/>
                      <w:szCs w:val="21"/>
                    </w:rPr>
                    <w:t>填表说明：环境风险潜势为</w:t>
                  </w:r>
                  <w:r>
                    <w:rPr>
                      <w:sz w:val="21"/>
                      <w:szCs w:val="21"/>
                    </w:rPr>
                    <w:t>Ⅰ</w:t>
                  </w:r>
                  <w:r>
                    <w:rPr>
                      <w:rFonts w:hAnsi="宋体"/>
                      <w:sz w:val="21"/>
                      <w:szCs w:val="21"/>
                    </w:rPr>
                    <w:t>，仅进行简单分析。</w:t>
                  </w:r>
                </w:p>
              </w:tc>
            </w:tr>
          </w:tbl>
          <w:p>
            <w:pPr>
              <w:keepNext w:val="0"/>
              <w:keepLines w:val="0"/>
              <w:pageBreakBefore w:val="0"/>
              <w:widowControl w:val="0"/>
              <w:kinsoku/>
              <w:wordWrap/>
              <w:topLinePunct w:val="0"/>
              <w:autoSpaceDE/>
              <w:autoSpaceDN/>
              <w:bidi w:val="0"/>
              <w:adjustRightInd w:val="0"/>
              <w:snapToGrid w:val="0"/>
              <w:spacing w:line="360" w:lineRule="auto"/>
              <w:ind w:firstLine="480" w:firstLineChars="200"/>
              <w:outlineLvl w:val="9"/>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4"/>
        <w:rPr>
          <w:rFonts w:hint="eastAsia"/>
          <w:color w:val="000000"/>
        </w:rPr>
        <w:sectPr>
          <w:pgSz w:w="11906" w:h="16838"/>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9"/>
        <w:adjustRightInd w:val="0"/>
        <w:snapToGrid w:val="0"/>
        <w:spacing w:before="0" w:beforeAutospacing="0" w:after="0" w:afterAutospacing="0"/>
        <w:jc w:val="center"/>
        <w:outlineLvl w:val="0"/>
        <w:rPr>
          <w:rFonts w:ascii="Times New Roman" w:hAnsi="Times New Roman"/>
          <w:b/>
          <w:snapToGrid w:val="0"/>
          <w:color w:val="000000"/>
          <w:sz w:val="32"/>
          <w:szCs w:val="32"/>
        </w:rPr>
      </w:pPr>
      <w:r>
        <w:rPr>
          <w:rFonts w:ascii="Times New Roman" w:hAnsi="Times New Roman"/>
          <w:b/>
          <w:snapToGrid w:val="0"/>
          <w:color w:val="000000"/>
          <w:sz w:val="32"/>
          <w:szCs w:val="32"/>
        </w:rPr>
        <w:t>五、</w:t>
      </w:r>
      <w:bookmarkStart w:id="4" w:name="_Hlk54167917"/>
      <w:r>
        <w:rPr>
          <w:rFonts w:ascii="Times New Roman" w:hAnsi="Times New Roman"/>
          <w:b/>
          <w:snapToGrid w:val="0"/>
          <w:color w:val="000000"/>
          <w:sz w:val="32"/>
          <w:szCs w:val="32"/>
        </w:rPr>
        <w:t>环境保护措施监督检查清单</w:t>
      </w:r>
      <w:bookmarkEnd w:id="4"/>
    </w:p>
    <w:tbl>
      <w:tblPr>
        <w:tblStyle w:val="2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767"/>
        <w:gridCol w:w="1070"/>
        <w:gridCol w:w="3042"/>
        <w:gridCol w:w="23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39" w:type="pct"/>
            <w:tcBorders>
              <w:top w:val="single" w:color="auto" w:sz="12" w:space="0"/>
              <w:left w:val="single" w:color="auto" w:sz="12" w:space="0"/>
              <w:bottom w:val="single" w:color="auto" w:sz="4" w:space="0"/>
              <w:tl2br w:val="single" w:color="auto" w:sz="4" w:space="0"/>
            </w:tcBorders>
            <w:noWrap w:val="0"/>
            <w:vAlign w:val="top"/>
          </w:tcPr>
          <w:p>
            <w:pPr>
              <w:adjustRightInd w:val="0"/>
              <w:snapToGrid w:val="0"/>
              <w:ind w:firstLine="840"/>
              <w:rPr>
                <w:rFonts w:hint="eastAsia" w:ascii="宋体" w:hAnsi="宋体" w:cs="宋体"/>
                <w:b/>
                <w:color w:val="000000"/>
                <w:sz w:val="21"/>
                <w:szCs w:val="21"/>
              </w:rPr>
            </w:pPr>
            <w:r>
              <w:rPr>
                <w:rFonts w:hint="eastAsia" w:ascii="宋体" w:hAnsi="宋体" w:cs="宋体"/>
                <w:b/>
                <w:color w:val="000000"/>
                <w:sz w:val="21"/>
                <w:szCs w:val="21"/>
              </w:rPr>
              <w:t>内容</w:t>
            </w:r>
          </w:p>
          <w:p>
            <w:pPr>
              <w:adjustRightInd w:val="0"/>
              <w:snapToGrid w:val="0"/>
              <w:rPr>
                <w:rFonts w:hint="eastAsia" w:ascii="宋体" w:hAnsi="宋体" w:cs="宋体"/>
                <w:b/>
                <w:color w:val="000000"/>
                <w:sz w:val="21"/>
                <w:szCs w:val="21"/>
              </w:rPr>
            </w:pPr>
            <w:r>
              <w:rPr>
                <w:rFonts w:hint="eastAsia" w:ascii="宋体" w:hAnsi="宋体" w:cs="宋体"/>
                <w:b/>
                <w:color w:val="000000"/>
                <w:sz w:val="21"/>
                <w:szCs w:val="21"/>
              </w:rPr>
              <w:t>要素</w:t>
            </w:r>
          </w:p>
        </w:tc>
        <w:tc>
          <w:tcPr>
            <w:tcW w:w="897" w:type="pct"/>
            <w:tcBorders>
              <w:top w:val="single" w:color="auto" w:sz="12" w:space="0"/>
              <w:bottom w:val="single" w:color="auto" w:sz="4" w:space="0"/>
            </w:tcBorders>
            <w:noWrap w:val="0"/>
            <w:vAlign w:val="center"/>
          </w:tcPr>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排放口(编号、</w:t>
            </w:r>
          </w:p>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名称)/污染源)</w:t>
            </w:r>
          </w:p>
        </w:tc>
        <w:tc>
          <w:tcPr>
            <w:tcW w:w="543" w:type="pct"/>
            <w:tcBorders>
              <w:top w:val="single" w:color="auto" w:sz="12" w:space="0"/>
              <w:bottom w:val="single" w:color="auto" w:sz="4" w:space="0"/>
            </w:tcBorders>
            <w:noWrap w:val="0"/>
            <w:vAlign w:val="center"/>
          </w:tcPr>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污染物</w:t>
            </w:r>
          </w:p>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项目</w:t>
            </w:r>
          </w:p>
        </w:tc>
        <w:tc>
          <w:tcPr>
            <w:tcW w:w="1544" w:type="pct"/>
            <w:tcBorders>
              <w:top w:val="single" w:color="auto" w:sz="12" w:space="0"/>
              <w:bottom w:val="single" w:color="auto" w:sz="4" w:space="0"/>
            </w:tcBorders>
            <w:noWrap w:val="0"/>
            <w:vAlign w:val="center"/>
          </w:tcPr>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环境保护措施</w:t>
            </w:r>
          </w:p>
        </w:tc>
        <w:tc>
          <w:tcPr>
            <w:tcW w:w="1174" w:type="pct"/>
            <w:tcBorders>
              <w:top w:val="single" w:color="auto" w:sz="12" w:space="0"/>
              <w:bottom w:val="single" w:color="auto" w:sz="4" w:space="0"/>
              <w:right w:val="single" w:color="auto" w:sz="12" w:space="0"/>
            </w:tcBorders>
            <w:noWrap w:val="0"/>
            <w:vAlign w:val="center"/>
          </w:tcPr>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39" w:type="pct"/>
            <w:vMerge w:val="restart"/>
            <w:tcBorders>
              <w:top w:val="single" w:color="auto" w:sz="4" w:space="0"/>
              <w:left w:val="single" w:color="auto" w:sz="12" w:space="0"/>
            </w:tcBorders>
            <w:noWrap w:val="0"/>
            <w:vAlign w:val="center"/>
          </w:tcPr>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大气环境</w:t>
            </w:r>
          </w:p>
        </w:tc>
        <w:tc>
          <w:tcPr>
            <w:tcW w:w="897" w:type="pct"/>
            <w:tcBorders>
              <w:top w:val="single" w:color="auto" w:sz="4" w:space="0"/>
              <w:bottom w:val="single" w:color="auto" w:sz="4" w:space="0"/>
            </w:tcBorders>
            <w:noWrap w:val="0"/>
            <w:vAlign w:val="center"/>
          </w:tcPr>
          <w:p>
            <w:pPr>
              <w:adjustRightInd w:val="0"/>
              <w:snapToGrid w:val="0"/>
              <w:jc w:val="center"/>
              <w:rPr>
                <w:rFonts w:hint="default" w:ascii="宋体" w:hAnsi="宋体" w:cs="宋体"/>
                <w:color w:val="0000FF"/>
                <w:sz w:val="21"/>
                <w:szCs w:val="21"/>
                <w:lang w:val="en-US"/>
              </w:rPr>
            </w:pPr>
            <w:r>
              <w:rPr>
                <w:rFonts w:hint="eastAsia" w:ascii="宋体" w:hAnsi="宋体" w:cs="宋体"/>
                <w:color w:val="000000"/>
                <w:sz w:val="21"/>
                <w:szCs w:val="21"/>
              </w:rPr>
              <w:t>DA00</w:t>
            </w:r>
            <w:r>
              <w:rPr>
                <w:rFonts w:hint="eastAsia" w:ascii="宋体" w:hAnsi="宋体" w:cs="宋体"/>
                <w:color w:val="000000"/>
                <w:sz w:val="21"/>
                <w:szCs w:val="21"/>
                <w:lang w:val="en-US" w:eastAsia="zh-CN"/>
              </w:rPr>
              <w:t>4</w:t>
            </w:r>
          </w:p>
        </w:tc>
        <w:tc>
          <w:tcPr>
            <w:tcW w:w="543" w:type="pct"/>
            <w:tcBorders>
              <w:top w:val="single" w:color="auto" w:sz="4" w:space="0"/>
            </w:tcBorders>
            <w:noWrap w:val="0"/>
            <w:vAlign w:val="center"/>
          </w:tcPr>
          <w:p>
            <w:pPr>
              <w:adjustRightInd w:val="0"/>
              <w:snapToGrid w:val="0"/>
              <w:jc w:val="center"/>
              <w:rPr>
                <w:rFonts w:hint="eastAsia" w:ascii="宋体" w:hAnsi="宋体" w:cs="宋体"/>
                <w:sz w:val="21"/>
                <w:szCs w:val="21"/>
              </w:rPr>
            </w:pPr>
            <w:r>
              <w:rPr>
                <w:rFonts w:hint="eastAsia" w:ascii="宋体" w:hAnsi="宋体" w:cs="宋体"/>
                <w:sz w:val="21"/>
                <w:szCs w:val="21"/>
              </w:rPr>
              <w:t>油烟</w:t>
            </w:r>
          </w:p>
        </w:tc>
        <w:tc>
          <w:tcPr>
            <w:tcW w:w="1544" w:type="pct"/>
            <w:tcBorders>
              <w:top w:val="single" w:color="auto" w:sz="4" w:space="0"/>
              <w:bottom w:val="single" w:color="auto" w:sz="4" w:space="0"/>
            </w:tcBorders>
            <w:noWrap w:val="0"/>
            <w:vAlign w:val="center"/>
          </w:tcPr>
          <w:p>
            <w:pPr>
              <w:adjustRightInd w:val="0"/>
              <w:snapToGrid w:val="0"/>
              <w:rPr>
                <w:rFonts w:hint="eastAsia" w:ascii="宋体" w:hAnsi="宋体" w:cs="宋体"/>
                <w:color w:val="000000"/>
                <w:sz w:val="21"/>
                <w:szCs w:val="21"/>
              </w:rPr>
            </w:pPr>
            <w:r>
              <w:rPr>
                <w:rFonts w:hint="eastAsia" w:ascii="宋体" w:hAnsi="宋体" w:cs="宋体"/>
                <w:color w:val="000000"/>
                <w:sz w:val="21"/>
                <w:szCs w:val="21"/>
              </w:rPr>
              <w:t>由集油烟罩收集，经油烟净化器处理后通过1根</w:t>
            </w:r>
            <w:r>
              <w:rPr>
                <w:rFonts w:hint="eastAsia" w:ascii="宋体" w:hAnsi="宋体" w:cs="宋体"/>
                <w:color w:val="000000"/>
                <w:sz w:val="21"/>
                <w:szCs w:val="21"/>
                <w:lang w:val="en-US" w:eastAsia="zh-CN"/>
              </w:rPr>
              <w:t>20</w:t>
            </w:r>
            <w:r>
              <w:rPr>
                <w:rFonts w:hint="eastAsia" w:ascii="宋体" w:hAnsi="宋体" w:cs="宋体"/>
                <w:color w:val="000000"/>
                <w:sz w:val="21"/>
                <w:szCs w:val="21"/>
              </w:rPr>
              <w:t>m高排气筒（DA00</w:t>
            </w:r>
            <w:r>
              <w:rPr>
                <w:rFonts w:hint="eastAsia" w:ascii="宋体" w:hAnsi="宋体" w:cs="宋体"/>
                <w:color w:val="000000"/>
                <w:sz w:val="21"/>
                <w:szCs w:val="21"/>
                <w:lang w:val="en-US" w:eastAsia="zh-CN"/>
              </w:rPr>
              <w:t>4</w:t>
            </w:r>
            <w:r>
              <w:rPr>
                <w:rFonts w:hint="eastAsia" w:ascii="宋体" w:hAnsi="宋体" w:cs="宋体"/>
                <w:color w:val="000000"/>
                <w:sz w:val="21"/>
                <w:szCs w:val="21"/>
              </w:rPr>
              <w:t>）排放</w:t>
            </w:r>
          </w:p>
        </w:tc>
        <w:tc>
          <w:tcPr>
            <w:tcW w:w="1174" w:type="pct"/>
            <w:tcBorders>
              <w:top w:val="single" w:color="auto" w:sz="4" w:space="0"/>
              <w:right w:val="single" w:color="auto" w:sz="12" w:space="0"/>
            </w:tcBorders>
            <w:noWrap w:val="0"/>
            <w:vAlign w:val="center"/>
          </w:tcPr>
          <w:p>
            <w:pPr>
              <w:pStyle w:val="5"/>
              <w:numPr>
                <w:ilvl w:val="0"/>
                <w:numId w:val="0"/>
              </w:numPr>
              <w:spacing w:line="240" w:lineRule="auto"/>
              <w:jc w:val="center"/>
              <w:rPr>
                <w:rFonts w:hint="eastAsia" w:ascii="宋体" w:hAnsi="宋体" w:cs="宋体"/>
                <w:sz w:val="21"/>
                <w:szCs w:val="21"/>
              </w:rPr>
            </w:pPr>
            <w:r>
              <w:rPr>
                <w:b w:val="0"/>
                <w:bCs w:val="0"/>
                <w:sz w:val="21"/>
                <w:szCs w:val="21"/>
              </w:rPr>
              <w:t>《饮食业油烟排放标准》（GB18483-2001）中排放限值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39" w:type="pct"/>
            <w:vMerge w:val="continue"/>
            <w:tcBorders>
              <w:left w:val="single" w:color="auto" w:sz="12" w:space="0"/>
            </w:tcBorders>
            <w:noWrap w:val="0"/>
            <w:vAlign w:val="center"/>
          </w:tcPr>
          <w:p>
            <w:pPr>
              <w:adjustRightInd w:val="0"/>
              <w:snapToGrid w:val="0"/>
              <w:jc w:val="center"/>
              <w:rPr>
                <w:rFonts w:hint="eastAsia" w:ascii="宋体" w:hAnsi="宋体" w:cs="宋体"/>
                <w:b/>
                <w:color w:val="000000"/>
                <w:sz w:val="21"/>
                <w:szCs w:val="21"/>
              </w:rPr>
            </w:pPr>
          </w:p>
        </w:tc>
        <w:tc>
          <w:tcPr>
            <w:tcW w:w="897" w:type="pct"/>
            <w:tcBorders>
              <w:top w:val="single" w:color="auto" w:sz="4" w:space="0"/>
              <w:bottom w:val="single" w:color="auto" w:sz="4" w:space="0"/>
            </w:tcBorders>
            <w:noWrap w:val="0"/>
            <w:vAlign w:val="center"/>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DA005</w:t>
            </w:r>
          </w:p>
        </w:tc>
        <w:tc>
          <w:tcPr>
            <w:tcW w:w="543" w:type="pct"/>
            <w:tcBorders>
              <w:top w:val="single" w:color="auto" w:sz="4" w:space="0"/>
              <w:bottom w:val="single" w:color="auto" w:sz="4" w:space="0"/>
            </w:tcBorders>
            <w:noWrap w:val="0"/>
            <w:vAlign w:val="center"/>
          </w:tcPr>
          <w:p>
            <w:pPr>
              <w:adjustRightInd w:val="0"/>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非甲烷</w:t>
            </w:r>
          </w:p>
          <w:p>
            <w:pPr>
              <w:adjustRightInd w:val="0"/>
              <w:snapToGrid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总烃</w:t>
            </w:r>
          </w:p>
        </w:tc>
        <w:tc>
          <w:tcPr>
            <w:tcW w:w="1544" w:type="pct"/>
            <w:tcBorders>
              <w:top w:val="single" w:color="auto" w:sz="4" w:space="0"/>
              <w:bottom w:val="single" w:color="auto" w:sz="4" w:space="0"/>
            </w:tcBorders>
            <w:noWrap w:val="0"/>
            <w:vAlign w:val="center"/>
          </w:tcPr>
          <w:p>
            <w:pPr>
              <w:adjustRightInd w:val="0"/>
              <w:snapToGrid w:val="0"/>
              <w:rPr>
                <w:sz w:val="21"/>
                <w:szCs w:val="21"/>
              </w:rPr>
            </w:pPr>
            <w:r>
              <w:rPr>
                <w:rFonts w:hint="eastAsia" w:ascii="宋体" w:hAnsi="宋体" w:eastAsia="宋体" w:cs="宋体"/>
                <w:color w:val="000000"/>
                <w:sz w:val="21"/>
                <w:szCs w:val="21"/>
              </w:rPr>
              <w:t>在注塑机</w:t>
            </w:r>
            <w:r>
              <w:rPr>
                <w:rFonts w:hint="eastAsia" w:ascii="宋体" w:hAnsi="宋体" w:cs="宋体"/>
                <w:color w:val="000000"/>
                <w:sz w:val="21"/>
                <w:szCs w:val="21"/>
                <w:lang w:val="en-US" w:eastAsia="zh-CN"/>
              </w:rPr>
              <w:t>出料口</w:t>
            </w:r>
            <w:r>
              <w:rPr>
                <w:rFonts w:hint="eastAsia" w:ascii="宋体" w:hAnsi="宋体" w:eastAsia="宋体" w:cs="宋体"/>
                <w:color w:val="000000"/>
                <w:sz w:val="21"/>
                <w:szCs w:val="21"/>
              </w:rPr>
              <w:t>上方设置</w:t>
            </w:r>
            <w:r>
              <w:rPr>
                <w:rFonts w:hint="eastAsia" w:ascii="宋体" w:hAnsi="宋体" w:eastAsia="宋体" w:cs="宋体"/>
                <w:color w:val="000000"/>
                <w:sz w:val="21"/>
                <w:szCs w:val="21"/>
                <w:lang w:eastAsia="zh-CN"/>
              </w:rPr>
              <w:t>集气罩</w:t>
            </w:r>
            <w:r>
              <w:rPr>
                <w:rFonts w:hint="eastAsia" w:ascii="宋体" w:hAnsi="宋体" w:eastAsia="宋体" w:cs="宋体"/>
                <w:color w:val="000000"/>
                <w:sz w:val="21"/>
                <w:szCs w:val="21"/>
              </w:rPr>
              <w:t>，收集后进入1套</w:t>
            </w:r>
            <w:r>
              <w:rPr>
                <w:rFonts w:hint="eastAsia" w:ascii="宋体" w:hAnsi="宋体" w:cs="宋体"/>
                <w:color w:val="000000"/>
                <w:sz w:val="21"/>
                <w:szCs w:val="21"/>
                <w:lang w:val="en-US" w:eastAsia="zh-CN"/>
              </w:rPr>
              <w:t>催化燃烧装置</w:t>
            </w:r>
            <w:r>
              <w:rPr>
                <w:rFonts w:hint="eastAsia" w:ascii="宋体" w:hAnsi="宋体" w:eastAsia="宋体" w:cs="宋体"/>
                <w:color w:val="000000"/>
                <w:sz w:val="21"/>
                <w:szCs w:val="21"/>
              </w:rPr>
              <w:t>，处理后由1根</w:t>
            </w:r>
            <w:r>
              <w:rPr>
                <w:rFonts w:hint="eastAsia" w:ascii="宋体" w:hAnsi="宋体" w:eastAsia="宋体" w:cs="宋体"/>
                <w:color w:val="000000"/>
                <w:sz w:val="21"/>
                <w:szCs w:val="21"/>
                <w:lang w:val="en-US" w:eastAsia="zh-CN"/>
              </w:rPr>
              <w:t>20</w:t>
            </w:r>
            <w:r>
              <w:rPr>
                <w:rFonts w:hint="eastAsia" w:ascii="宋体" w:hAnsi="宋体" w:eastAsia="宋体" w:cs="宋体"/>
                <w:color w:val="000000"/>
                <w:sz w:val="21"/>
                <w:szCs w:val="21"/>
              </w:rPr>
              <w:t>m高排气筒（DA00</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）排放</w:t>
            </w:r>
          </w:p>
        </w:tc>
        <w:tc>
          <w:tcPr>
            <w:tcW w:w="1174" w:type="pct"/>
            <w:tcBorders>
              <w:right w:val="single" w:color="auto" w:sz="12" w:space="0"/>
            </w:tcBorders>
            <w:noWrap w:val="0"/>
            <w:vAlign w:val="center"/>
          </w:tcPr>
          <w:p>
            <w:pPr>
              <w:pStyle w:val="5"/>
              <w:numPr>
                <w:ilvl w:val="0"/>
                <w:numId w:val="0"/>
              </w:numPr>
              <w:adjustRightInd w:val="0"/>
              <w:snapToGrid w:val="0"/>
              <w:spacing w:line="240" w:lineRule="auto"/>
              <w:jc w:val="center"/>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《合成树脂工业污染物排放标准》（GB31572-2015）表5特别排放限值及表</w:t>
            </w:r>
          </w:p>
          <w:p>
            <w:pPr>
              <w:pStyle w:val="5"/>
              <w:numPr>
                <w:ilvl w:val="0"/>
                <w:numId w:val="0"/>
              </w:numPr>
              <w:adjustRightInd w:val="0"/>
              <w:snapToGrid w:val="0"/>
              <w:spacing w:line="240" w:lineRule="auto"/>
              <w:jc w:val="center"/>
              <w:rPr>
                <w:b w:val="0"/>
                <w:bCs w:val="0"/>
                <w:kern w:val="0"/>
                <w:sz w:val="21"/>
                <w:szCs w:val="21"/>
              </w:rPr>
            </w:pPr>
            <w:r>
              <w:rPr>
                <w:rFonts w:hint="eastAsia" w:ascii="Times New Roman" w:hAnsi="Times New Roman" w:eastAsia="宋体" w:cs="Times New Roman"/>
                <w:b w:val="0"/>
                <w:bCs w:val="0"/>
                <w:color w:val="auto"/>
                <w:kern w:val="2"/>
                <w:sz w:val="21"/>
                <w:szCs w:val="24"/>
                <w:lang w:val="en-US" w:eastAsia="zh-CN" w:bidi="ar-SA"/>
              </w:rPr>
              <w:t>9中标准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39" w:type="pct"/>
            <w:vMerge w:val="continue"/>
            <w:tcBorders>
              <w:left w:val="single" w:color="auto" w:sz="12" w:space="0"/>
            </w:tcBorders>
            <w:noWrap w:val="0"/>
            <w:vAlign w:val="center"/>
          </w:tcPr>
          <w:p>
            <w:pPr>
              <w:adjustRightInd w:val="0"/>
              <w:snapToGrid w:val="0"/>
              <w:jc w:val="center"/>
              <w:rPr>
                <w:rFonts w:hint="eastAsia" w:ascii="宋体" w:hAnsi="宋体" w:cs="宋体"/>
                <w:b/>
                <w:color w:val="000000"/>
                <w:sz w:val="21"/>
                <w:szCs w:val="21"/>
              </w:rPr>
            </w:pPr>
          </w:p>
        </w:tc>
        <w:tc>
          <w:tcPr>
            <w:tcW w:w="1767" w:type="dxa"/>
            <w:tcBorders>
              <w:top w:val="single" w:color="auto" w:sz="4" w:space="0"/>
              <w:bottom w:val="single" w:color="auto" w:sz="4" w:space="0"/>
            </w:tcBorders>
            <w:noWrap w:val="0"/>
            <w:vAlign w:val="center"/>
          </w:tcPr>
          <w:p>
            <w:pPr>
              <w:adjustRightInd w:val="0"/>
              <w:snapToGrid w:val="0"/>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DA00</w:t>
            </w:r>
            <w:r>
              <w:rPr>
                <w:rFonts w:hint="eastAsia" w:ascii="宋体" w:hAnsi="宋体" w:cs="宋体"/>
                <w:color w:val="000000"/>
                <w:sz w:val="21"/>
                <w:szCs w:val="21"/>
                <w:lang w:val="en-US" w:eastAsia="zh-CN"/>
              </w:rPr>
              <w:t>6</w:t>
            </w:r>
          </w:p>
        </w:tc>
        <w:tc>
          <w:tcPr>
            <w:tcW w:w="1070" w:type="dxa"/>
            <w:tcBorders>
              <w:top w:val="single" w:color="auto" w:sz="4" w:space="0"/>
              <w:bottom w:val="single" w:color="auto" w:sz="4" w:space="0"/>
            </w:tcBorders>
            <w:noWrap w:val="0"/>
            <w:vAlign w:val="center"/>
          </w:tcPr>
          <w:p>
            <w:pPr>
              <w:adjustRightInd w:val="0"/>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非甲烷</w:t>
            </w:r>
          </w:p>
          <w:p>
            <w:pPr>
              <w:adjustRightInd w:val="0"/>
              <w:snapToGrid w:val="0"/>
              <w:jc w:val="center"/>
              <w:rPr>
                <w:rFonts w:hint="eastAsia" w:ascii="宋体" w:hAnsi="宋体" w:cs="宋体"/>
                <w:sz w:val="21"/>
                <w:szCs w:val="21"/>
                <w:lang w:val="en-US" w:eastAsia="zh-CN"/>
              </w:rPr>
            </w:pPr>
            <w:r>
              <w:rPr>
                <w:rFonts w:hint="eastAsia" w:ascii="宋体" w:hAnsi="宋体" w:cs="宋体"/>
                <w:sz w:val="21"/>
                <w:szCs w:val="21"/>
                <w:lang w:val="en-US" w:eastAsia="zh-CN"/>
              </w:rPr>
              <w:t>总烃</w:t>
            </w:r>
          </w:p>
        </w:tc>
        <w:tc>
          <w:tcPr>
            <w:tcW w:w="3042" w:type="dxa"/>
            <w:tcBorders>
              <w:top w:val="single" w:color="auto" w:sz="4" w:space="0"/>
              <w:bottom w:val="single" w:color="auto" w:sz="4" w:space="0"/>
            </w:tcBorders>
            <w:noWrap w:val="0"/>
            <w:vAlign w:val="center"/>
          </w:tcPr>
          <w:p>
            <w:pPr>
              <w:adjustRightInd w:val="0"/>
              <w:snapToGrid w:val="0"/>
              <w:rPr>
                <w:rFonts w:hint="eastAsia" w:ascii="宋体" w:hAnsi="宋体" w:eastAsia="宋体" w:cs="宋体"/>
                <w:color w:val="000000"/>
                <w:sz w:val="21"/>
                <w:szCs w:val="21"/>
              </w:rPr>
            </w:pPr>
            <w:r>
              <w:rPr>
                <w:rFonts w:hint="eastAsia" w:ascii="宋体" w:hAnsi="宋体" w:eastAsia="宋体" w:cs="宋体"/>
                <w:color w:val="000000"/>
                <w:sz w:val="21"/>
                <w:szCs w:val="21"/>
              </w:rPr>
              <w:t>在</w:t>
            </w:r>
            <w:r>
              <w:rPr>
                <w:rFonts w:hint="eastAsia" w:ascii="宋体" w:hAnsi="宋体" w:cs="宋体"/>
                <w:color w:val="000000"/>
                <w:sz w:val="21"/>
                <w:szCs w:val="21"/>
                <w:lang w:val="en-US" w:eastAsia="zh-CN"/>
              </w:rPr>
              <w:t>吹瓶</w:t>
            </w:r>
            <w:r>
              <w:rPr>
                <w:rFonts w:hint="eastAsia" w:ascii="宋体" w:hAnsi="宋体" w:eastAsia="宋体" w:cs="宋体"/>
                <w:color w:val="000000"/>
                <w:sz w:val="21"/>
                <w:szCs w:val="21"/>
              </w:rPr>
              <w:t>机</w:t>
            </w:r>
            <w:r>
              <w:rPr>
                <w:rFonts w:hint="eastAsia" w:ascii="宋体" w:hAnsi="宋体" w:cs="宋体"/>
                <w:color w:val="000000"/>
                <w:sz w:val="21"/>
                <w:szCs w:val="21"/>
                <w:lang w:val="en-US" w:eastAsia="zh-CN"/>
              </w:rPr>
              <w:t>出料口</w:t>
            </w:r>
            <w:r>
              <w:rPr>
                <w:rFonts w:hint="eastAsia" w:ascii="宋体" w:hAnsi="宋体" w:eastAsia="宋体" w:cs="宋体"/>
                <w:color w:val="000000"/>
                <w:sz w:val="21"/>
                <w:szCs w:val="21"/>
              </w:rPr>
              <w:t>上方设置</w:t>
            </w:r>
            <w:r>
              <w:rPr>
                <w:rFonts w:hint="eastAsia" w:ascii="宋体" w:hAnsi="宋体" w:eastAsia="宋体" w:cs="宋体"/>
                <w:color w:val="000000"/>
                <w:sz w:val="21"/>
                <w:szCs w:val="21"/>
                <w:lang w:eastAsia="zh-CN"/>
              </w:rPr>
              <w:t>集气罩</w:t>
            </w:r>
            <w:r>
              <w:rPr>
                <w:rFonts w:hint="eastAsia" w:ascii="宋体" w:hAnsi="宋体" w:eastAsia="宋体" w:cs="宋体"/>
                <w:color w:val="000000"/>
                <w:sz w:val="21"/>
                <w:szCs w:val="21"/>
              </w:rPr>
              <w:t>，收集后进入1套</w:t>
            </w:r>
            <w:r>
              <w:rPr>
                <w:rFonts w:hint="eastAsia" w:ascii="宋体" w:hAnsi="宋体" w:cs="宋体"/>
                <w:color w:val="000000"/>
                <w:sz w:val="21"/>
                <w:szCs w:val="21"/>
                <w:lang w:val="en-US" w:eastAsia="zh-CN"/>
              </w:rPr>
              <w:t>催化燃烧装置</w:t>
            </w:r>
            <w:r>
              <w:rPr>
                <w:rFonts w:hint="eastAsia" w:ascii="宋体" w:hAnsi="宋体" w:eastAsia="宋体" w:cs="宋体"/>
                <w:color w:val="000000"/>
                <w:sz w:val="21"/>
                <w:szCs w:val="21"/>
              </w:rPr>
              <w:t>，处理后由1根</w:t>
            </w:r>
            <w:r>
              <w:rPr>
                <w:rFonts w:hint="eastAsia" w:ascii="宋体" w:hAnsi="宋体" w:eastAsia="宋体" w:cs="宋体"/>
                <w:color w:val="000000"/>
                <w:sz w:val="21"/>
                <w:szCs w:val="21"/>
                <w:lang w:val="en-US" w:eastAsia="zh-CN"/>
              </w:rPr>
              <w:t>20</w:t>
            </w:r>
            <w:r>
              <w:rPr>
                <w:rFonts w:hint="eastAsia" w:ascii="宋体" w:hAnsi="宋体" w:eastAsia="宋体" w:cs="宋体"/>
                <w:color w:val="000000"/>
                <w:sz w:val="21"/>
                <w:szCs w:val="21"/>
              </w:rPr>
              <w:t>m高排气筒（DA00</w:t>
            </w:r>
            <w:r>
              <w:rPr>
                <w:rFonts w:hint="eastAsia" w:ascii="宋体" w:hAnsi="宋体" w:cs="宋体"/>
                <w:color w:val="000000"/>
                <w:sz w:val="21"/>
                <w:szCs w:val="21"/>
                <w:lang w:val="en-US" w:eastAsia="zh-CN"/>
              </w:rPr>
              <w:t>6</w:t>
            </w:r>
            <w:r>
              <w:rPr>
                <w:rFonts w:hint="eastAsia" w:ascii="宋体" w:hAnsi="宋体" w:eastAsia="宋体" w:cs="宋体"/>
                <w:color w:val="000000"/>
                <w:sz w:val="21"/>
                <w:szCs w:val="21"/>
              </w:rPr>
              <w:t>）排放</w:t>
            </w:r>
          </w:p>
        </w:tc>
        <w:tc>
          <w:tcPr>
            <w:tcW w:w="2318" w:type="dxa"/>
            <w:tcBorders>
              <w:right w:val="single" w:color="auto" w:sz="12" w:space="0"/>
            </w:tcBorders>
            <w:noWrap w:val="0"/>
            <w:vAlign w:val="center"/>
          </w:tcPr>
          <w:p>
            <w:pPr>
              <w:pStyle w:val="5"/>
              <w:numPr>
                <w:ilvl w:val="0"/>
                <w:numId w:val="0"/>
              </w:numPr>
              <w:adjustRightInd w:val="0"/>
              <w:snapToGrid w:val="0"/>
              <w:spacing w:line="240" w:lineRule="auto"/>
              <w:jc w:val="center"/>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《合成树脂工业污染物排放标准》（GB31572-2015）表5特别排放限值及表</w:t>
            </w:r>
          </w:p>
          <w:p>
            <w:pPr>
              <w:pStyle w:val="5"/>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9中标准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39" w:type="pct"/>
            <w:vMerge w:val="continue"/>
            <w:tcBorders>
              <w:left w:val="single" w:color="auto" w:sz="12" w:space="0"/>
            </w:tcBorders>
            <w:noWrap w:val="0"/>
            <w:vAlign w:val="center"/>
          </w:tcPr>
          <w:p>
            <w:pPr>
              <w:adjustRightInd w:val="0"/>
              <w:snapToGrid w:val="0"/>
              <w:jc w:val="center"/>
              <w:rPr>
                <w:rFonts w:hint="eastAsia" w:ascii="宋体" w:hAnsi="宋体" w:cs="宋体"/>
                <w:b/>
                <w:color w:val="000000"/>
                <w:sz w:val="21"/>
                <w:szCs w:val="21"/>
              </w:rPr>
            </w:pPr>
          </w:p>
        </w:tc>
        <w:tc>
          <w:tcPr>
            <w:tcW w:w="897" w:type="pct"/>
            <w:tcBorders>
              <w:top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生产车间/注塑</w:t>
            </w:r>
          </w:p>
        </w:tc>
        <w:tc>
          <w:tcPr>
            <w:tcW w:w="543" w:type="pct"/>
            <w:tcBorders>
              <w:top w:val="single" w:color="auto" w:sz="4" w:space="0"/>
              <w:bottom w:val="single" w:color="auto" w:sz="4" w:space="0"/>
            </w:tcBorders>
            <w:noWrap w:val="0"/>
            <w:vAlign w:val="center"/>
          </w:tcPr>
          <w:p>
            <w:pPr>
              <w:adjustRightInd w:val="0"/>
              <w:snapToGrid w:val="0"/>
              <w:jc w:val="center"/>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非甲烷</w:t>
            </w:r>
          </w:p>
          <w:p>
            <w:pPr>
              <w:adjustRightInd w:val="0"/>
              <w:snapToGrid w:val="0"/>
              <w:jc w:val="center"/>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总烃</w:t>
            </w:r>
          </w:p>
        </w:tc>
        <w:tc>
          <w:tcPr>
            <w:tcW w:w="1544" w:type="pct"/>
            <w:tcBorders>
              <w:top w:val="single" w:color="auto" w:sz="4" w:space="0"/>
              <w:bottom w:val="single" w:color="auto" w:sz="4" w:space="0"/>
            </w:tcBorders>
            <w:noWrap w:val="0"/>
            <w:vAlign w:val="center"/>
          </w:tcPr>
          <w:p>
            <w:pPr>
              <w:adjustRightInd w:val="0"/>
              <w:snapToGrid w:val="0"/>
              <w:jc w:val="both"/>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加强车间密闭，屋顶抽排风</w:t>
            </w:r>
          </w:p>
        </w:tc>
        <w:tc>
          <w:tcPr>
            <w:tcW w:w="1174" w:type="pct"/>
            <w:tcBorders>
              <w:right w:val="single" w:color="auto" w:sz="12" w:space="0"/>
            </w:tcBorders>
            <w:noWrap w:val="0"/>
            <w:vAlign w:val="center"/>
          </w:tcPr>
          <w:p>
            <w:pPr>
              <w:pStyle w:val="5"/>
              <w:keepNext/>
              <w:keepLines/>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《挥发性有机物无组织排放控制标准》（GB37822-2019）附录A中排放限值要求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39" w:type="pct"/>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地表水环境</w:t>
            </w:r>
          </w:p>
        </w:tc>
        <w:tc>
          <w:tcPr>
            <w:tcW w:w="897" w:type="pct"/>
            <w:tcBorders>
              <w:top w:val="single" w:color="auto" w:sz="4" w:space="0"/>
              <w:bottom w:val="single" w:color="auto" w:sz="4" w:space="0"/>
            </w:tcBorders>
            <w:noWrap w:val="0"/>
            <w:vAlign w:val="center"/>
          </w:tcPr>
          <w:p>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生产废水、</w:t>
            </w:r>
          </w:p>
          <w:p>
            <w:pPr>
              <w:adjustRightInd w:val="0"/>
              <w:snapToGrid w:val="0"/>
              <w:ind w:firstLine="210" w:firstLineChars="100"/>
              <w:rPr>
                <w:rFonts w:hint="eastAsia" w:ascii="宋体" w:hAnsi="宋体" w:cs="宋体"/>
                <w:color w:val="000000"/>
                <w:sz w:val="21"/>
                <w:szCs w:val="21"/>
              </w:rPr>
            </w:pPr>
            <w:r>
              <w:rPr>
                <w:rFonts w:hint="eastAsia" w:ascii="宋体" w:hAnsi="宋体" w:cs="宋体"/>
                <w:color w:val="000000"/>
                <w:sz w:val="21"/>
                <w:szCs w:val="21"/>
              </w:rPr>
              <w:t>生活污水</w:t>
            </w:r>
          </w:p>
        </w:tc>
        <w:tc>
          <w:tcPr>
            <w:tcW w:w="543" w:type="pct"/>
            <w:tcBorders>
              <w:top w:val="single" w:color="auto" w:sz="4" w:space="0"/>
              <w:bottom w:val="single" w:color="auto" w:sz="4" w:space="0"/>
            </w:tcBorders>
            <w:noWrap w:val="0"/>
            <w:vAlign w:val="center"/>
          </w:tcPr>
          <w:p>
            <w:pPr>
              <w:adjustRightInd w:val="0"/>
              <w:snapToGrid w:val="0"/>
              <w:jc w:val="center"/>
              <w:rPr>
                <w:rFonts w:ascii="宋体" w:hAnsi="宋体" w:cs="宋体"/>
                <w:color w:val="000000"/>
                <w:sz w:val="21"/>
                <w:szCs w:val="21"/>
              </w:rPr>
            </w:pPr>
            <w:r>
              <w:rPr>
                <w:color w:val="000000"/>
                <w:sz w:val="21"/>
                <w:szCs w:val="21"/>
              </w:rPr>
              <w:t>COD、BOD</w:t>
            </w:r>
            <w:r>
              <w:rPr>
                <w:color w:val="000000"/>
                <w:sz w:val="21"/>
                <w:szCs w:val="21"/>
                <w:vertAlign w:val="subscript"/>
              </w:rPr>
              <w:t>5</w:t>
            </w:r>
            <w:r>
              <w:rPr>
                <w:color w:val="000000"/>
                <w:sz w:val="21"/>
                <w:szCs w:val="21"/>
              </w:rPr>
              <w:t>、SS、</w:t>
            </w:r>
            <w:r>
              <w:rPr>
                <w:rFonts w:hint="eastAsia" w:ascii="宋体" w:hAnsi="宋体" w:cs="宋体"/>
                <w:color w:val="000000"/>
                <w:sz w:val="21"/>
                <w:szCs w:val="21"/>
              </w:rPr>
              <w:t>氨氮、动植物油、总氮、总磷</w:t>
            </w:r>
          </w:p>
        </w:tc>
        <w:tc>
          <w:tcPr>
            <w:tcW w:w="1544" w:type="pct"/>
            <w:tcBorders>
              <w:top w:val="single" w:color="auto" w:sz="4" w:space="0"/>
              <w:bottom w:val="single" w:color="auto" w:sz="4" w:space="0"/>
            </w:tcBorders>
            <w:noWrap w:val="0"/>
            <w:vAlign w:val="center"/>
          </w:tcPr>
          <w:p>
            <w:pPr>
              <w:adjustRightInd w:val="0"/>
              <w:snapToGrid w:val="0"/>
              <w:rPr>
                <w:rFonts w:hint="eastAsia" w:ascii="宋体" w:hAnsi="宋体" w:cs="宋体"/>
                <w:color w:val="000000"/>
                <w:sz w:val="21"/>
                <w:szCs w:val="21"/>
              </w:rPr>
            </w:pPr>
            <w:r>
              <w:rPr>
                <w:rFonts w:hint="eastAsia" w:ascii="宋体" w:hAnsi="宋体" w:cs="宋体"/>
                <w:color w:val="000000"/>
                <w:sz w:val="21"/>
                <w:szCs w:val="21"/>
              </w:rPr>
              <w:t>生活污水经市政污水管网排入园区污水处理厂</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食堂废水</w:t>
            </w:r>
            <w:r>
              <w:rPr>
                <w:rFonts w:hint="eastAsia" w:ascii="宋体" w:hAnsi="宋体" w:cs="宋体"/>
                <w:color w:val="000000"/>
                <w:sz w:val="21"/>
                <w:szCs w:val="21"/>
              </w:rPr>
              <w:t>经</w:t>
            </w:r>
            <w:r>
              <w:rPr>
                <w:rFonts w:hint="eastAsia" w:ascii="宋体" w:hAnsi="宋体" w:cs="宋体"/>
                <w:color w:val="000000"/>
                <w:sz w:val="21"/>
                <w:szCs w:val="21"/>
                <w:lang w:val="en-US" w:eastAsia="zh-CN"/>
              </w:rPr>
              <w:t>隔油</w:t>
            </w:r>
            <w:r>
              <w:rPr>
                <w:rFonts w:hint="eastAsia" w:ascii="宋体" w:hAnsi="宋体" w:cs="宋体"/>
                <w:color w:val="000000"/>
                <w:sz w:val="21"/>
                <w:szCs w:val="21"/>
              </w:rPr>
              <w:t>池处理后经市政污水管网排入园区污水处理厂；生产废水通过市政污水管网排入园区污水处理厂</w:t>
            </w:r>
          </w:p>
        </w:tc>
        <w:tc>
          <w:tcPr>
            <w:tcW w:w="1174" w:type="pct"/>
            <w:tcBorders>
              <w:top w:val="single" w:color="auto" w:sz="4" w:space="0"/>
              <w:bottom w:val="single" w:color="auto" w:sz="4" w:space="0"/>
              <w:right w:val="single" w:color="auto" w:sz="12" w:space="0"/>
            </w:tcBorders>
            <w:noWrap w:val="0"/>
            <w:vAlign w:val="center"/>
          </w:tcPr>
          <w:p>
            <w:pPr>
              <w:pStyle w:val="10"/>
              <w:topLinePunct/>
              <w:spacing w:before="0" w:after="0" w:line="240" w:lineRule="auto"/>
              <w:ind w:right="0"/>
              <w:jc w:val="center"/>
              <w:rPr>
                <w:rFonts w:hint="eastAsia" w:ascii="宋体" w:hAnsi="宋体" w:cs="宋体"/>
                <w:color w:val="000000"/>
                <w:kern w:val="2"/>
                <w:sz w:val="21"/>
                <w:szCs w:val="21"/>
              </w:rPr>
            </w:pPr>
            <w:r>
              <w:rPr>
                <w:rFonts w:hint="eastAsia" w:ascii="宋体" w:hAnsi="宋体" w:cs="宋体"/>
                <w:color w:val="000000"/>
                <w:kern w:val="2"/>
                <w:sz w:val="21"/>
                <w:szCs w:val="21"/>
              </w:rPr>
              <w:t>信息产业园污水处理厂接管标准及《污水综合排放标准》（GB8978-1996）三级标准</w:t>
            </w:r>
          </w:p>
          <w:p>
            <w:pPr>
              <w:pStyle w:val="10"/>
              <w:topLinePunct/>
              <w:spacing w:before="0" w:after="0" w:line="240" w:lineRule="auto"/>
              <w:ind w:right="0"/>
              <w:jc w:val="center"/>
              <w:rPr>
                <w:rFonts w:hint="eastAsia"/>
              </w:rPr>
            </w:pPr>
            <w:r>
              <w:rPr>
                <w:rFonts w:ascii="宋体" w:hAnsi="宋体" w:cs="宋体"/>
                <w:color w:val="000000"/>
                <w:kern w:val="2"/>
                <w:sz w:val="21"/>
                <w:szCs w:val="21"/>
              </w:rPr>
              <w:t>《污水排入城镇下水道水质标准》（GB/T31962-2015）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9" w:type="pct"/>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声环境</w:t>
            </w:r>
          </w:p>
        </w:tc>
        <w:tc>
          <w:tcPr>
            <w:tcW w:w="897" w:type="pct"/>
            <w:tcBorders>
              <w:top w:val="single" w:color="auto" w:sz="4" w:space="0"/>
              <w:bottom w:val="single" w:color="auto" w:sz="4" w:space="0"/>
            </w:tcBorders>
            <w:noWrap w:val="0"/>
            <w:vAlign w:val="center"/>
          </w:tcPr>
          <w:p>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设备运行噪声</w:t>
            </w:r>
          </w:p>
        </w:tc>
        <w:tc>
          <w:tcPr>
            <w:tcW w:w="543" w:type="pct"/>
            <w:tcBorders>
              <w:top w:val="single" w:color="auto" w:sz="4" w:space="0"/>
              <w:bottom w:val="single" w:color="auto" w:sz="4" w:space="0"/>
            </w:tcBorders>
            <w:noWrap w:val="0"/>
            <w:vAlign w:val="center"/>
          </w:tcPr>
          <w:p>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噪声</w:t>
            </w:r>
          </w:p>
        </w:tc>
        <w:tc>
          <w:tcPr>
            <w:tcW w:w="1544" w:type="pct"/>
            <w:tcBorders>
              <w:top w:val="single" w:color="auto" w:sz="4" w:space="0"/>
              <w:bottom w:val="single" w:color="auto" w:sz="4" w:space="0"/>
            </w:tcBorders>
            <w:noWrap w:val="0"/>
            <w:vAlign w:val="center"/>
          </w:tcPr>
          <w:p>
            <w:pPr>
              <w:adjustRightInd w:val="0"/>
              <w:snapToGrid w:val="0"/>
              <w:jc w:val="center"/>
              <w:rPr>
                <w:rFonts w:hint="eastAsia" w:ascii="宋体" w:hAnsi="宋体" w:cs="宋体"/>
                <w:color w:val="000000"/>
                <w:sz w:val="21"/>
                <w:szCs w:val="21"/>
              </w:rPr>
            </w:pPr>
            <w:r>
              <w:rPr>
                <w:rFonts w:hint="eastAsia" w:ascii="宋体" w:hAnsi="宋体" w:cs="宋体"/>
                <w:color w:val="000000"/>
                <w:kern w:val="0"/>
                <w:sz w:val="21"/>
                <w:szCs w:val="21"/>
              </w:rPr>
              <w:t>选用低噪声设备，设减振垫及减振基础，加装消声措施等</w:t>
            </w:r>
          </w:p>
        </w:tc>
        <w:tc>
          <w:tcPr>
            <w:tcW w:w="1174" w:type="pct"/>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cs="宋体"/>
                <w:color w:val="000000"/>
                <w:sz w:val="21"/>
                <w:szCs w:val="21"/>
              </w:rPr>
            </w:pPr>
            <w:r>
              <w:rPr>
                <w:rFonts w:hint="eastAsia" w:ascii="宋体" w:hAnsi="宋体" w:cs="宋体"/>
                <w:color w:val="000000"/>
                <w:kern w:val="0"/>
                <w:sz w:val="21"/>
                <w:szCs w:val="21"/>
              </w:rPr>
              <w:t>厂界噪声排放执行《工业企业厂界环境噪声排放标准》（GB12348-2008）中3类标准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39" w:type="pct"/>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电磁辐射</w:t>
            </w:r>
          </w:p>
        </w:tc>
        <w:tc>
          <w:tcPr>
            <w:tcW w:w="897" w:type="pct"/>
            <w:tcBorders>
              <w:top w:val="single" w:color="auto" w:sz="4" w:space="0"/>
              <w:bottom w:val="single" w:color="auto" w:sz="4" w:space="0"/>
            </w:tcBorders>
            <w:noWrap w:val="0"/>
            <w:vAlign w:val="center"/>
          </w:tcPr>
          <w:p>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无</w:t>
            </w:r>
          </w:p>
        </w:tc>
        <w:tc>
          <w:tcPr>
            <w:tcW w:w="543" w:type="pct"/>
            <w:tcBorders>
              <w:top w:val="single" w:color="auto" w:sz="4" w:space="0"/>
              <w:bottom w:val="single" w:color="auto" w:sz="4" w:space="0"/>
            </w:tcBorders>
            <w:noWrap w:val="0"/>
            <w:vAlign w:val="center"/>
          </w:tcPr>
          <w:p>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w:t>
            </w:r>
          </w:p>
        </w:tc>
        <w:tc>
          <w:tcPr>
            <w:tcW w:w="1544" w:type="pct"/>
            <w:tcBorders>
              <w:top w:val="single" w:color="auto" w:sz="4" w:space="0"/>
              <w:bottom w:val="single" w:color="auto" w:sz="4" w:space="0"/>
            </w:tcBorders>
            <w:noWrap w:val="0"/>
            <w:vAlign w:val="center"/>
          </w:tcPr>
          <w:p>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w:t>
            </w:r>
          </w:p>
        </w:tc>
        <w:tc>
          <w:tcPr>
            <w:tcW w:w="1174" w:type="pct"/>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9" w:type="pct"/>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color w:val="000000"/>
                <w:sz w:val="21"/>
                <w:szCs w:val="21"/>
                <w:highlight w:val="yellow"/>
              </w:rPr>
            </w:pPr>
            <w:r>
              <w:rPr>
                <w:rFonts w:hint="eastAsia" w:ascii="宋体" w:hAnsi="宋体" w:cs="宋体"/>
                <w:b/>
                <w:color w:val="000000"/>
                <w:sz w:val="21"/>
                <w:szCs w:val="21"/>
              </w:rPr>
              <w:t>固体废物</w:t>
            </w:r>
          </w:p>
        </w:tc>
        <w:tc>
          <w:tcPr>
            <w:tcW w:w="4160" w:type="pct"/>
            <w:gridSpan w:val="4"/>
            <w:tcBorders>
              <w:top w:val="single" w:color="auto" w:sz="4" w:space="0"/>
              <w:bottom w:val="single" w:color="auto" w:sz="4" w:space="0"/>
              <w:right w:val="single" w:color="auto" w:sz="12" w:space="0"/>
            </w:tcBorders>
            <w:noWrap w:val="0"/>
            <w:vAlign w:val="center"/>
          </w:tcPr>
          <w:p>
            <w:pPr>
              <w:rPr>
                <w:rFonts w:hint="eastAsia" w:ascii="宋体" w:hAnsi="宋体" w:cs="宋体"/>
                <w:color w:val="0000FF"/>
                <w:sz w:val="21"/>
                <w:szCs w:val="21"/>
                <w:highlight w:val="yellow"/>
              </w:rPr>
            </w:pPr>
            <w:r>
              <w:rPr>
                <w:rFonts w:hint="eastAsia" w:ascii="宋体" w:hAnsi="宋体" w:cs="宋体"/>
                <w:color w:val="000000"/>
                <w:sz w:val="21"/>
                <w:szCs w:val="21"/>
              </w:rPr>
              <w:t>废包装材料、</w:t>
            </w:r>
            <w:r>
              <w:rPr>
                <w:rFonts w:hint="eastAsia" w:ascii="宋体" w:hAnsi="宋体" w:cs="宋体"/>
                <w:color w:val="000000"/>
                <w:sz w:val="21"/>
                <w:szCs w:val="21"/>
                <w:lang w:val="en-US" w:eastAsia="zh-CN"/>
              </w:rPr>
              <w:t>化学品库废物、不合格品</w:t>
            </w:r>
            <w:r>
              <w:rPr>
                <w:rFonts w:hint="eastAsia" w:ascii="宋体" w:hAnsi="宋体" w:cs="宋体"/>
                <w:color w:val="000000"/>
                <w:sz w:val="21"/>
                <w:szCs w:val="21"/>
              </w:rPr>
              <w:t>暂存后，外售综合利用，废</w:t>
            </w:r>
            <w:r>
              <w:rPr>
                <w:rFonts w:hint="eastAsia" w:ascii="宋体" w:hAnsi="宋体" w:cs="宋体"/>
                <w:color w:val="000000"/>
                <w:sz w:val="21"/>
                <w:szCs w:val="21"/>
                <w:lang w:val="en-US" w:eastAsia="zh-CN"/>
              </w:rPr>
              <w:t>矿物</w:t>
            </w:r>
            <w:r>
              <w:rPr>
                <w:rFonts w:hint="eastAsia" w:ascii="宋体" w:hAnsi="宋体" w:cs="宋体"/>
                <w:color w:val="000000"/>
                <w:sz w:val="21"/>
                <w:szCs w:val="21"/>
              </w:rPr>
              <w:t>油</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废矿物油桶</w:t>
            </w:r>
            <w:r>
              <w:rPr>
                <w:rFonts w:hint="eastAsia" w:ascii="宋体" w:hAnsi="宋体" w:cs="宋体"/>
                <w:color w:val="000000"/>
                <w:sz w:val="21"/>
                <w:szCs w:val="21"/>
              </w:rPr>
              <w:t>暂存危废间交由有资质的单位处理处置，</w:t>
            </w:r>
            <w:r>
              <w:rPr>
                <w:rFonts w:hint="eastAsia" w:ascii="宋体" w:hAnsi="宋体" w:cs="宋体"/>
                <w:color w:val="000000"/>
                <w:sz w:val="21"/>
                <w:szCs w:val="21"/>
                <w:lang w:val="en-US" w:eastAsia="zh-CN"/>
              </w:rPr>
              <w:t>废过滤器、废活性炭、废反渗透膜由供应厂家</w:t>
            </w:r>
            <w:r>
              <w:rPr>
                <w:rFonts w:hint="eastAsia" w:ascii="宋体" w:hAnsi="宋体" w:cs="宋体"/>
                <w:color w:val="000000"/>
                <w:sz w:val="21"/>
                <w:szCs w:val="21"/>
              </w:rPr>
              <w:t>回收处理，生活垃圾、</w:t>
            </w:r>
            <w:r>
              <w:rPr>
                <w:rFonts w:hint="eastAsia" w:ascii="宋体" w:hAnsi="宋体" w:cs="宋体"/>
                <w:color w:val="000000"/>
                <w:sz w:val="21"/>
                <w:szCs w:val="21"/>
                <w:lang w:val="en-US" w:eastAsia="zh-CN"/>
              </w:rPr>
              <w:t>餐厨</w:t>
            </w:r>
            <w:r>
              <w:rPr>
                <w:rFonts w:hint="eastAsia" w:ascii="宋体" w:hAnsi="宋体" w:cs="宋体"/>
                <w:color w:val="000000"/>
                <w:sz w:val="21"/>
                <w:szCs w:val="21"/>
              </w:rPr>
              <w:t>垃圾由环卫部门清运。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pct"/>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地下水及土壤</w:t>
            </w:r>
          </w:p>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污染防治措施</w:t>
            </w:r>
          </w:p>
        </w:tc>
        <w:tc>
          <w:tcPr>
            <w:tcW w:w="4160" w:type="pct"/>
            <w:gridSpan w:val="4"/>
            <w:tcBorders>
              <w:top w:val="single" w:color="auto" w:sz="4" w:space="0"/>
              <w:bottom w:val="single" w:color="auto" w:sz="4" w:space="0"/>
              <w:right w:val="single" w:color="auto" w:sz="12" w:space="0"/>
            </w:tcBorders>
            <w:noWrap w:val="0"/>
            <w:vAlign w:val="center"/>
          </w:tcPr>
          <w:p>
            <w:pPr>
              <w:adjustRightInd w:val="0"/>
              <w:snapToGrid w:val="0"/>
              <w:jc w:val="left"/>
              <w:rPr>
                <w:rFonts w:hint="eastAsia" w:ascii="宋体" w:hAnsi="宋体" w:cs="宋体"/>
                <w:color w:val="0000FF"/>
                <w:sz w:val="21"/>
                <w:szCs w:val="21"/>
              </w:rPr>
            </w:pPr>
            <w:r>
              <w:rPr>
                <w:rFonts w:hint="eastAsia"/>
                <w:color w:val="000000"/>
                <w:kern w:val="0"/>
                <w:sz w:val="21"/>
                <w:szCs w:val="21"/>
                <w:lang w:val="en-US" w:eastAsia="zh-CN"/>
              </w:rPr>
              <w:t>隔油池、</w:t>
            </w:r>
            <w:r>
              <w:rPr>
                <w:rFonts w:hint="eastAsia"/>
                <w:color w:val="000000"/>
                <w:kern w:val="0"/>
                <w:sz w:val="21"/>
                <w:szCs w:val="21"/>
              </w:rPr>
              <w:t>危废间</w:t>
            </w:r>
            <w:r>
              <w:rPr>
                <w:color w:val="000000"/>
                <w:kern w:val="0"/>
                <w:sz w:val="21"/>
                <w:szCs w:val="21"/>
              </w:rPr>
              <w:t>为重点防渗区，</w:t>
            </w:r>
            <w:r>
              <w:rPr>
                <w:rFonts w:hAnsi="宋体"/>
                <w:sz w:val="21"/>
                <w:szCs w:val="21"/>
              </w:rPr>
              <w:t>基础防渗层为黏土层时，其厚度应达</w:t>
            </w:r>
            <w:r>
              <w:rPr>
                <w:sz w:val="21"/>
                <w:szCs w:val="21"/>
              </w:rPr>
              <w:t>1m</w:t>
            </w:r>
            <w:r>
              <w:rPr>
                <w:rFonts w:hAnsi="宋体"/>
                <w:sz w:val="21"/>
                <w:szCs w:val="21"/>
              </w:rPr>
              <w:t>以上，</w:t>
            </w:r>
            <w:r>
              <w:rPr>
                <w:rFonts w:hint="eastAsia"/>
                <w:sz w:val="21"/>
                <w:szCs w:val="21"/>
              </w:rPr>
              <w:t>K&lt;</w:t>
            </w:r>
            <w:r>
              <w:rPr>
                <w:sz w:val="21"/>
                <w:szCs w:val="21"/>
              </w:rPr>
              <w:t>10</w:t>
            </w:r>
            <w:r>
              <w:rPr>
                <w:sz w:val="21"/>
                <w:szCs w:val="21"/>
                <w:vertAlign w:val="superscript"/>
              </w:rPr>
              <w:t>-7</w:t>
            </w:r>
            <w:r>
              <w:rPr>
                <w:sz w:val="21"/>
                <w:szCs w:val="21"/>
              </w:rPr>
              <w:t>cm/s</w:t>
            </w:r>
            <w:r>
              <w:rPr>
                <w:rFonts w:hAnsi="宋体"/>
                <w:sz w:val="21"/>
                <w:szCs w:val="21"/>
              </w:rPr>
              <w:t>；基础防渗层亦可用厚度</w:t>
            </w:r>
            <w:r>
              <w:rPr>
                <w:sz w:val="21"/>
                <w:szCs w:val="21"/>
              </w:rPr>
              <w:t>2mm</w:t>
            </w:r>
            <w:r>
              <w:rPr>
                <w:rFonts w:hAnsi="宋体"/>
                <w:sz w:val="21"/>
                <w:szCs w:val="21"/>
              </w:rPr>
              <w:t>以上的高密度聚乙烯和其他人工防渗材料组成，</w:t>
            </w:r>
            <w:r>
              <w:rPr>
                <w:rFonts w:hint="eastAsia"/>
                <w:sz w:val="21"/>
                <w:szCs w:val="21"/>
              </w:rPr>
              <w:t>K≤</w:t>
            </w:r>
            <w:r>
              <w:rPr>
                <w:sz w:val="21"/>
                <w:szCs w:val="21"/>
              </w:rPr>
              <w:t>10</w:t>
            </w:r>
            <w:r>
              <w:rPr>
                <w:sz w:val="21"/>
                <w:szCs w:val="21"/>
                <w:vertAlign w:val="superscript"/>
              </w:rPr>
              <w:t>-1</w:t>
            </w:r>
            <w:r>
              <w:rPr>
                <w:sz w:val="21"/>
                <w:szCs w:val="21"/>
              </w:rPr>
              <w:t>cm/s</w:t>
            </w:r>
            <w:r>
              <w:rPr>
                <w:rFonts w:hint="eastAsia"/>
                <w:sz w:val="21"/>
                <w:szCs w:val="21"/>
              </w:rPr>
              <w:t>，一般固废暂存间、生产车间</w:t>
            </w:r>
            <w:r>
              <w:rPr>
                <w:color w:val="000000"/>
                <w:kern w:val="0"/>
                <w:sz w:val="21"/>
                <w:szCs w:val="21"/>
              </w:rPr>
              <w:t>为一般防渗区，</w:t>
            </w:r>
            <w:r>
              <w:rPr>
                <w:rFonts w:hint="eastAsia"/>
                <w:sz w:val="21"/>
                <w:szCs w:val="21"/>
              </w:rPr>
              <w:t>等效黏土防渗层 Mb≥1.5m，K≤1.0×</w:t>
            </w:r>
            <w:r>
              <w:rPr>
                <w:sz w:val="21"/>
                <w:szCs w:val="21"/>
              </w:rPr>
              <w:t>10</w:t>
            </w:r>
            <w:r>
              <w:rPr>
                <w:sz w:val="21"/>
                <w:szCs w:val="21"/>
                <w:vertAlign w:val="superscript"/>
              </w:rPr>
              <w:t>-7</w:t>
            </w:r>
            <w:r>
              <w:rPr>
                <w:rFonts w:hint="eastAsia"/>
                <w:sz w:val="21"/>
                <w:szCs w:val="21"/>
              </w:rPr>
              <w:t>cm/s</w:t>
            </w:r>
            <w:r>
              <w:rPr>
                <w:rFonts w:hint="eastAsia"/>
                <w:color w:val="000000"/>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9" w:type="pct"/>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color w:val="000000"/>
                <w:sz w:val="21"/>
                <w:szCs w:val="21"/>
              </w:rPr>
            </w:pPr>
            <w:r>
              <w:rPr>
                <w:rFonts w:hint="eastAsia" w:ascii="宋体" w:hAnsi="宋体" w:cs="宋体"/>
                <w:b/>
                <w:color w:val="000000"/>
                <w:sz w:val="21"/>
                <w:szCs w:val="21"/>
              </w:rPr>
              <w:t>生态保护措施</w:t>
            </w:r>
          </w:p>
        </w:tc>
        <w:tc>
          <w:tcPr>
            <w:tcW w:w="4160" w:type="pct"/>
            <w:gridSpan w:val="4"/>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839" w:type="pct"/>
            <w:tcBorders>
              <w:top w:val="single" w:color="auto" w:sz="4" w:space="0"/>
              <w:left w:val="single" w:color="auto" w:sz="12" w:space="0"/>
              <w:bottom w:val="single" w:color="auto" w:sz="4" w:space="0"/>
            </w:tcBorders>
            <w:noWrap w:val="0"/>
            <w:vAlign w:val="center"/>
          </w:tcPr>
          <w:p>
            <w:pPr>
              <w:adjustRightInd w:val="0"/>
              <w:snapToGrid w:val="0"/>
              <w:jc w:val="center"/>
              <w:rPr>
                <w:rFonts w:hint="eastAsia" w:ascii="宋体" w:hAnsi="宋体" w:cs="宋体"/>
                <w:b/>
                <w:color w:val="000000"/>
                <w:spacing w:val="-8"/>
                <w:sz w:val="21"/>
                <w:szCs w:val="21"/>
              </w:rPr>
            </w:pPr>
            <w:r>
              <w:rPr>
                <w:rFonts w:hint="eastAsia" w:ascii="宋体" w:hAnsi="宋体" w:cs="宋体"/>
                <w:b/>
                <w:color w:val="000000"/>
                <w:spacing w:val="-8"/>
                <w:sz w:val="21"/>
                <w:szCs w:val="21"/>
              </w:rPr>
              <w:t>环境风险防范</w:t>
            </w:r>
          </w:p>
          <w:p>
            <w:pPr>
              <w:adjustRightInd w:val="0"/>
              <w:snapToGrid w:val="0"/>
              <w:jc w:val="center"/>
              <w:rPr>
                <w:rFonts w:hint="eastAsia" w:ascii="宋体" w:hAnsi="宋体" w:cs="宋体"/>
                <w:b/>
                <w:color w:val="000000"/>
                <w:spacing w:val="-8"/>
                <w:sz w:val="21"/>
                <w:szCs w:val="21"/>
              </w:rPr>
            </w:pPr>
            <w:r>
              <w:rPr>
                <w:rFonts w:hint="eastAsia" w:ascii="宋体" w:hAnsi="宋体" w:cs="宋体"/>
                <w:b/>
                <w:color w:val="000000"/>
                <w:spacing w:val="-8"/>
                <w:sz w:val="21"/>
                <w:szCs w:val="21"/>
              </w:rPr>
              <w:t>措施</w:t>
            </w:r>
          </w:p>
        </w:tc>
        <w:tc>
          <w:tcPr>
            <w:tcW w:w="4160" w:type="pct"/>
            <w:gridSpan w:val="4"/>
            <w:tcBorders>
              <w:top w:val="single" w:color="auto" w:sz="4" w:space="0"/>
              <w:bottom w:val="single" w:color="auto" w:sz="4" w:space="0"/>
              <w:right w:val="single" w:color="auto" w:sz="12" w:space="0"/>
            </w:tcBorders>
            <w:noWrap w:val="0"/>
            <w:vAlign w:val="center"/>
          </w:tcPr>
          <w:p>
            <w:pPr>
              <w:adjustRightInd w:val="0"/>
              <w:snapToGrid w:val="0"/>
              <w:jc w:val="center"/>
              <w:rPr>
                <w:rFonts w:hint="eastAsia" w:ascii="宋体" w:hAnsi="宋体" w:cs="宋体"/>
                <w:color w:val="000000"/>
                <w:sz w:val="21"/>
                <w:szCs w:val="21"/>
              </w:rPr>
            </w:pPr>
            <w:r>
              <w:rPr>
                <w:rFonts w:hint="eastAsia"/>
                <w:bCs/>
                <w:sz w:val="21"/>
                <w:szCs w:val="21"/>
              </w:rPr>
              <w:t>危废暂存库内设置导流沟和集液池（不小于0.5m</w:t>
            </w:r>
            <w:r>
              <w:rPr>
                <w:rFonts w:hint="eastAsia"/>
                <w:bCs/>
                <w:sz w:val="21"/>
                <w:szCs w:val="21"/>
                <w:vertAlign w:val="superscript"/>
              </w:rPr>
              <w:t>3</w:t>
            </w:r>
            <w:r>
              <w:rPr>
                <w:rFonts w:hint="eastAsia"/>
                <w:bCs/>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39" w:type="pct"/>
            <w:tcBorders>
              <w:top w:val="single" w:color="auto" w:sz="4" w:space="0"/>
              <w:left w:val="single" w:color="auto" w:sz="12" w:space="0"/>
              <w:bottom w:val="single" w:color="auto" w:sz="12" w:space="0"/>
            </w:tcBorders>
            <w:noWrap w:val="0"/>
            <w:vAlign w:val="center"/>
          </w:tcPr>
          <w:p>
            <w:pPr>
              <w:adjustRightInd w:val="0"/>
              <w:snapToGrid w:val="0"/>
              <w:jc w:val="center"/>
              <w:rPr>
                <w:rFonts w:hint="eastAsia" w:ascii="宋体" w:hAnsi="宋体" w:cs="宋体"/>
                <w:b/>
                <w:color w:val="000000"/>
                <w:spacing w:val="-8"/>
                <w:sz w:val="21"/>
                <w:szCs w:val="21"/>
              </w:rPr>
            </w:pPr>
            <w:r>
              <w:rPr>
                <w:rFonts w:hint="eastAsia" w:ascii="宋体" w:hAnsi="宋体" w:cs="宋体"/>
                <w:b/>
                <w:color w:val="000000"/>
                <w:spacing w:val="-8"/>
                <w:sz w:val="21"/>
                <w:szCs w:val="21"/>
              </w:rPr>
              <w:t>其他环境</w:t>
            </w:r>
          </w:p>
          <w:p>
            <w:pPr>
              <w:adjustRightInd w:val="0"/>
              <w:snapToGrid w:val="0"/>
              <w:jc w:val="center"/>
              <w:rPr>
                <w:rFonts w:hint="eastAsia" w:ascii="宋体" w:hAnsi="宋体" w:cs="宋体"/>
                <w:b/>
                <w:color w:val="000000"/>
                <w:spacing w:val="-8"/>
                <w:sz w:val="21"/>
                <w:szCs w:val="21"/>
              </w:rPr>
            </w:pPr>
            <w:r>
              <w:rPr>
                <w:rFonts w:hint="eastAsia" w:ascii="宋体" w:hAnsi="宋体" w:cs="宋体"/>
                <w:b/>
                <w:color w:val="000000"/>
                <w:spacing w:val="-8"/>
                <w:sz w:val="21"/>
                <w:szCs w:val="21"/>
              </w:rPr>
              <w:t>管理要求</w:t>
            </w:r>
          </w:p>
        </w:tc>
        <w:tc>
          <w:tcPr>
            <w:tcW w:w="4160" w:type="pct"/>
            <w:gridSpan w:val="4"/>
            <w:tcBorders>
              <w:top w:val="single" w:color="auto" w:sz="4" w:space="0"/>
              <w:bottom w:val="single" w:color="auto" w:sz="12" w:space="0"/>
              <w:right w:val="single" w:color="auto" w:sz="12" w:space="0"/>
            </w:tcBorders>
            <w:noWrap w:val="0"/>
            <w:vAlign w:val="center"/>
          </w:tcPr>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环境管理和环境监测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建设项目的环境管理工作应由专人负责，为加强环境管理提供组织保证，配合环境保护主管部门依法对企业进行环境监督、管理、考核，以及接受生态环境分局在具体业务上给予技术指导。环境管理机构主要职责如下：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(1)根据公司规模、性质、特点和国家法律、法规，制定全公司环保规划和环境方针，并负责以多种形式向相关方面宣传；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(2)负责获取、更新使用于本企业的与环境相关的法律、法规，负责把适用的法律、法规发放到相关部门；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(3)协助各车间制定车间的环保规划，并协调和监督各单位具体实施；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(4)负责制定和实施公司的年度环保培训计划；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(5)负责公司内外部的环境工作信息交流；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(6)监督检查各部门环保设施的运行管理，尤其是了解污染治理设备的运行状况以及治理效率；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(7)监督检查各生产工艺设备的运行情况，确保无非正常工况生产事故的发生；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(8)负责对新、改、扩建项目环保工程及其“三同时”执行情况进行环境监测、数据分析、验收评估；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(9)负责应急计划的监督、检查；负责应急事故的协调处理；指导各单位对环保设施的管理；指导各单位应急与预防工作；对公司范围内重点危险区域部署监控措施；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(10)负责公司环境监测技术数据统计管理；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(11)负责全公司环保管理工作的监督和检查；组织实施全公司环境年度评审工作；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(12)负责公司的环境教育、培训、宣传，让环境保护意识深入职工心中。制定监测方案：排污单位应查清所有污染源，确定主要污染源及主要监测指标，制定监测方案。监测方案内容包括：单位基本情况、监测点位及示意图、监测指标、执行标准及其限值、监测频次、采样和样品保存方法、监测分析方法和仪器、质量保证与质量控制等。 </w:t>
            </w:r>
          </w:p>
          <w:p>
            <w:pPr>
              <w:adjustRightInd w:val="0"/>
              <w:snapToGrid w:val="0"/>
              <w:ind w:firstLine="420" w:firstLineChars="200"/>
              <w:rPr>
                <w:rFonts w:hint="eastAsia" w:ascii="宋体" w:hAnsi="宋体" w:cs="宋体"/>
                <w:color w:val="000000"/>
                <w:sz w:val="21"/>
                <w:szCs w:val="21"/>
              </w:rPr>
            </w:pPr>
            <w:r>
              <w:rPr>
                <w:rFonts w:hint="eastAsia" w:ascii="宋体" w:hAnsi="宋体" w:cs="宋体"/>
                <w:color w:val="000000"/>
                <w:sz w:val="21"/>
                <w:szCs w:val="21"/>
              </w:rPr>
              <w:t xml:space="preserve">新建排污单位应当在投入生产或使用并产生实际排污行为之前完成自行监测方案的编制及相关准备工作。改、扩建排污单位需加大巡检力度，排除一切不利因素。 </w:t>
            </w:r>
          </w:p>
          <w:p>
            <w:pPr>
              <w:adjustRightInd w:val="0"/>
              <w:snapToGrid w:val="0"/>
              <w:ind w:firstLine="420" w:firstLineChars="200"/>
              <w:rPr>
                <w:rFonts w:hint="eastAsia" w:ascii="宋体" w:hAnsi="宋体" w:cs="宋体"/>
                <w:color w:val="0000FF"/>
                <w:sz w:val="21"/>
                <w:szCs w:val="21"/>
              </w:rPr>
            </w:pPr>
            <w:r>
              <w:rPr>
                <w:rFonts w:hint="eastAsia" w:ascii="宋体" w:hAnsi="宋体" w:cs="宋体"/>
                <w:color w:val="000000"/>
                <w:sz w:val="21"/>
                <w:szCs w:val="21"/>
              </w:rPr>
              <w:t>排污单位应按照最新的监测方案开展监测活动，可根据自身条件和能力，利用自有人员、场所和设备自行监测；也可委托其它有资质的检（监）测机构代其开展自行监测。</w:t>
            </w:r>
          </w:p>
        </w:tc>
      </w:tr>
    </w:tbl>
    <w:p>
      <w:pPr>
        <w:bidi w:val="0"/>
        <w:ind w:firstLine="577" w:firstLineChars="0"/>
        <w:jc w:val="left"/>
        <w:rPr>
          <w:rFonts w:hint="default" w:ascii="Times New Roman" w:hAnsi="Times New Roman" w:eastAsia="宋体" w:cs="Times New Roman"/>
          <w:kern w:val="2"/>
          <w:sz w:val="24"/>
          <w:szCs w:val="24"/>
          <w:lang w:val="en-US" w:eastAsia="zh-CN" w:bidi="ar-SA"/>
        </w:rPr>
        <w:sectPr>
          <w:pgSz w:w="11906" w:h="16838"/>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jc w:val="center"/>
        <w:textAlignment w:val="auto"/>
        <w:rPr>
          <w:b/>
          <w:bCs/>
          <w:sz w:val="32"/>
          <w:szCs w:val="32"/>
        </w:rPr>
      </w:pPr>
      <w:r>
        <w:rPr>
          <w:b/>
          <w:bCs/>
          <w:sz w:val="32"/>
          <w:szCs w:val="32"/>
        </w:rPr>
        <w:t>六、结论</w:t>
      </w:r>
    </w:p>
    <w:tbl>
      <w:tblPr>
        <w:tblStyle w:val="21"/>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85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683" w:hRule="atLeast"/>
          <w:jc w:val="center"/>
        </w:trPr>
        <w:tc>
          <w:tcPr>
            <w:tcW w:w="5000" w:type="pct"/>
            <w:noWrap w:val="0"/>
            <w:vAlign w:val="top"/>
          </w:tcPr>
          <w:p>
            <w:pPr>
              <w:spacing w:line="355" w:lineRule="auto"/>
              <w:ind w:firstLine="480" w:firstLineChars="200"/>
              <w:rPr>
                <w:rFonts w:hint="eastAsia"/>
                <w:color w:val="000000"/>
              </w:rPr>
            </w:pPr>
            <w:r>
              <w:rPr>
                <w:color w:val="000000"/>
              </w:rPr>
              <w:t>综上所述，</w:t>
            </w:r>
            <w:r>
              <w:rPr>
                <w:rFonts w:hint="eastAsia"/>
                <w:color w:val="000000"/>
                <w:lang w:val="en-US" w:eastAsia="zh-CN"/>
              </w:rPr>
              <w:t>今麦郎饮品（淮北）有限</w:t>
            </w:r>
            <w:r>
              <w:rPr>
                <w:rFonts w:hint="eastAsia"/>
                <w:color w:val="000000"/>
              </w:rPr>
              <w:t>公司</w:t>
            </w:r>
            <w:r>
              <w:rPr>
                <w:rFonts w:hint="eastAsia"/>
                <w:color w:val="000000"/>
                <w:lang w:val="en-US" w:eastAsia="zh-CN"/>
              </w:rPr>
              <w:t>今麦郎软化纯净水生产线技术改造升级</w:t>
            </w:r>
            <w:r>
              <w:rPr>
                <w:rFonts w:hint="eastAsia"/>
                <w:color w:val="000000"/>
              </w:rPr>
              <w:t>项目</w:t>
            </w:r>
            <w:r>
              <w:rPr>
                <w:color w:val="000000"/>
              </w:rPr>
              <w:t>的建设符合国家产业政策，项目选址符合当地规划要求。</w:t>
            </w:r>
            <w:r>
              <w:rPr>
                <w:rFonts w:hint="eastAsia"/>
                <w:color w:val="000000"/>
              </w:rPr>
              <w:t>项目所在区域大气环境一般，地表水以及声环境质量现状良好；在优化的污染防治措施实施后，本项目废水、废气和噪声均可稳定达标排放，固废可得到妥善处置，项目排放的各种污染物对环境的影响程度和范围均较小。因此，从环境影响角度分析，本项目的建设是可行的。</w:t>
            </w:r>
          </w:p>
          <w:p>
            <w:pPr>
              <w:spacing w:line="355" w:lineRule="auto"/>
              <w:ind w:firstLine="480" w:firstLineChars="200"/>
              <w:rPr>
                <w:color w:val="0000FF"/>
              </w:rPr>
            </w:pPr>
          </w:p>
          <w:p>
            <w:pPr>
              <w:spacing w:line="360" w:lineRule="auto"/>
              <w:rPr>
                <w:color w:val="0000FF"/>
              </w:rPr>
            </w:pPr>
          </w:p>
          <w:p>
            <w:pPr>
              <w:spacing w:line="360" w:lineRule="auto"/>
              <w:rPr>
                <w:color w:val="0000FF"/>
              </w:rPr>
            </w:pPr>
          </w:p>
          <w:p>
            <w:pPr>
              <w:pStyle w:val="20"/>
              <w:ind w:left="480" w:firstLine="480"/>
              <w:rPr>
                <w:color w:val="0000FF"/>
                <w:sz w:val="24"/>
              </w:rPr>
            </w:pPr>
          </w:p>
          <w:p>
            <w:pPr>
              <w:rPr>
                <w:color w:val="0000FF"/>
              </w:rPr>
            </w:pPr>
          </w:p>
          <w:p>
            <w:pPr>
              <w:spacing w:line="360" w:lineRule="auto"/>
              <w:rPr>
                <w:color w:val="0000FF"/>
              </w:rPr>
            </w:pPr>
          </w:p>
          <w:p>
            <w:pPr>
              <w:pStyle w:val="32"/>
              <w:rPr>
                <w:rFonts w:ascii="Times New Roman" w:cs="Times New Roman"/>
                <w:color w:val="0000FF"/>
              </w:rPr>
            </w:pPr>
          </w:p>
          <w:p>
            <w:pPr>
              <w:pStyle w:val="32"/>
              <w:rPr>
                <w:rFonts w:ascii="Times New Roman" w:cs="Times New Roman"/>
                <w:color w:val="0000FF"/>
              </w:rPr>
            </w:pPr>
          </w:p>
          <w:p>
            <w:pPr>
              <w:pStyle w:val="32"/>
              <w:rPr>
                <w:rFonts w:ascii="Times New Roman" w:cs="Times New Roman"/>
                <w:color w:val="0000FF"/>
              </w:rPr>
            </w:pPr>
          </w:p>
          <w:p>
            <w:pPr>
              <w:spacing w:line="360" w:lineRule="auto"/>
              <w:rPr>
                <w:color w:val="0000FF"/>
              </w:rPr>
            </w:pPr>
          </w:p>
        </w:tc>
      </w:tr>
    </w:tbl>
    <w:p>
      <w:pPr>
        <w:bidi w:val="0"/>
        <w:ind w:firstLine="577" w:firstLineChars="0"/>
        <w:jc w:val="left"/>
        <w:rPr>
          <w:rFonts w:hint="default" w:ascii="Times New Roman" w:hAnsi="Times New Roman" w:eastAsia="宋体" w:cs="Times New Roman"/>
          <w:kern w:val="2"/>
          <w:sz w:val="24"/>
          <w:szCs w:val="24"/>
          <w:lang w:val="en-US" w:eastAsia="zh-CN" w:bidi="ar-SA"/>
        </w:rPr>
        <w:sectPr>
          <w:pgSz w:w="11906" w:h="16838"/>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486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3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61" w:hRule="atLeast"/>
          <w:jc w:val="center"/>
        </w:trPr>
        <w:tc>
          <w:tcPr>
            <w:tcW w:w="5000" w:type="pct"/>
            <w:noWrap w:val="0"/>
            <w:vAlign w:val="top"/>
          </w:tcPr>
          <w:p>
            <w:pPr>
              <w:pageBreakBefore w:val="0"/>
              <w:kinsoku/>
              <w:wordWrap/>
              <w:overflowPunct/>
              <w:topLinePunct w:val="0"/>
              <w:autoSpaceDE/>
              <w:autoSpaceDN/>
              <w:bidi w:val="0"/>
              <w:adjustRightInd w:val="0"/>
              <w:snapToGrid w:val="0"/>
              <w:spacing w:line="360" w:lineRule="auto"/>
              <w:textAlignment w:val="auto"/>
              <w:rPr>
                <w:b/>
                <w:szCs w:val="32"/>
              </w:rPr>
            </w:pPr>
            <w:r>
              <w:rPr>
                <w:b/>
                <w:szCs w:val="32"/>
              </w:rPr>
              <w:t>本报告表应附以下附件、附图：</w:t>
            </w:r>
          </w:p>
          <w:p>
            <w:pPr>
              <w:pageBreakBefore w:val="0"/>
              <w:kinsoku/>
              <w:wordWrap/>
              <w:overflowPunct/>
              <w:topLinePunct w:val="0"/>
              <w:autoSpaceDE/>
              <w:autoSpaceDN/>
              <w:bidi w:val="0"/>
              <w:adjustRightInd w:val="0"/>
              <w:snapToGrid w:val="0"/>
              <w:spacing w:line="360" w:lineRule="auto"/>
              <w:ind w:firstLine="442" w:firstLineChars="200"/>
              <w:jc w:val="left"/>
              <w:textAlignment w:val="auto"/>
              <w:rPr>
                <w:b/>
                <w:bCs/>
                <w:sz w:val="22"/>
                <w:szCs w:val="28"/>
              </w:rPr>
            </w:pPr>
            <w:r>
              <w:rPr>
                <w:b/>
                <w:bCs/>
                <w:sz w:val="22"/>
                <w:szCs w:val="28"/>
              </w:rPr>
              <w:t>附表</w:t>
            </w:r>
          </w:p>
          <w:p>
            <w:pPr>
              <w:pageBreakBefore w:val="0"/>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sz w:val="22"/>
                <w:szCs w:val="28"/>
              </w:rPr>
              <w:t>建设项目污染物排放量汇总表</w:t>
            </w:r>
          </w:p>
          <w:p>
            <w:pPr>
              <w:pageBreakBefore w:val="0"/>
              <w:kinsoku/>
              <w:wordWrap/>
              <w:overflowPunct/>
              <w:topLinePunct w:val="0"/>
              <w:autoSpaceDE/>
              <w:autoSpaceDN/>
              <w:bidi w:val="0"/>
              <w:adjustRightInd w:val="0"/>
              <w:snapToGrid w:val="0"/>
              <w:spacing w:line="360" w:lineRule="auto"/>
              <w:ind w:firstLine="442" w:firstLineChars="200"/>
              <w:textAlignment w:val="auto"/>
              <w:rPr>
                <w:b/>
                <w:sz w:val="22"/>
                <w:szCs w:val="22"/>
              </w:rPr>
            </w:pPr>
            <w:r>
              <w:rPr>
                <w:b/>
                <w:sz w:val="22"/>
                <w:szCs w:val="22"/>
              </w:rPr>
              <w:t>附件</w:t>
            </w:r>
          </w:p>
          <w:p>
            <w:pPr>
              <w:pageBreakBefore w:val="0"/>
              <w:numPr>
                <w:ilvl w:val="0"/>
                <w:numId w:val="7"/>
              </w:numPr>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sz w:val="22"/>
                <w:szCs w:val="28"/>
              </w:rPr>
              <w:t>环评委托书</w:t>
            </w:r>
          </w:p>
          <w:p>
            <w:pPr>
              <w:pageBreakBefore w:val="0"/>
              <w:numPr>
                <w:ilvl w:val="0"/>
                <w:numId w:val="7"/>
              </w:numPr>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sz w:val="22"/>
                <w:szCs w:val="28"/>
              </w:rPr>
              <w:t>项目备案表</w:t>
            </w:r>
          </w:p>
          <w:p>
            <w:pPr>
              <w:pageBreakBefore w:val="0"/>
              <w:numPr>
                <w:ilvl w:val="0"/>
                <w:numId w:val="7"/>
              </w:numPr>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sz w:val="22"/>
                <w:szCs w:val="28"/>
              </w:rPr>
              <w:t>营业执照</w:t>
            </w:r>
          </w:p>
          <w:p>
            <w:pPr>
              <w:pStyle w:val="5"/>
              <w:pageBreakBefore w:val="0"/>
              <w:numPr>
                <w:ilvl w:val="0"/>
                <w:numId w:val="0"/>
              </w:numPr>
              <w:kinsoku/>
              <w:wordWrap/>
              <w:overflowPunct/>
              <w:topLinePunct w:val="0"/>
              <w:autoSpaceDE/>
              <w:autoSpaceDN/>
              <w:bidi w:val="0"/>
              <w:adjustRightInd w:val="0"/>
              <w:snapToGrid w:val="0"/>
              <w:textAlignment w:val="auto"/>
              <w:rPr>
                <w:sz w:val="22"/>
                <w:szCs w:val="28"/>
              </w:rPr>
            </w:pPr>
            <w:r>
              <w:rPr>
                <w:rFonts w:hint="eastAsia"/>
                <w:sz w:val="22"/>
                <w:szCs w:val="28"/>
              </w:rPr>
              <w:t xml:space="preserve">   </w:t>
            </w:r>
            <w:r>
              <w:rPr>
                <w:rFonts w:hint="eastAsia"/>
                <w:b w:val="0"/>
                <w:bCs w:val="0"/>
                <w:sz w:val="22"/>
                <w:szCs w:val="28"/>
              </w:rPr>
              <w:t xml:space="preserve"> 附件4  声明确认单</w:t>
            </w:r>
          </w:p>
          <w:p>
            <w:pPr>
              <w:pageBreakBefore w:val="0"/>
              <w:kinsoku/>
              <w:wordWrap/>
              <w:overflowPunct/>
              <w:topLinePunct w:val="0"/>
              <w:autoSpaceDE/>
              <w:autoSpaceDN/>
              <w:bidi w:val="0"/>
              <w:adjustRightInd w:val="0"/>
              <w:snapToGrid w:val="0"/>
              <w:spacing w:line="360" w:lineRule="auto"/>
              <w:ind w:firstLine="440" w:firstLineChars="200"/>
              <w:textAlignment w:val="auto"/>
              <w:rPr>
                <w:bCs/>
                <w:sz w:val="22"/>
                <w:szCs w:val="22"/>
              </w:rPr>
            </w:pPr>
            <w:r>
              <w:rPr>
                <w:rFonts w:hint="eastAsia"/>
                <w:bCs/>
                <w:sz w:val="22"/>
                <w:szCs w:val="22"/>
              </w:rPr>
              <w:t>附件5  项目以前环评批复</w:t>
            </w:r>
          </w:p>
          <w:p>
            <w:pPr>
              <w:pageBreakBefore w:val="0"/>
              <w:kinsoku/>
              <w:wordWrap/>
              <w:overflowPunct/>
              <w:topLinePunct w:val="0"/>
              <w:autoSpaceDE/>
              <w:autoSpaceDN/>
              <w:bidi w:val="0"/>
              <w:adjustRightInd w:val="0"/>
              <w:snapToGrid w:val="0"/>
              <w:spacing w:line="360" w:lineRule="auto"/>
              <w:ind w:firstLine="442" w:firstLineChars="200"/>
              <w:textAlignment w:val="auto"/>
              <w:rPr>
                <w:b/>
                <w:sz w:val="22"/>
                <w:szCs w:val="22"/>
              </w:rPr>
            </w:pPr>
            <w:r>
              <w:rPr>
                <w:b/>
                <w:sz w:val="22"/>
                <w:szCs w:val="22"/>
              </w:rPr>
              <w:t>附图</w:t>
            </w:r>
          </w:p>
          <w:p>
            <w:pPr>
              <w:pageBreakBefore w:val="0"/>
              <w:numPr>
                <w:ilvl w:val="0"/>
                <w:numId w:val="8"/>
              </w:numPr>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sz w:val="22"/>
                <w:szCs w:val="28"/>
              </w:rPr>
              <w:t>项目地理位置图</w:t>
            </w:r>
          </w:p>
          <w:p>
            <w:pPr>
              <w:pageBreakBefore w:val="0"/>
              <w:numPr>
                <w:ilvl w:val="0"/>
                <w:numId w:val="8"/>
              </w:numPr>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sz w:val="22"/>
                <w:szCs w:val="28"/>
              </w:rPr>
              <w:t>项目周边概况图</w:t>
            </w:r>
          </w:p>
          <w:p>
            <w:pPr>
              <w:pageBreakBefore w:val="0"/>
              <w:numPr>
                <w:ilvl w:val="0"/>
                <w:numId w:val="8"/>
              </w:numPr>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sz w:val="22"/>
                <w:szCs w:val="28"/>
              </w:rPr>
              <w:t>项目</w:t>
            </w:r>
            <w:r>
              <w:rPr>
                <w:rFonts w:hint="eastAsia"/>
                <w:sz w:val="22"/>
                <w:szCs w:val="28"/>
              </w:rPr>
              <w:t>厂区</w:t>
            </w:r>
            <w:r>
              <w:rPr>
                <w:sz w:val="22"/>
                <w:szCs w:val="28"/>
              </w:rPr>
              <w:t>平面布置</w:t>
            </w:r>
            <w:r>
              <w:rPr>
                <w:rFonts w:hint="eastAsia"/>
                <w:sz w:val="22"/>
                <w:szCs w:val="28"/>
              </w:rPr>
              <w:t>及车间功能分区示意</w:t>
            </w:r>
            <w:r>
              <w:rPr>
                <w:sz w:val="22"/>
                <w:szCs w:val="28"/>
              </w:rPr>
              <w:t>图</w:t>
            </w:r>
          </w:p>
          <w:p>
            <w:pPr>
              <w:pageBreakBefore w:val="0"/>
              <w:numPr>
                <w:ilvl w:val="0"/>
                <w:numId w:val="8"/>
              </w:numPr>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sz w:val="22"/>
                <w:szCs w:val="28"/>
              </w:rPr>
              <w:t>环境保护目标分布图</w:t>
            </w:r>
          </w:p>
          <w:p>
            <w:pPr>
              <w:pageBreakBefore w:val="0"/>
              <w:numPr>
                <w:ilvl w:val="0"/>
                <w:numId w:val="8"/>
              </w:numPr>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sz w:val="22"/>
                <w:szCs w:val="28"/>
              </w:rPr>
              <w:t>项目</w:t>
            </w:r>
            <w:r>
              <w:rPr>
                <w:rFonts w:hint="eastAsia"/>
                <w:sz w:val="22"/>
                <w:szCs w:val="28"/>
              </w:rPr>
              <w:t>区生态红线图</w:t>
            </w:r>
          </w:p>
          <w:p>
            <w:pPr>
              <w:pageBreakBefore w:val="0"/>
              <w:tabs>
                <w:tab w:val="left" w:pos="0"/>
              </w:tabs>
              <w:kinsoku/>
              <w:wordWrap/>
              <w:overflowPunct/>
              <w:topLinePunct w:val="0"/>
              <w:autoSpaceDE/>
              <w:autoSpaceDN/>
              <w:bidi w:val="0"/>
              <w:adjustRightInd w:val="0"/>
              <w:snapToGrid w:val="0"/>
              <w:spacing w:line="360" w:lineRule="auto"/>
              <w:ind w:firstLine="440" w:firstLineChars="200"/>
              <w:jc w:val="left"/>
              <w:textAlignment w:val="auto"/>
              <w:rPr>
                <w:b/>
                <w:bCs/>
                <w:sz w:val="22"/>
                <w:szCs w:val="28"/>
              </w:rPr>
            </w:pPr>
            <w:r>
              <w:rPr>
                <w:rFonts w:hint="eastAsia"/>
                <w:sz w:val="22"/>
                <w:szCs w:val="28"/>
              </w:rPr>
              <w:t>附图6  开发区规划布局</w:t>
            </w:r>
            <w:r>
              <w:rPr>
                <w:sz w:val="22"/>
                <w:szCs w:val="28"/>
              </w:rPr>
              <w:t>图</w:t>
            </w:r>
          </w:p>
          <w:p>
            <w:pPr>
              <w:pageBreakBefore w:val="0"/>
              <w:tabs>
                <w:tab w:val="left" w:pos="0"/>
              </w:tabs>
              <w:kinsoku/>
              <w:wordWrap/>
              <w:overflowPunct/>
              <w:topLinePunct w:val="0"/>
              <w:autoSpaceDE/>
              <w:autoSpaceDN/>
              <w:bidi w:val="0"/>
              <w:adjustRightInd w:val="0"/>
              <w:snapToGrid w:val="0"/>
              <w:spacing w:line="360" w:lineRule="auto"/>
              <w:ind w:firstLine="440" w:firstLineChars="200"/>
              <w:jc w:val="left"/>
              <w:textAlignment w:val="auto"/>
              <w:rPr>
                <w:b/>
                <w:bCs/>
                <w:sz w:val="22"/>
                <w:szCs w:val="28"/>
              </w:rPr>
            </w:pPr>
            <w:r>
              <w:rPr>
                <w:rFonts w:hint="eastAsia"/>
                <w:sz w:val="22"/>
                <w:szCs w:val="28"/>
              </w:rPr>
              <w:t>附图7  项目分区防渗</w:t>
            </w:r>
            <w:r>
              <w:rPr>
                <w:sz w:val="22"/>
                <w:szCs w:val="28"/>
              </w:rPr>
              <w:t>图</w:t>
            </w:r>
          </w:p>
          <w:p>
            <w:pPr>
              <w:pageBreakBefore w:val="0"/>
              <w:tabs>
                <w:tab w:val="left" w:pos="0"/>
              </w:tabs>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rFonts w:hint="eastAsia"/>
                <w:sz w:val="22"/>
                <w:szCs w:val="28"/>
              </w:rPr>
              <w:t>附图8  项目雨污管线分流</w:t>
            </w:r>
            <w:r>
              <w:rPr>
                <w:sz w:val="22"/>
                <w:szCs w:val="28"/>
              </w:rPr>
              <w:t>图</w:t>
            </w:r>
          </w:p>
          <w:p>
            <w:pPr>
              <w:pageBreakBefore w:val="0"/>
              <w:tabs>
                <w:tab w:val="left" w:pos="0"/>
              </w:tabs>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rFonts w:hint="eastAsia"/>
                <w:sz w:val="22"/>
                <w:szCs w:val="28"/>
              </w:rPr>
              <w:t>附图9  项目与淮北市大气环境管控分区关系</w:t>
            </w:r>
            <w:r>
              <w:rPr>
                <w:sz w:val="22"/>
                <w:szCs w:val="28"/>
              </w:rPr>
              <w:t>图</w:t>
            </w:r>
          </w:p>
          <w:p>
            <w:pPr>
              <w:pageBreakBefore w:val="0"/>
              <w:tabs>
                <w:tab w:val="left" w:pos="0"/>
              </w:tabs>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rFonts w:hint="eastAsia"/>
                <w:sz w:val="22"/>
                <w:szCs w:val="28"/>
              </w:rPr>
              <w:t>附图10 项目与淮北市水环境管控分区关系</w:t>
            </w:r>
            <w:r>
              <w:rPr>
                <w:sz w:val="22"/>
                <w:szCs w:val="28"/>
              </w:rPr>
              <w:t>图</w:t>
            </w:r>
          </w:p>
          <w:p>
            <w:pPr>
              <w:pageBreakBefore w:val="0"/>
              <w:tabs>
                <w:tab w:val="left" w:pos="0"/>
              </w:tabs>
              <w:kinsoku/>
              <w:wordWrap/>
              <w:overflowPunct/>
              <w:topLinePunct w:val="0"/>
              <w:autoSpaceDE/>
              <w:autoSpaceDN/>
              <w:bidi w:val="0"/>
              <w:adjustRightInd w:val="0"/>
              <w:snapToGrid w:val="0"/>
              <w:spacing w:line="360" w:lineRule="auto"/>
              <w:ind w:firstLine="440" w:firstLineChars="200"/>
              <w:jc w:val="left"/>
              <w:textAlignment w:val="auto"/>
              <w:rPr>
                <w:sz w:val="22"/>
                <w:szCs w:val="28"/>
              </w:rPr>
            </w:pPr>
            <w:r>
              <w:rPr>
                <w:rFonts w:hint="eastAsia"/>
                <w:sz w:val="22"/>
                <w:szCs w:val="28"/>
              </w:rPr>
              <w:t>附图11 开发区土地利用规划</w:t>
            </w:r>
            <w:r>
              <w:rPr>
                <w:sz w:val="22"/>
                <w:szCs w:val="28"/>
              </w:rPr>
              <w:t>图</w:t>
            </w:r>
          </w:p>
        </w:tc>
      </w:tr>
    </w:tbl>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Times New Roman" w:hAnsi="Times New Roman"/>
          <w:snapToGrid w:val="0"/>
          <w:color w:val="000000"/>
          <w:sz w:val="32"/>
          <w:szCs w:val="32"/>
        </w:rPr>
      </w:pPr>
      <w:r>
        <w:rPr>
          <w:rFonts w:ascii="Times New Roman" w:hAnsi="Times New Roman"/>
          <w:b/>
          <w:bCs/>
          <w:snapToGrid w:val="0"/>
          <w:color w:val="000000"/>
          <w:sz w:val="28"/>
          <w:szCs w:val="28"/>
        </w:rPr>
        <w:t>附表</w:t>
      </w:r>
    </w:p>
    <w:p>
      <w:pPr>
        <w:keepNext w:val="0"/>
        <w:keepLines w:val="0"/>
        <w:pageBreakBefore w:val="0"/>
        <w:kinsoku/>
        <w:wordWrap/>
        <w:overflowPunct/>
        <w:topLinePunct w:val="0"/>
        <w:autoSpaceDE/>
        <w:autoSpaceDN/>
        <w:bidi w:val="0"/>
        <w:adjustRightInd w:val="0"/>
        <w:snapToGrid w:val="0"/>
        <w:jc w:val="center"/>
        <w:textAlignment w:val="auto"/>
        <w:rPr>
          <w:b/>
          <w:bCs/>
          <w:sz w:val="32"/>
          <w:szCs w:val="32"/>
        </w:rPr>
      </w:pPr>
      <w:r>
        <w:rPr>
          <w:b/>
          <w:bCs/>
          <w:sz w:val="32"/>
          <w:szCs w:val="32"/>
        </w:rPr>
        <w:t>建设项目污染物排放量汇总表</w:t>
      </w:r>
    </w:p>
    <w:tbl>
      <w:tblPr>
        <w:tblStyle w:val="21"/>
        <w:tblW w:w="4993"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2027"/>
        <w:gridCol w:w="1802"/>
        <w:gridCol w:w="1351"/>
        <w:gridCol w:w="1802"/>
        <w:gridCol w:w="1653"/>
        <w:gridCol w:w="1866"/>
        <w:gridCol w:w="1737"/>
        <w:gridCol w:w="1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95" w:type="pct"/>
            <w:tcBorders>
              <w:top w:val="single" w:color="auto" w:sz="12" w:space="0"/>
              <w:left w:val="single" w:color="auto" w:sz="12" w:space="0"/>
              <w:bottom w:val="single" w:color="auto" w:sz="4" w:space="0"/>
              <w:tl2br w:val="single" w:color="auto" w:sz="4" w:space="0"/>
            </w:tcBorders>
            <w:noWrap w:val="0"/>
            <w:tcMar>
              <w:left w:w="28" w:type="dxa"/>
              <w:right w:w="28" w:type="dxa"/>
            </w:tcMar>
            <w:vAlign w:val="center"/>
          </w:tcPr>
          <w:p>
            <w:pPr>
              <w:pStyle w:val="45"/>
              <w:spacing w:beforeLines="0" w:afterLines="0" w:line="240" w:lineRule="auto"/>
              <w:jc w:val="right"/>
              <w:rPr>
                <w:rFonts w:ascii="Times New Roman"/>
                <w:snapToGrid w:val="0"/>
                <w:color w:val="000000"/>
                <w:spacing w:val="-6"/>
                <w:kern w:val="21"/>
                <w:sz w:val="21"/>
                <w:szCs w:val="21"/>
              </w:rPr>
            </w:pPr>
            <w:r>
              <w:rPr>
                <w:rFonts w:ascii="Times New Roman"/>
                <w:snapToGrid w:val="0"/>
                <w:color w:val="000000"/>
                <w:spacing w:val="-6"/>
                <w:kern w:val="21"/>
                <w:sz w:val="21"/>
                <w:szCs w:val="21"/>
              </w:rPr>
              <w:t>项目</w:t>
            </w:r>
          </w:p>
          <w:p>
            <w:pPr>
              <w:pStyle w:val="45"/>
              <w:spacing w:beforeLines="0" w:afterLines="0" w:line="240" w:lineRule="auto"/>
              <w:jc w:val="left"/>
              <w:rPr>
                <w:rFonts w:ascii="Times New Roman"/>
                <w:snapToGrid w:val="0"/>
                <w:color w:val="000000"/>
                <w:spacing w:val="-6"/>
                <w:kern w:val="21"/>
                <w:sz w:val="21"/>
                <w:szCs w:val="21"/>
              </w:rPr>
            </w:pPr>
            <w:r>
              <w:rPr>
                <w:rFonts w:ascii="Times New Roman"/>
                <w:snapToGrid w:val="0"/>
                <w:color w:val="000000"/>
                <w:spacing w:val="-6"/>
                <w:kern w:val="21"/>
                <w:sz w:val="21"/>
                <w:szCs w:val="21"/>
              </w:rPr>
              <w:t>分类</w:t>
            </w:r>
          </w:p>
        </w:tc>
        <w:tc>
          <w:tcPr>
            <w:tcW w:w="693" w:type="pct"/>
            <w:tcBorders>
              <w:top w:val="single" w:color="auto" w:sz="12" w:space="0"/>
              <w:bottom w:val="single" w:color="auto" w:sz="4" w:space="0"/>
            </w:tcBorders>
            <w:noWrap w:val="0"/>
            <w:tcMar>
              <w:left w:w="28" w:type="dxa"/>
              <w:right w:w="28" w:type="dxa"/>
            </w:tcMar>
            <w:vAlign w:val="center"/>
          </w:tcPr>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t>污染物名称</w:t>
            </w:r>
          </w:p>
        </w:tc>
        <w:tc>
          <w:tcPr>
            <w:tcW w:w="616" w:type="pct"/>
            <w:tcBorders>
              <w:top w:val="single" w:color="auto" w:sz="12" w:space="0"/>
              <w:bottom w:val="single" w:color="auto" w:sz="4" w:space="0"/>
            </w:tcBorders>
            <w:noWrap w:val="0"/>
            <w:tcMar>
              <w:left w:w="28" w:type="dxa"/>
              <w:right w:w="28" w:type="dxa"/>
            </w:tcMar>
            <w:vAlign w:val="center"/>
          </w:tcPr>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t>现有工程</w:t>
            </w:r>
          </w:p>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t>排放量（固体废物产生量）</w:t>
            </w:r>
            <w:r>
              <w:rPr>
                <w:rFonts w:ascii="Times New Roman"/>
                <w:snapToGrid w:val="0"/>
                <w:color w:val="000000"/>
                <w:spacing w:val="-6"/>
                <w:kern w:val="21"/>
                <w:sz w:val="21"/>
                <w:szCs w:val="21"/>
              </w:rPr>
              <w:fldChar w:fldCharType="begin"/>
            </w:r>
            <w:r>
              <w:rPr>
                <w:rFonts w:ascii="Times New Roman"/>
                <w:snapToGrid w:val="0"/>
                <w:color w:val="000000"/>
                <w:spacing w:val="-6"/>
                <w:kern w:val="21"/>
                <w:sz w:val="21"/>
                <w:szCs w:val="21"/>
              </w:rPr>
              <w:instrText xml:space="preserve"> = 1 \* GB3 \* MERGEFORMAT </w:instrText>
            </w:r>
            <w:r>
              <w:rPr>
                <w:rFonts w:ascii="Times New Roman"/>
                <w:snapToGrid w:val="0"/>
                <w:color w:val="000000"/>
                <w:spacing w:val="-6"/>
                <w:kern w:val="21"/>
                <w:sz w:val="21"/>
                <w:szCs w:val="21"/>
              </w:rPr>
              <w:fldChar w:fldCharType="separate"/>
            </w:r>
            <w:r>
              <w:rPr>
                <w:rFonts w:ascii="Times New Roman"/>
                <w:color w:val="000000"/>
                <w:kern w:val="2"/>
                <w:sz w:val="21"/>
                <w:szCs w:val="21"/>
              </w:rPr>
              <w:t>①</w:t>
            </w:r>
            <w:r>
              <w:rPr>
                <w:rFonts w:ascii="Times New Roman"/>
                <w:snapToGrid w:val="0"/>
                <w:color w:val="000000"/>
                <w:spacing w:val="-6"/>
                <w:kern w:val="21"/>
                <w:sz w:val="21"/>
                <w:szCs w:val="21"/>
              </w:rPr>
              <w:fldChar w:fldCharType="end"/>
            </w:r>
          </w:p>
        </w:tc>
        <w:tc>
          <w:tcPr>
            <w:tcW w:w="462" w:type="pct"/>
            <w:tcBorders>
              <w:top w:val="single" w:color="auto" w:sz="12" w:space="0"/>
              <w:bottom w:val="single" w:color="auto" w:sz="4" w:space="0"/>
            </w:tcBorders>
            <w:noWrap w:val="0"/>
            <w:tcMar>
              <w:left w:w="28" w:type="dxa"/>
              <w:right w:w="28" w:type="dxa"/>
            </w:tcMar>
            <w:vAlign w:val="center"/>
          </w:tcPr>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t>现有工程</w:t>
            </w:r>
          </w:p>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t>许可排放量</w:t>
            </w:r>
          </w:p>
          <w:p>
            <w:pPr>
              <w:pStyle w:val="45"/>
              <w:spacing w:beforeLines="0" w:afterLines="0"/>
              <w:rPr>
                <w:rFonts w:ascii="Times New Roman"/>
                <w:snapToGrid w:val="0"/>
                <w:color w:val="000000"/>
                <w:spacing w:val="-6"/>
                <w:kern w:val="21"/>
                <w:sz w:val="21"/>
                <w:szCs w:val="21"/>
              </w:rPr>
            </w:pPr>
            <w:r>
              <w:rPr>
                <w:rFonts w:ascii="Times New Roman"/>
                <w:snapToGrid w:val="0"/>
                <w:color w:val="000000"/>
                <w:spacing w:val="-6"/>
                <w:kern w:val="21"/>
                <w:sz w:val="21"/>
                <w:szCs w:val="21"/>
              </w:rPr>
              <w:fldChar w:fldCharType="begin"/>
            </w:r>
            <w:r>
              <w:rPr>
                <w:rFonts w:ascii="Times New Roman"/>
                <w:snapToGrid w:val="0"/>
                <w:color w:val="000000"/>
                <w:spacing w:val="-6"/>
                <w:kern w:val="21"/>
                <w:sz w:val="21"/>
                <w:szCs w:val="21"/>
              </w:rPr>
              <w:instrText xml:space="preserve"> = 2 \* GB3 \* MERGEFORMAT </w:instrText>
            </w:r>
            <w:r>
              <w:rPr>
                <w:rFonts w:ascii="Times New Roman"/>
                <w:snapToGrid w:val="0"/>
                <w:color w:val="000000"/>
                <w:spacing w:val="-6"/>
                <w:kern w:val="21"/>
                <w:sz w:val="21"/>
                <w:szCs w:val="21"/>
              </w:rPr>
              <w:fldChar w:fldCharType="separate"/>
            </w:r>
            <w:r>
              <w:rPr>
                <w:rFonts w:ascii="Times New Roman"/>
                <w:snapToGrid w:val="0"/>
                <w:color w:val="000000"/>
                <w:spacing w:val="-6"/>
                <w:kern w:val="21"/>
                <w:sz w:val="21"/>
                <w:szCs w:val="21"/>
              </w:rPr>
              <w:t>②</w:t>
            </w:r>
            <w:r>
              <w:rPr>
                <w:rFonts w:ascii="Times New Roman"/>
                <w:snapToGrid w:val="0"/>
                <w:color w:val="000000"/>
                <w:spacing w:val="-6"/>
                <w:kern w:val="21"/>
                <w:sz w:val="21"/>
                <w:szCs w:val="21"/>
              </w:rPr>
              <w:fldChar w:fldCharType="end"/>
            </w:r>
          </w:p>
        </w:tc>
        <w:tc>
          <w:tcPr>
            <w:tcW w:w="616" w:type="pct"/>
            <w:tcBorders>
              <w:top w:val="single" w:color="auto" w:sz="12" w:space="0"/>
              <w:bottom w:val="single" w:color="auto" w:sz="4" w:space="0"/>
            </w:tcBorders>
            <w:noWrap w:val="0"/>
            <w:tcMar>
              <w:left w:w="28" w:type="dxa"/>
              <w:right w:w="28" w:type="dxa"/>
            </w:tcMar>
            <w:vAlign w:val="center"/>
          </w:tcPr>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t>在建工程</w:t>
            </w:r>
          </w:p>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t>排放量（固体废物产生量）</w:t>
            </w:r>
            <w:r>
              <w:rPr>
                <w:rFonts w:ascii="Times New Roman"/>
                <w:snapToGrid w:val="0"/>
                <w:color w:val="000000"/>
                <w:spacing w:val="-6"/>
                <w:kern w:val="21"/>
                <w:sz w:val="21"/>
                <w:szCs w:val="21"/>
              </w:rPr>
              <w:fldChar w:fldCharType="begin"/>
            </w:r>
            <w:r>
              <w:rPr>
                <w:rFonts w:ascii="Times New Roman"/>
                <w:snapToGrid w:val="0"/>
                <w:color w:val="000000"/>
                <w:spacing w:val="-6"/>
                <w:kern w:val="21"/>
                <w:sz w:val="21"/>
                <w:szCs w:val="21"/>
              </w:rPr>
              <w:instrText xml:space="preserve"> = 3 \* GB3 \* MERGEFORMAT </w:instrText>
            </w:r>
            <w:r>
              <w:rPr>
                <w:rFonts w:ascii="Times New Roman"/>
                <w:snapToGrid w:val="0"/>
                <w:color w:val="000000"/>
                <w:spacing w:val="-6"/>
                <w:kern w:val="21"/>
                <w:sz w:val="21"/>
                <w:szCs w:val="21"/>
              </w:rPr>
              <w:fldChar w:fldCharType="separate"/>
            </w:r>
            <w:r>
              <w:rPr>
                <w:rFonts w:ascii="Times New Roman"/>
                <w:color w:val="000000"/>
                <w:kern w:val="2"/>
                <w:sz w:val="21"/>
                <w:szCs w:val="21"/>
              </w:rPr>
              <w:t>③</w:t>
            </w:r>
            <w:r>
              <w:rPr>
                <w:rFonts w:ascii="Times New Roman"/>
                <w:snapToGrid w:val="0"/>
                <w:color w:val="000000"/>
                <w:spacing w:val="-6"/>
                <w:kern w:val="21"/>
                <w:sz w:val="21"/>
                <w:szCs w:val="21"/>
              </w:rPr>
              <w:fldChar w:fldCharType="end"/>
            </w:r>
          </w:p>
        </w:tc>
        <w:tc>
          <w:tcPr>
            <w:tcW w:w="565" w:type="pct"/>
            <w:tcBorders>
              <w:top w:val="single" w:color="auto" w:sz="12" w:space="0"/>
              <w:bottom w:val="single" w:color="auto" w:sz="4" w:space="0"/>
            </w:tcBorders>
            <w:noWrap w:val="0"/>
            <w:tcMar>
              <w:left w:w="28" w:type="dxa"/>
              <w:right w:w="28" w:type="dxa"/>
            </w:tcMar>
            <w:vAlign w:val="center"/>
          </w:tcPr>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t>本项目</w:t>
            </w:r>
          </w:p>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t>排放量（固体废物产生量）</w:t>
            </w:r>
            <w:r>
              <w:rPr>
                <w:rFonts w:ascii="Times New Roman"/>
                <w:snapToGrid w:val="0"/>
                <w:color w:val="000000"/>
                <w:spacing w:val="-6"/>
                <w:kern w:val="21"/>
                <w:sz w:val="21"/>
                <w:szCs w:val="21"/>
              </w:rPr>
              <w:fldChar w:fldCharType="begin"/>
            </w:r>
            <w:r>
              <w:rPr>
                <w:rFonts w:ascii="Times New Roman"/>
                <w:snapToGrid w:val="0"/>
                <w:color w:val="000000"/>
                <w:spacing w:val="-6"/>
                <w:kern w:val="21"/>
                <w:sz w:val="21"/>
                <w:szCs w:val="21"/>
              </w:rPr>
              <w:instrText xml:space="preserve"> = 4 \* GB3 \* MERGEFORMAT </w:instrText>
            </w:r>
            <w:r>
              <w:rPr>
                <w:rFonts w:ascii="Times New Roman"/>
                <w:snapToGrid w:val="0"/>
                <w:color w:val="000000"/>
                <w:spacing w:val="-6"/>
                <w:kern w:val="21"/>
                <w:sz w:val="21"/>
                <w:szCs w:val="21"/>
              </w:rPr>
              <w:fldChar w:fldCharType="separate"/>
            </w:r>
            <w:r>
              <w:rPr>
                <w:rFonts w:ascii="Times New Roman"/>
                <w:color w:val="000000"/>
                <w:kern w:val="2"/>
                <w:sz w:val="21"/>
                <w:szCs w:val="21"/>
              </w:rPr>
              <w:t>④</w:t>
            </w:r>
            <w:r>
              <w:rPr>
                <w:rFonts w:ascii="Times New Roman"/>
                <w:snapToGrid w:val="0"/>
                <w:color w:val="000000"/>
                <w:spacing w:val="-6"/>
                <w:kern w:val="21"/>
                <w:sz w:val="21"/>
                <w:szCs w:val="21"/>
              </w:rPr>
              <w:fldChar w:fldCharType="end"/>
            </w:r>
          </w:p>
        </w:tc>
        <w:tc>
          <w:tcPr>
            <w:tcW w:w="638" w:type="pct"/>
            <w:tcBorders>
              <w:top w:val="single" w:color="auto" w:sz="12" w:space="0"/>
              <w:bottom w:val="single" w:color="auto" w:sz="4" w:space="0"/>
            </w:tcBorders>
            <w:noWrap w:val="0"/>
            <w:tcMar>
              <w:left w:w="28" w:type="dxa"/>
              <w:right w:w="28" w:type="dxa"/>
            </w:tcMar>
            <w:vAlign w:val="center"/>
          </w:tcPr>
          <w:p>
            <w:pPr>
              <w:pStyle w:val="45"/>
              <w:spacing w:beforeLines="0" w:afterLines="0" w:line="240" w:lineRule="auto"/>
              <w:rPr>
                <w:rFonts w:ascii="Times New Roman"/>
                <w:snapToGrid w:val="0"/>
                <w:color w:val="000000"/>
                <w:spacing w:val="-16"/>
                <w:kern w:val="21"/>
                <w:sz w:val="21"/>
                <w:szCs w:val="21"/>
              </w:rPr>
            </w:pPr>
            <w:r>
              <w:rPr>
                <w:rFonts w:ascii="Times New Roman"/>
                <w:snapToGrid w:val="0"/>
                <w:color w:val="000000"/>
                <w:spacing w:val="-16"/>
                <w:kern w:val="21"/>
                <w:sz w:val="21"/>
                <w:szCs w:val="21"/>
              </w:rPr>
              <w:t>以新带老削减量</w:t>
            </w:r>
          </w:p>
          <w:p>
            <w:pPr>
              <w:pStyle w:val="45"/>
              <w:spacing w:beforeLines="0" w:afterLines="0" w:line="240" w:lineRule="auto"/>
              <w:rPr>
                <w:rFonts w:ascii="Times New Roman"/>
                <w:snapToGrid w:val="0"/>
                <w:color w:val="000000"/>
                <w:spacing w:val="-16"/>
                <w:kern w:val="21"/>
                <w:sz w:val="21"/>
                <w:szCs w:val="21"/>
              </w:rPr>
            </w:pPr>
            <w:r>
              <w:rPr>
                <w:rFonts w:ascii="Times New Roman"/>
                <w:snapToGrid w:val="0"/>
                <w:color w:val="000000"/>
                <w:spacing w:val="-16"/>
                <w:kern w:val="21"/>
                <w:sz w:val="21"/>
                <w:szCs w:val="21"/>
              </w:rPr>
              <w:t>（新建项目不填）</w:t>
            </w:r>
            <w:r>
              <w:rPr>
                <w:rFonts w:ascii="Times New Roman"/>
                <w:snapToGrid w:val="0"/>
                <w:color w:val="000000"/>
                <w:spacing w:val="-16"/>
                <w:kern w:val="21"/>
                <w:sz w:val="21"/>
                <w:szCs w:val="21"/>
              </w:rPr>
              <w:fldChar w:fldCharType="begin"/>
            </w:r>
            <w:r>
              <w:rPr>
                <w:rFonts w:ascii="Times New Roman"/>
                <w:snapToGrid w:val="0"/>
                <w:color w:val="000000"/>
                <w:spacing w:val="-16"/>
                <w:kern w:val="21"/>
                <w:sz w:val="21"/>
                <w:szCs w:val="21"/>
              </w:rPr>
              <w:instrText xml:space="preserve"> = 5 \* GB3 \* MERGEFORMAT </w:instrText>
            </w:r>
            <w:r>
              <w:rPr>
                <w:rFonts w:ascii="Times New Roman"/>
                <w:snapToGrid w:val="0"/>
                <w:color w:val="000000"/>
                <w:spacing w:val="-16"/>
                <w:kern w:val="21"/>
                <w:sz w:val="21"/>
                <w:szCs w:val="21"/>
              </w:rPr>
              <w:fldChar w:fldCharType="separate"/>
            </w:r>
            <w:r>
              <w:rPr>
                <w:rFonts w:ascii="Times New Roman"/>
                <w:color w:val="000000"/>
                <w:kern w:val="2"/>
                <w:sz w:val="21"/>
                <w:szCs w:val="21"/>
              </w:rPr>
              <w:t>⑤</w:t>
            </w:r>
            <w:r>
              <w:rPr>
                <w:rFonts w:ascii="Times New Roman"/>
                <w:snapToGrid w:val="0"/>
                <w:color w:val="000000"/>
                <w:spacing w:val="-16"/>
                <w:kern w:val="21"/>
                <w:sz w:val="21"/>
                <w:szCs w:val="21"/>
              </w:rPr>
              <w:fldChar w:fldCharType="end"/>
            </w:r>
          </w:p>
        </w:tc>
        <w:tc>
          <w:tcPr>
            <w:tcW w:w="594" w:type="pct"/>
            <w:tcBorders>
              <w:top w:val="single" w:color="auto" w:sz="12" w:space="0"/>
              <w:bottom w:val="single" w:color="auto" w:sz="4" w:space="0"/>
            </w:tcBorders>
            <w:noWrap w:val="0"/>
            <w:tcMar>
              <w:left w:w="28" w:type="dxa"/>
              <w:right w:w="28" w:type="dxa"/>
            </w:tcMar>
            <w:vAlign w:val="center"/>
          </w:tcPr>
          <w:p>
            <w:pPr>
              <w:pStyle w:val="45"/>
              <w:spacing w:beforeLines="0" w:afterLines="0" w:line="240" w:lineRule="auto"/>
              <w:rPr>
                <w:rFonts w:ascii="Times New Roman"/>
                <w:snapToGrid w:val="0"/>
                <w:color w:val="000000"/>
                <w:spacing w:val="-16"/>
                <w:kern w:val="21"/>
                <w:sz w:val="21"/>
                <w:szCs w:val="21"/>
              </w:rPr>
            </w:pPr>
            <w:r>
              <w:rPr>
                <w:rFonts w:ascii="Times New Roman"/>
                <w:snapToGrid w:val="0"/>
                <w:color w:val="000000"/>
                <w:spacing w:val="-16"/>
                <w:kern w:val="21"/>
                <w:sz w:val="21"/>
                <w:szCs w:val="21"/>
              </w:rPr>
              <w:t>本项目建成后</w:t>
            </w:r>
          </w:p>
          <w:p>
            <w:pPr>
              <w:pStyle w:val="45"/>
              <w:spacing w:beforeLines="0" w:afterLines="0" w:line="240" w:lineRule="auto"/>
              <w:rPr>
                <w:rFonts w:ascii="Times New Roman"/>
                <w:snapToGrid w:val="0"/>
                <w:color w:val="000000"/>
                <w:spacing w:val="-16"/>
                <w:kern w:val="21"/>
                <w:sz w:val="21"/>
                <w:szCs w:val="21"/>
              </w:rPr>
            </w:pPr>
            <w:r>
              <w:rPr>
                <w:rFonts w:ascii="Times New Roman"/>
                <w:snapToGrid w:val="0"/>
                <w:color w:val="000000"/>
                <w:spacing w:val="-16"/>
                <w:kern w:val="21"/>
                <w:sz w:val="21"/>
                <w:szCs w:val="21"/>
              </w:rPr>
              <w:t>全厂排放量（固体废物产生量）</w:t>
            </w:r>
            <w:r>
              <w:rPr>
                <w:rFonts w:ascii="Times New Roman"/>
                <w:snapToGrid w:val="0"/>
                <w:color w:val="000000"/>
                <w:spacing w:val="-16"/>
                <w:kern w:val="21"/>
                <w:sz w:val="21"/>
                <w:szCs w:val="21"/>
              </w:rPr>
              <w:fldChar w:fldCharType="begin"/>
            </w:r>
            <w:r>
              <w:rPr>
                <w:rFonts w:ascii="Times New Roman"/>
                <w:snapToGrid w:val="0"/>
                <w:color w:val="000000"/>
                <w:spacing w:val="-16"/>
                <w:kern w:val="21"/>
                <w:sz w:val="21"/>
                <w:szCs w:val="21"/>
              </w:rPr>
              <w:instrText xml:space="preserve"> = 6 \* GB3 \* MERGEFORMAT </w:instrText>
            </w:r>
            <w:r>
              <w:rPr>
                <w:rFonts w:ascii="Times New Roman"/>
                <w:snapToGrid w:val="0"/>
                <w:color w:val="000000"/>
                <w:spacing w:val="-16"/>
                <w:kern w:val="21"/>
                <w:sz w:val="21"/>
                <w:szCs w:val="21"/>
              </w:rPr>
              <w:fldChar w:fldCharType="separate"/>
            </w:r>
            <w:r>
              <w:rPr>
                <w:rFonts w:ascii="Times New Roman"/>
                <w:color w:val="000000"/>
                <w:kern w:val="2"/>
                <w:sz w:val="21"/>
                <w:szCs w:val="21"/>
              </w:rPr>
              <w:t>⑥</w:t>
            </w:r>
            <w:r>
              <w:rPr>
                <w:rFonts w:ascii="Times New Roman"/>
                <w:snapToGrid w:val="0"/>
                <w:color w:val="000000"/>
                <w:spacing w:val="-16"/>
                <w:kern w:val="21"/>
                <w:sz w:val="21"/>
                <w:szCs w:val="21"/>
              </w:rPr>
              <w:fldChar w:fldCharType="end"/>
            </w:r>
          </w:p>
        </w:tc>
        <w:tc>
          <w:tcPr>
            <w:tcW w:w="415" w:type="pct"/>
            <w:tcBorders>
              <w:top w:val="single" w:color="auto" w:sz="12" w:space="0"/>
              <w:bottom w:val="single" w:color="auto" w:sz="4" w:space="0"/>
              <w:right w:val="single" w:color="auto" w:sz="12" w:space="0"/>
            </w:tcBorders>
            <w:noWrap w:val="0"/>
            <w:tcMar>
              <w:left w:w="28" w:type="dxa"/>
              <w:right w:w="28" w:type="dxa"/>
            </w:tcMar>
            <w:vAlign w:val="center"/>
          </w:tcPr>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t>变化量</w:t>
            </w:r>
          </w:p>
          <w:p>
            <w:pPr>
              <w:pStyle w:val="45"/>
              <w:spacing w:beforeLines="0" w:afterLines="0" w:line="240" w:lineRule="auto"/>
              <w:rPr>
                <w:rFonts w:ascii="Times New Roman"/>
                <w:snapToGrid w:val="0"/>
                <w:color w:val="000000"/>
                <w:spacing w:val="-6"/>
                <w:kern w:val="21"/>
                <w:sz w:val="21"/>
                <w:szCs w:val="21"/>
              </w:rPr>
            </w:pPr>
            <w:r>
              <w:rPr>
                <w:rFonts w:ascii="Times New Roman"/>
                <w:snapToGrid w:val="0"/>
                <w:color w:val="000000"/>
                <w:spacing w:val="-6"/>
                <w:kern w:val="21"/>
                <w:sz w:val="21"/>
                <w:szCs w:val="21"/>
              </w:rPr>
              <w:fldChar w:fldCharType="begin"/>
            </w:r>
            <w:r>
              <w:rPr>
                <w:rFonts w:ascii="Times New Roman"/>
                <w:snapToGrid w:val="0"/>
                <w:color w:val="000000"/>
                <w:spacing w:val="-6"/>
                <w:kern w:val="21"/>
                <w:sz w:val="21"/>
                <w:szCs w:val="21"/>
              </w:rPr>
              <w:instrText xml:space="preserve"> = 7 \* GB3 \* MERGEFORMAT </w:instrText>
            </w:r>
            <w:r>
              <w:rPr>
                <w:rFonts w:ascii="Times New Roman"/>
                <w:snapToGrid w:val="0"/>
                <w:color w:val="000000"/>
                <w:spacing w:val="-6"/>
                <w:kern w:val="21"/>
                <w:sz w:val="21"/>
                <w:szCs w:val="21"/>
              </w:rPr>
              <w:fldChar w:fldCharType="separate"/>
            </w:r>
            <w:r>
              <w:rPr>
                <w:rFonts w:ascii="Times New Roman"/>
                <w:color w:val="000000"/>
                <w:kern w:val="2"/>
                <w:sz w:val="21"/>
                <w:szCs w:val="21"/>
              </w:rPr>
              <w:t>⑦</w:t>
            </w:r>
            <w:r>
              <w:rPr>
                <w:rFonts w:ascii="Times New Roman"/>
                <w:snapToGrid w:val="0"/>
                <w:color w:val="00000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5" w:type="pct"/>
            <w:vMerge w:val="restart"/>
            <w:tcBorders>
              <w:left w:val="single" w:color="auto" w:sz="12" w:space="0"/>
            </w:tcBorders>
            <w:noWrap w:val="0"/>
            <w:vAlign w:val="center"/>
          </w:tcPr>
          <w:p>
            <w:pPr>
              <w:pStyle w:val="45"/>
              <w:spacing w:beforeLines="0" w:afterLines="0" w:line="240" w:lineRule="auto"/>
              <w:rPr>
                <w:rFonts w:hint="eastAsia" w:ascii="Times New Roman"/>
                <w:b/>
                <w:snapToGrid w:val="0"/>
                <w:color w:val="000000"/>
                <w:kern w:val="21"/>
                <w:sz w:val="21"/>
                <w:szCs w:val="21"/>
              </w:rPr>
            </w:pPr>
            <w:r>
              <w:rPr>
                <w:rFonts w:hint="eastAsia" w:ascii="Times New Roman"/>
                <w:b/>
                <w:snapToGrid w:val="0"/>
                <w:color w:val="000000"/>
                <w:kern w:val="21"/>
                <w:sz w:val="21"/>
                <w:szCs w:val="21"/>
              </w:rPr>
              <w:t>废气</w:t>
            </w:r>
          </w:p>
        </w:tc>
        <w:tc>
          <w:tcPr>
            <w:tcW w:w="693" w:type="pct"/>
            <w:tcBorders>
              <w:top w:val="single" w:color="auto" w:sz="4" w:space="0"/>
              <w:bottom w:val="single" w:color="auto" w:sz="4" w:space="0"/>
            </w:tcBorders>
            <w:noWrap w:val="0"/>
            <w:vAlign w:val="center"/>
          </w:tcPr>
          <w:p>
            <w:pPr>
              <w:pStyle w:val="45"/>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油烟</w:t>
            </w:r>
          </w:p>
        </w:tc>
        <w:tc>
          <w:tcPr>
            <w:tcW w:w="616" w:type="pct"/>
            <w:tcBorders>
              <w:top w:val="single" w:color="auto" w:sz="4" w:space="0"/>
              <w:bottom w:val="single" w:color="auto" w:sz="4" w:space="0"/>
            </w:tcBorders>
            <w:noWrap w:val="0"/>
            <w:vAlign w:val="center"/>
          </w:tcPr>
          <w:p>
            <w:pPr>
              <w:jc w:val="center"/>
              <w:rPr>
                <w:rFonts w:hint="default" w:eastAsia="宋体"/>
                <w:snapToGrid w:val="0"/>
                <w:color w:val="000000"/>
                <w:kern w:val="21"/>
                <w:sz w:val="21"/>
                <w:szCs w:val="21"/>
                <w:lang w:val="en-US" w:eastAsia="zh-CN"/>
              </w:rPr>
            </w:pPr>
            <w:r>
              <w:rPr>
                <w:snapToGrid w:val="0"/>
                <w:color w:val="000000"/>
                <w:kern w:val="21"/>
                <w:sz w:val="21"/>
                <w:szCs w:val="21"/>
              </w:rPr>
              <w:t>0</w:t>
            </w:r>
            <w:r>
              <w:rPr>
                <w:rFonts w:hint="eastAsia"/>
                <w:snapToGrid w:val="0"/>
                <w:color w:val="000000"/>
                <w:kern w:val="21"/>
                <w:sz w:val="21"/>
                <w:szCs w:val="21"/>
                <w:lang w:val="en-US" w:eastAsia="zh-CN"/>
              </w:rPr>
              <w:t>.01395</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565" w:type="pct"/>
            <w:tcBorders>
              <w:top w:val="single" w:color="auto" w:sz="4" w:space="0"/>
              <w:bottom w:val="single" w:color="auto" w:sz="4" w:space="0"/>
            </w:tcBorders>
            <w:noWrap w:val="0"/>
            <w:vAlign w:val="center"/>
          </w:tcPr>
          <w:p>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rPr>
              <w:t>0.0</w:t>
            </w:r>
            <w:r>
              <w:rPr>
                <w:rFonts w:hint="eastAsia"/>
                <w:color w:val="000000"/>
                <w:kern w:val="0"/>
                <w:sz w:val="21"/>
                <w:szCs w:val="21"/>
                <w:lang w:val="en-US" w:eastAsia="zh-CN"/>
              </w:rPr>
              <w:t>01</w:t>
            </w:r>
          </w:p>
        </w:tc>
        <w:tc>
          <w:tcPr>
            <w:tcW w:w="638" w:type="pct"/>
            <w:tcBorders>
              <w:top w:val="single" w:color="auto" w:sz="4" w:space="0"/>
              <w:bottom w:val="single" w:color="auto" w:sz="4" w:space="0"/>
            </w:tcBorders>
            <w:noWrap w:val="0"/>
            <w:vAlign w:val="center"/>
          </w:tcPr>
          <w:p>
            <w:pPr>
              <w:jc w:val="center"/>
              <w:rPr>
                <w:rFonts w:hint="eastAsia"/>
                <w:snapToGrid w:val="0"/>
                <w:color w:val="000000"/>
                <w:kern w:val="21"/>
                <w:sz w:val="21"/>
                <w:szCs w:val="21"/>
              </w:rPr>
            </w:pPr>
            <w:r>
              <w:rPr>
                <w:rFonts w:hint="eastAsia"/>
                <w:snapToGrid w:val="0"/>
                <w:color w:val="000000"/>
                <w:kern w:val="21"/>
                <w:sz w:val="21"/>
                <w:szCs w:val="21"/>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rPr>
              <w:t>0.0</w:t>
            </w:r>
            <w:r>
              <w:rPr>
                <w:rFonts w:hint="eastAsia"/>
                <w:color w:val="000000"/>
                <w:kern w:val="0"/>
                <w:sz w:val="21"/>
                <w:szCs w:val="21"/>
                <w:lang w:val="en-US" w:eastAsia="zh-CN"/>
              </w:rPr>
              <w:t>1495</w:t>
            </w:r>
          </w:p>
        </w:tc>
        <w:tc>
          <w:tcPr>
            <w:tcW w:w="415" w:type="pct"/>
            <w:tcBorders>
              <w:top w:val="single" w:color="auto" w:sz="4" w:space="0"/>
              <w:bottom w:val="single" w:color="auto" w:sz="4" w:space="0"/>
              <w:right w:val="single" w:color="auto" w:sz="12" w:space="0"/>
            </w:tcBorders>
            <w:noWrap w:val="0"/>
            <w:vAlign w:val="center"/>
          </w:tcPr>
          <w:p>
            <w:pPr>
              <w:widowControl/>
              <w:adjustRightInd w:val="0"/>
              <w:snapToGrid w:val="0"/>
              <w:jc w:val="center"/>
              <w:rPr>
                <w:rFonts w:hint="default" w:eastAsia="宋体"/>
                <w:color w:val="000000"/>
                <w:kern w:val="0"/>
                <w:sz w:val="21"/>
                <w:szCs w:val="21"/>
                <w:vertAlign w:val="subscript"/>
                <w:lang w:val="en-US" w:eastAsia="zh-CN"/>
              </w:rPr>
            </w:pPr>
            <w:r>
              <w:rPr>
                <w:rFonts w:hint="eastAsia"/>
                <w:color w:val="000000"/>
                <w:kern w:val="0"/>
                <w:sz w:val="21"/>
                <w:szCs w:val="21"/>
              </w:rPr>
              <w:t>+0.0</w:t>
            </w:r>
            <w:r>
              <w:rPr>
                <w:rFonts w:hint="eastAsia"/>
                <w:color w:val="000000"/>
                <w:kern w:val="0"/>
                <w:sz w:val="21"/>
                <w:szCs w:val="21"/>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5" w:type="pct"/>
            <w:vMerge w:val="continue"/>
            <w:tcBorders>
              <w:left w:val="single" w:color="auto" w:sz="12" w:space="0"/>
            </w:tcBorders>
            <w:noWrap w:val="0"/>
            <w:vAlign w:val="center"/>
          </w:tcPr>
          <w:p>
            <w:pPr>
              <w:pStyle w:val="45"/>
              <w:spacing w:beforeLines="0" w:afterLines="0" w:line="240" w:lineRule="auto"/>
              <w:rPr>
                <w:rFonts w:hint="eastAsia"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pStyle w:val="45"/>
              <w:spacing w:beforeLines="0" w:afterLines="0" w:line="240" w:lineRule="auto"/>
              <w:rPr>
                <w:rFonts w:hint="eastAsia" w:ascii="Times New Roman" w:eastAsia="宋体"/>
                <w:snapToGrid w:val="0"/>
                <w:color w:val="000000"/>
                <w:kern w:val="21"/>
                <w:sz w:val="21"/>
                <w:szCs w:val="21"/>
                <w:lang w:eastAsia="zh-CN"/>
              </w:rPr>
            </w:pPr>
            <w:r>
              <w:rPr>
                <w:rFonts w:hint="eastAsia" w:ascii="Times New Roman"/>
                <w:snapToGrid w:val="0"/>
                <w:color w:val="000000"/>
                <w:kern w:val="21"/>
                <w:sz w:val="21"/>
                <w:szCs w:val="21"/>
                <w:lang w:val="en-US" w:eastAsia="zh-CN"/>
              </w:rPr>
              <w:t>非甲烷总烃</w:t>
            </w:r>
          </w:p>
        </w:tc>
        <w:tc>
          <w:tcPr>
            <w:tcW w:w="616" w:type="pct"/>
            <w:tcBorders>
              <w:top w:val="single" w:color="auto" w:sz="4" w:space="0"/>
              <w:bottom w:val="single" w:color="auto" w:sz="4" w:space="0"/>
            </w:tcBorders>
            <w:noWrap w:val="0"/>
            <w:vAlign w:val="center"/>
          </w:tcPr>
          <w:p>
            <w:pPr>
              <w:jc w:val="center"/>
              <w:rPr>
                <w:rFonts w:hint="default" w:eastAsia="宋体"/>
                <w:snapToGrid w:val="0"/>
                <w:color w:val="FF0000"/>
                <w:kern w:val="21"/>
                <w:sz w:val="21"/>
                <w:szCs w:val="21"/>
                <w:lang w:val="en-US" w:eastAsia="zh-CN"/>
              </w:rPr>
            </w:pPr>
            <w:r>
              <w:rPr>
                <w:snapToGrid w:val="0"/>
                <w:color w:val="auto"/>
                <w:kern w:val="21"/>
                <w:sz w:val="21"/>
                <w:szCs w:val="21"/>
              </w:rPr>
              <w:t>0</w:t>
            </w:r>
            <w:r>
              <w:rPr>
                <w:rFonts w:hint="eastAsia"/>
                <w:snapToGrid w:val="0"/>
                <w:color w:val="auto"/>
                <w:kern w:val="21"/>
                <w:sz w:val="21"/>
                <w:szCs w:val="21"/>
                <w:lang w:val="en-US" w:eastAsia="zh-CN"/>
              </w:rPr>
              <w:t>.183</w:t>
            </w:r>
          </w:p>
        </w:tc>
        <w:tc>
          <w:tcPr>
            <w:tcW w:w="462" w:type="pct"/>
            <w:tcBorders>
              <w:top w:val="single" w:color="auto" w:sz="4" w:space="0"/>
              <w:bottom w:val="single" w:color="auto" w:sz="4" w:space="0"/>
            </w:tcBorders>
            <w:noWrap w:val="0"/>
            <w:vAlign w:val="center"/>
          </w:tcPr>
          <w:p>
            <w:pPr>
              <w:jc w:val="center"/>
              <w:rPr>
                <w:snapToGrid w:val="0"/>
                <w:color w:val="auto"/>
                <w:kern w:val="21"/>
                <w:sz w:val="21"/>
                <w:szCs w:val="21"/>
              </w:rPr>
            </w:pPr>
            <w:r>
              <w:rPr>
                <w:snapToGrid w:val="0"/>
                <w:color w:val="auto"/>
                <w:kern w:val="21"/>
                <w:sz w:val="21"/>
                <w:szCs w:val="21"/>
              </w:rPr>
              <w:t>0</w:t>
            </w:r>
          </w:p>
        </w:tc>
        <w:tc>
          <w:tcPr>
            <w:tcW w:w="616" w:type="pct"/>
            <w:tcBorders>
              <w:top w:val="single" w:color="auto" w:sz="4" w:space="0"/>
              <w:bottom w:val="single" w:color="auto" w:sz="4" w:space="0"/>
            </w:tcBorders>
            <w:noWrap w:val="0"/>
            <w:vAlign w:val="center"/>
          </w:tcPr>
          <w:p>
            <w:pPr>
              <w:jc w:val="center"/>
              <w:rPr>
                <w:snapToGrid w:val="0"/>
                <w:color w:val="auto"/>
                <w:kern w:val="21"/>
                <w:sz w:val="21"/>
                <w:szCs w:val="21"/>
              </w:rPr>
            </w:pPr>
            <w:r>
              <w:rPr>
                <w:snapToGrid w:val="0"/>
                <w:color w:val="auto"/>
                <w:kern w:val="21"/>
                <w:sz w:val="21"/>
                <w:szCs w:val="21"/>
              </w:rPr>
              <w:t>0</w:t>
            </w:r>
          </w:p>
        </w:tc>
        <w:tc>
          <w:tcPr>
            <w:tcW w:w="565" w:type="pct"/>
            <w:tcBorders>
              <w:top w:val="single" w:color="auto" w:sz="4" w:space="0"/>
              <w:bottom w:val="single" w:color="auto" w:sz="4" w:space="0"/>
            </w:tcBorders>
            <w:noWrap w:val="0"/>
            <w:vAlign w:val="center"/>
          </w:tcPr>
          <w:p>
            <w:pPr>
              <w:widowControl/>
              <w:adjustRightInd w:val="0"/>
              <w:snapToGrid w:val="0"/>
              <w:jc w:val="center"/>
              <w:rPr>
                <w:rFonts w:hint="default" w:eastAsia="宋体"/>
                <w:color w:val="auto"/>
                <w:kern w:val="0"/>
                <w:sz w:val="21"/>
                <w:szCs w:val="21"/>
                <w:lang w:val="en-US" w:eastAsia="zh-CN"/>
              </w:rPr>
            </w:pPr>
            <w:r>
              <w:rPr>
                <w:rFonts w:hint="eastAsia"/>
                <w:color w:val="auto"/>
                <w:kern w:val="0"/>
                <w:sz w:val="21"/>
                <w:szCs w:val="21"/>
              </w:rPr>
              <w:t>0.</w:t>
            </w:r>
            <w:r>
              <w:rPr>
                <w:rFonts w:hint="eastAsia"/>
                <w:color w:val="auto"/>
                <w:kern w:val="0"/>
                <w:sz w:val="21"/>
                <w:szCs w:val="21"/>
                <w:lang w:val="en-US" w:eastAsia="zh-CN"/>
              </w:rPr>
              <w:t>44</w:t>
            </w:r>
          </w:p>
        </w:tc>
        <w:tc>
          <w:tcPr>
            <w:tcW w:w="638" w:type="pct"/>
            <w:tcBorders>
              <w:top w:val="single" w:color="auto" w:sz="4" w:space="0"/>
              <w:bottom w:val="single" w:color="auto" w:sz="4" w:space="0"/>
            </w:tcBorders>
            <w:noWrap w:val="0"/>
            <w:vAlign w:val="center"/>
          </w:tcPr>
          <w:p>
            <w:pPr>
              <w:jc w:val="center"/>
              <w:rPr>
                <w:rFonts w:hint="eastAsia"/>
                <w:snapToGrid w:val="0"/>
                <w:color w:val="auto"/>
                <w:kern w:val="21"/>
                <w:sz w:val="21"/>
                <w:szCs w:val="21"/>
              </w:rPr>
            </w:pPr>
            <w:r>
              <w:rPr>
                <w:rFonts w:hint="eastAsia"/>
                <w:snapToGrid w:val="0"/>
                <w:color w:val="auto"/>
                <w:kern w:val="21"/>
                <w:sz w:val="21"/>
                <w:szCs w:val="21"/>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eastAsia="宋体"/>
                <w:color w:val="auto"/>
                <w:kern w:val="0"/>
                <w:sz w:val="21"/>
                <w:szCs w:val="21"/>
                <w:lang w:val="en-US" w:eastAsia="zh-CN"/>
              </w:rPr>
            </w:pPr>
            <w:r>
              <w:rPr>
                <w:rFonts w:hint="eastAsia"/>
                <w:color w:val="auto"/>
                <w:kern w:val="0"/>
                <w:sz w:val="21"/>
                <w:szCs w:val="21"/>
              </w:rPr>
              <w:t>0.</w:t>
            </w:r>
            <w:r>
              <w:rPr>
                <w:rFonts w:hint="eastAsia"/>
                <w:color w:val="auto"/>
                <w:kern w:val="0"/>
                <w:sz w:val="21"/>
                <w:szCs w:val="21"/>
                <w:lang w:val="en-US" w:eastAsia="zh-CN"/>
              </w:rPr>
              <w:t>623</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auto"/>
                <w:kern w:val="0"/>
                <w:sz w:val="21"/>
                <w:szCs w:val="21"/>
                <w:lang w:val="en-US" w:eastAsia="zh-CN"/>
              </w:rPr>
            </w:pPr>
            <w:r>
              <w:rPr>
                <w:rFonts w:hint="eastAsia"/>
                <w:color w:val="auto"/>
                <w:kern w:val="0"/>
                <w:sz w:val="21"/>
                <w:szCs w:val="21"/>
                <w:lang w:bidi="ar"/>
              </w:rPr>
              <w:t>+0.</w:t>
            </w:r>
            <w:r>
              <w:rPr>
                <w:rFonts w:hint="eastAsia"/>
                <w:color w:val="auto"/>
                <w:kern w:val="0"/>
                <w:sz w:val="21"/>
                <w:szCs w:val="21"/>
                <w:lang w:val="en-US" w:eastAsia="zh-CN" w:bidi="ar"/>
              </w:rPr>
              <w:t>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5" w:type="pct"/>
            <w:vMerge w:val="restart"/>
            <w:tcBorders>
              <w:top w:val="single" w:color="auto" w:sz="4" w:space="0"/>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r>
              <w:rPr>
                <w:rFonts w:ascii="Times New Roman"/>
                <w:b/>
                <w:snapToGrid w:val="0"/>
                <w:color w:val="000000"/>
                <w:kern w:val="21"/>
                <w:sz w:val="21"/>
                <w:szCs w:val="21"/>
              </w:rPr>
              <w:t>废水</w:t>
            </w:r>
          </w:p>
        </w:tc>
        <w:tc>
          <w:tcPr>
            <w:tcW w:w="693" w:type="pct"/>
            <w:tcBorders>
              <w:top w:val="single" w:color="auto" w:sz="4" w:space="0"/>
              <w:bottom w:val="single" w:color="auto" w:sz="4" w:space="0"/>
            </w:tcBorders>
            <w:noWrap w:val="0"/>
            <w:vAlign w:val="center"/>
          </w:tcPr>
          <w:p>
            <w:pPr>
              <w:widowControl/>
              <w:jc w:val="center"/>
              <w:textAlignment w:val="center"/>
              <w:rPr>
                <w:color w:val="000000"/>
                <w:sz w:val="21"/>
                <w:szCs w:val="21"/>
              </w:rPr>
            </w:pPr>
            <w:r>
              <w:rPr>
                <w:b w:val="0"/>
                <w:bCs w:val="0"/>
                <w:sz w:val="21"/>
                <w:szCs w:val="21"/>
              </w:rPr>
              <w:t>COD</w:t>
            </w:r>
            <w:r>
              <w:rPr>
                <w:b w:val="0"/>
                <w:bCs w:val="0"/>
                <w:sz w:val="21"/>
                <w:szCs w:val="21"/>
                <w:vertAlign w:val="subscript"/>
              </w:rPr>
              <w:t>Cr</w:t>
            </w:r>
          </w:p>
        </w:tc>
        <w:tc>
          <w:tcPr>
            <w:tcW w:w="616" w:type="pct"/>
            <w:tcBorders>
              <w:top w:val="single" w:color="auto" w:sz="4" w:space="0"/>
              <w:bottom w:val="single" w:color="auto" w:sz="4" w:space="0"/>
            </w:tcBorders>
            <w:noWrap w:val="0"/>
            <w:vAlign w:val="center"/>
          </w:tcPr>
          <w:p>
            <w:pPr>
              <w:pStyle w:val="45"/>
              <w:spacing w:beforeLines="0" w:afterLines="0" w:line="240" w:lineRule="auto"/>
              <w:rPr>
                <w:rFonts w:hint="default" w:ascii="Times New Roman" w:eastAsia="宋体"/>
                <w:snapToGrid w:val="0"/>
                <w:color w:val="000000"/>
                <w:kern w:val="21"/>
                <w:sz w:val="21"/>
                <w:szCs w:val="21"/>
                <w:lang w:val="en-US" w:eastAsia="zh-CN"/>
              </w:rPr>
            </w:pPr>
            <w:r>
              <w:rPr>
                <w:rFonts w:hint="eastAsia" w:ascii="Times New Roman"/>
                <w:snapToGrid w:val="0"/>
                <w:color w:val="000000"/>
                <w:kern w:val="21"/>
                <w:sz w:val="21"/>
                <w:szCs w:val="21"/>
                <w:lang w:val="en-US" w:eastAsia="zh-CN"/>
              </w:rPr>
              <w:t>0.53</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eastAsia="宋体"/>
                <w:snapToGrid w:val="0"/>
                <w:kern w:val="21"/>
                <w:sz w:val="21"/>
                <w:szCs w:val="21"/>
                <w:lang w:val="en-US" w:eastAsia="zh-CN"/>
              </w:rPr>
            </w:pPr>
            <w:r>
              <w:rPr>
                <w:rFonts w:hint="eastAsia"/>
                <w:snapToGrid w:val="0"/>
                <w:kern w:val="21"/>
                <w:sz w:val="21"/>
                <w:szCs w:val="21"/>
                <w:lang w:val="en-US" w:eastAsia="zh-CN"/>
              </w:rPr>
              <w:t>0.123</w:t>
            </w:r>
          </w:p>
        </w:tc>
        <w:tc>
          <w:tcPr>
            <w:tcW w:w="638"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594" w:type="pct"/>
            <w:tcBorders>
              <w:top w:val="single" w:color="auto" w:sz="4" w:space="0"/>
              <w:bottom w:val="single" w:color="auto" w:sz="4" w:space="0"/>
            </w:tcBorders>
            <w:noWrap w:val="0"/>
            <w:vAlign w:val="center"/>
          </w:tcPr>
          <w:p>
            <w:pPr>
              <w:widowControl/>
              <w:jc w:val="center"/>
              <w:textAlignment w:val="center"/>
              <w:rPr>
                <w:rFonts w:hint="default" w:ascii="Times New Roman" w:hAnsi="Times New Roman" w:eastAsia="宋体" w:cs="Times New Roman"/>
                <w:snapToGrid w:val="0"/>
                <w:kern w:val="21"/>
                <w:sz w:val="21"/>
                <w:szCs w:val="21"/>
                <w:lang w:val="en-US" w:eastAsia="zh-CN"/>
              </w:rPr>
            </w:pPr>
            <w:r>
              <w:rPr>
                <w:rFonts w:hint="eastAsia" w:cs="Times New Roman"/>
                <w:snapToGrid w:val="0"/>
                <w:kern w:val="21"/>
                <w:sz w:val="21"/>
                <w:szCs w:val="21"/>
                <w:lang w:val="en-US" w:eastAsia="zh-CN"/>
              </w:rPr>
              <w:t>0.653</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snapToGrid w:val="0"/>
                <w:color w:val="0000FF"/>
                <w:kern w:val="21"/>
                <w:sz w:val="21"/>
                <w:szCs w:val="21"/>
                <w:lang w:val="en-US" w:eastAsia="zh-CN"/>
              </w:rPr>
            </w:pPr>
            <w:r>
              <w:rPr>
                <w:rFonts w:hint="eastAsia"/>
                <w:color w:val="000000"/>
                <w:kern w:val="0"/>
                <w:sz w:val="21"/>
                <w:szCs w:val="21"/>
                <w:lang w:bidi="ar"/>
              </w:rPr>
              <w:t>+</w:t>
            </w:r>
            <w:r>
              <w:rPr>
                <w:rFonts w:hint="eastAsia"/>
                <w:color w:val="000000"/>
                <w:kern w:val="0"/>
                <w:sz w:val="21"/>
                <w:szCs w:val="21"/>
                <w:lang w:val="en-US" w:eastAsia="zh-CN" w:bidi="ar"/>
              </w:rPr>
              <w:t>0.123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jc w:val="center"/>
              <w:textAlignment w:val="center"/>
              <w:rPr>
                <w:color w:val="000000"/>
                <w:sz w:val="21"/>
                <w:szCs w:val="21"/>
              </w:rPr>
            </w:pPr>
            <w:r>
              <w:rPr>
                <w:color w:val="000000"/>
                <w:kern w:val="0"/>
                <w:sz w:val="21"/>
                <w:szCs w:val="21"/>
                <w:lang w:bidi="ar"/>
              </w:rPr>
              <w:t>NH</w:t>
            </w:r>
            <w:r>
              <w:rPr>
                <w:color w:val="000000"/>
                <w:kern w:val="0"/>
                <w:sz w:val="21"/>
                <w:szCs w:val="21"/>
                <w:vertAlign w:val="subscript"/>
                <w:lang w:eastAsia="en-US" w:bidi="ar"/>
              </w:rPr>
              <w:t>3</w:t>
            </w:r>
            <w:r>
              <w:rPr>
                <w:color w:val="000000"/>
                <w:kern w:val="0"/>
                <w:sz w:val="21"/>
                <w:szCs w:val="21"/>
                <w:lang w:eastAsia="en-US" w:bidi="ar"/>
              </w:rPr>
              <w:t>-N</w:t>
            </w:r>
          </w:p>
        </w:tc>
        <w:tc>
          <w:tcPr>
            <w:tcW w:w="616" w:type="pct"/>
            <w:tcBorders>
              <w:top w:val="single" w:color="auto" w:sz="4" w:space="0"/>
              <w:bottom w:val="single" w:color="auto" w:sz="4" w:space="0"/>
            </w:tcBorders>
            <w:noWrap w:val="0"/>
            <w:vAlign w:val="center"/>
          </w:tcPr>
          <w:p>
            <w:pPr>
              <w:jc w:val="center"/>
              <w:rPr>
                <w:rFonts w:hint="default" w:eastAsia="宋体"/>
                <w:snapToGrid w:val="0"/>
                <w:color w:val="000000"/>
                <w:kern w:val="21"/>
                <w:sz w:val="21"/>
                <w:szCs w:val="21"/>
                <w:lang w:val="en-US" w:eastAsia="zh-CN"/>
              </w:rPr>
            </w:pPr>
            <w:r>
              <w:rPr>
                <w:rFonts w:hint="eastAsia"/>
                <w:snapToGrid w:val="0"/>
                <w:color w:val="000000"/>
                <w:kern w:val="21"/>
                <w:sz w:val="21"/>
                <w:szCs w:val="21"/>
                <w:lang w:val="en-US" w:eastAsia="zh-CN"/>
              </w:rPr>
              <w:t>0.053</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eastAsia="宋体"/>
                <w:snapToGrid w:val="0"/>
                <w:kern w:val="21"/>
                <w:sz w:val="21"/>
                <w:szCs w:val="21"/>
                <w:lang w:val="en-US" w:eastAsia="zh-CN"/>
              </w:rPr>
            </w:pPr>
            <w:r>
              <w:rPr>
                <w:rFonts w:hint="eastAsia"/>
                <w:snapToGrid w:val="0"/>
                <w:kern w:val="21"/>
                <w:sz w:val="21"/>
                <w:szCs w:val="21"/>
                <w:lang w:val="en-US" w:eastAsia="zh-CN"/>
              </w:rPr>
              <w:t>0.012</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jc w:val="center"/>
              <w:textAlignment w:val="center"/>
              <w:rPr>
                <w:rFonts w:hint="default" w:ascii="Times New Roman" w:hAnsi="Times New Roman" w:eastAsia="宋体" w:cs="Times New Roman"/>
                <w:snapToGrid w:val="0"/>
                <w:kern w:val="21"/>
                <w:sz w:val="21"/>
                <w:szCs w:val="21"/>
                <w:lang w:val="en-US" w:eastAsia="zh-CN"/>
              </w:rPr>
            </w:pPr>
            <w:r>
              <w:rPr>
                <w:rFonts w:hint="eastAsia" w:cs="Times New Roman"/>
                <w:snapToGrid w:val="0"/>
                <w:kern w:val="21"/>
                <w:sz w:val="21"/>
                <w:szCs w:val="21"/>
                <w:lang w:val="en-US" w:eastAsia="zh-CN"/>
              </w:rPr>
              <w:t>0.065</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bidi="ar"/>
              </w:rPr>
              <w:t>+</w:t>
            </w:r>
            <w:r>
              <w:rPr>
                <w:rFonts w:hint="eastAsia"/>
                <w:color w:val="000000"/>
                <w:kern w:val="0"/>
                <w:sz w:val="21"/>
                <w:szCs w:val="21"/>
                <w:lang w:val="en-US" w:eastAsia="zh-CN" w:bidi="ar"/>
              </w:rPr>
              <w:t>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95" w:type="pct"/>
            <w:vMerge w:val="restart"/>
            <w:tcBorders>
              <w:top w:val="single" w:color="auto" w:sz="4" w:space="0"/>
              <w:left w:val="single" w:color="auto" w:sz="12" w:space="0"/>
              <w:bottom w:val="single" w:color="auto" w:sz="4" w:space="0"/>
            </w:tcBorders>
            <w:noWrap w:val="0"/>
            <w:vAlign w:val="center"/>
          </w:tcPr>
          <w:p>
            <w:pPr>
              <w:pStyle w:val="45"/>
              <w:spacing w:beforeLines="0" w:afterLines="0" w:line="240" w:lineRule="auto"/>
              <w:rPr>
                <w:rFonts w:ascii="Times New Roman"/>
                <w:b/>
                <w:snapToGrid w:val="0"/>
                <w:color w:val="000000"/>
                <w:kern w:val="21"/>
                <w:sz w:val="21"/>
                <w:szCs w:val="21"/>
              </w:rPr>
            </w:pPr>
            <w:r>
              <w:rPr>
                <w:rFonts w:ascii="Times New Roman"/>
                <w:b/>
                <w:snapToGrid w:val="0"/>
                <w:color w:val="000000"/>
                <w:kern w:val="21"/>
                <w:sz w:val="21"/>
                <w:szCs w:val="21"/>
              </w:rPr>
              <w:t>一般工业</w:t>
            </w:r>
          </w:p>
          <w:p>
            <w:pPr>
              <w:pStyle w:val="45"/>
              <w:spacing w:beforeLines="0" w:afterLines="0" w:line="240" w:lineRule="auto"/>
              <w:rPr>
                <w:rFonts w:ascii="Times New Roman"/>
                <w:b/>
                <w:snapToGrid w:val="0"/>
                <w:color w:val="000000"/>
                <w:kern w:val="21"/>
                <w:sz w:val="21"/>
                <w:szCs w:val="21"/>
              </w:rPr>
            </w:pPr>
            <w:r>
              <w:rPr>
                <w:rFonts w:ascii="Times New Roman"/>
                <w:b/>
                <w:snapToGrid w:val="0"/>
                <w:color w:val="000000"/>
                <w:kern w:val="21"/>
                <w:sz w:val="21"/>
                <w:szCs w:val="21"/>
              </w:rPr>
              <w:t>固体废物</w:t>
            </w:r>
          </w:p>
        </w:tc>
        <w:tc>
          <w:tcPr>
            <w:tcW w:w="693" w:type="pct"/>
            <w:tcBorders>
              <w:top w:val="single" w:color="auto" w:sz="4" w:space="0"/>
              <w:bottom w:val="single" w:color="auto" w:sz="4" w:space="0"/>
            </w:tcBorders>
            <w:noWrap w:val="0"/>
            <w:vAlign w:val="center"/>
          </w:tcPr>
          <w:p>
            <w:pPr>
              <w:widowControl/>
              <w:adjustRightInd w:val="0"/>
              <w:snapToGrid w:val="0"/>
              <w:jc w:val="center"/>
              <w:rPr>
                <w:color w:val="000000"/>
                <w:kern w:val="0"/>
                <w:sz w:val="21"/>
                <w:szCs w:val="21"/>
              </w:rPr>
            </w:pPr>
            <w:r>
              <w:rPr>
                <w:rFonts w:hint="eastAsia"/>
                <w:color w:val="000000"/>
                <w:kern w:val="0"/>
                <w:sz w:val="21"/>
                <w:szCs w:val="21"/>
              </w:rPr>
              <w:t>不合格品</w:t>
            </w:r>
          </w:p>
        </w:tc>
        <w:tc>
          <w:tcPr>
            <w:tcW w:w="616"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6.4</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5.2</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11.6</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bidi="ar"/>
              </w:rPr>
              <w:t>+</w:t>
            </w:r>
            <w:r>
              <w:rPr>
                <w:rFonts w:hint="eastAsia"/>
                <w:color w:val="000000"/>
                <w:kern w:val="0"/>
                <w:sz w:val="21"/>
                <w:szCs w:val="21"/>
                <w:lang w:val="en-US" w:eastAsia="zh-CN" w:bidi="ar"/>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eastAsia"/>
                <w:color w:val="000000"/>
                <w:kern w:val="0"/>
                <w:sz w:val="21"/>
                <w:szCs w:val="21"/>
              </w:rPr>
            </w:pPr>
            <w:r>
              <w:rPr>
                <w:color w:val="000000"/>
                <w:sz w:val="21"/>
                <w:szCs w:val="21"/>
              </w:rPr>
              <w:t>废包装</w:t>
            </w:r>
            <w:r>
              <w:rPr>
                <w:rFonts w:hint="eastAsia"/>
                <w:color w:val="000000"/>
                <w:sz w:val="21"/>
                <w:szCs w:val="21"/>
              </w:rPr>
              <w:t>材料</w:t>
            </w:r>
          </w:p>
        </w:tc>
        <w:tc>
          <w:tcPr>
            <w:tcW w:w="616"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2.0</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color w:val="000000"/>
                <w:kern w:val="0"/>
                <w:sz w:val="21"/>
                <w:szCs w:val="21"/>
                <w:lang w:bidi="ar"/>
              </w:rPr>
            </w:pPr>
            <w:r>
              <w:rPr>
                <w:rFonts w:hint="eastAsia"/>
                <w:color w:val="000000"/>
                <w:kern w:val="0"/>
                <w:sz w:val="21"/>
                <w:szCs w:val="21"/>
                <w:lang w:val="en-US" w:eastAsia="zh-CN" w:bidi="ar"/>
              </w:rPr>
              <w:t>1</w:t>
            </w:r>
            <w:r>
              <w:rPr>
                <w:rFonts w:hint="eastAsia"/>
                <w:color w:val="000000"/>
                <w:kern w:val="0"/>
                <w:sz w:val="21"/>
                <w:szCs w:val="21"/>
                <w:lang w:bidi="ar"/>
              </w:rPr>
              <w:t>.0</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3.0</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color w:val="000000"/>
                <w:kern w:val="0"/>
                <w:sz w:val="21"/>
                <w:szCs w:val="21"/>
                <w:lang w:bidi="ar"/>
              </w:rPr>
            </w:pPr>
            <w:r>
              <w:rPr>
                <w:rFonts w:hint="eastAsia"/>
                <w:color w:val="000000"/>
                <w:kern w:val="0"/>
                <w:sz w:val="21"/>
                <w:szCs w:val="21"/>
                <w:lang w:bidi="ar"/>
              </w:rPr>
              <w:t>+</w:t>
            </w:r>
            <w:r>
              <w:rPr>
                <w:rFonts w:hint="eastAsia"/>
                <w:color w:val="000000"/>
                <w:kern w:val="0"/>
                <w:sz w:val="21"/>
                <w:szCs w:val="21"/>
                <w:lang w:val="en-US" w:eastAsia="zh-CN" w:bidi="ar"/>
              </w:rPr>
              <w:t>1</w:t>
            </w:r>
            <w:r>
              <w:rPr>
                <w:rFonts w:hint="eastAsia"/>
                <w:color w:val="000000"/>
                <w:kern w:val="0"/>
                <w:sz w:val="21"/>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color w:val="000000"/>
                <w:sz w:val="21"/>
                <w:szCs w:val="21"/>
              </w:rPr>
            </w:pPr>
            <w:r>
              <w:rPr>
                <w:rFonts w:hint="eastAsia"/>
                <w:color w:val="000000"/>
                <w:sz w:val="21"/>
                <w:szCs w:val="21"/>
                <w:lang w:val="en-US" w:eastAsia="zh-CN"/>
              </w:rPr>
              <w:t>化学品库废物</w:t>
            </w:r>
          </w:p>
        </w:tc>
        <w:tc>
          <w:tcPr>
            <w:tcW w:w="616" w:type="pct"/>
            <w:tcBorders>
              <w:top w:val="single" w:color="auto" w:sz="4" w:space="0"/>
              <w:bottom w:val="single" w:color="auto" w:sz="4" w:space="0"/>
            </w:tcBorders>
            <w:noWrap w:val="0"/>
            <w:vAlign w:val="center"/>
          </w:tcPr>
          <w:p>
            <w:pPr>
              <w:widowControl/>
              <w:jc w:val="center"/>
              <w:textAlignment w:val="center"/>
              <w:rPr>
                <w:rFonts w:hint="default" w:eastAsia="宋体"/>
                <w:snapToGrid w:val="0"/>
                <w:color w:val="000000"/>
                <w:kern w:val="21"/>
                <w:sz w:val="21"/>
                <w:szCs w:val="21"/>
                <w:lang w:val="en-US" w:eastAsia="zh-CN"/>
              </w:rPr>
            </w:pPr>
            <w:r>
              <w:rPr>
                <w:rFonts w:hint="eastAsia"/>
                <w:snapToGrid w:val="0"/>
                <w:color w:val="000000"/>
                <w:kern w:val="21"/>
                <w:sz w:val="21"/>
                <w:szCs w:val="21"/>
                <w:lang w:val="en-US" w:eastAsia="zh-CN"/>
              </w:rPr>
              <w:t>5.2</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4.7</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9</w:t>
            </w:r>
            <w:r>
              <w:rPr>
                <w:rFonts w:hint="eastAsia" w:ascii="Times New Roman" w:hAnsi="Times New Roman" w:eastAsia="宋体" w:cs="Times New Roman"/>
                <w:color w:val="000000"/>
                <w:kern w:val="0"/>
                <w:sz w:val="21"/>
                <w:szCs w:val="21"/>
                <w:lang w:val="en-US" w:eastAsia="zh-CN"/>
              </w:rPr>
              <w:t>.9</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color w:val="000000"/>
                <w:kern w:val="0"/>
                <w:sz w:val="21"/>
                <w:szCs w:val="21"/>
                <w:lang w:val="en-US" w:bidi="ar"/>
              </w:rPr>
            </w:pPr>
            <w:r>
              <w:rPr>
                <w:rFonts w:hint="eastAsia"/>
                <w:color w:val="000000"/>
                <w:kern w:val="0"/>
                <w:sz w:val="21"/>
                <w:szCs w:val="21"/>
                <w:lang w:bidi="ar"/>
              </w:rPr>
              <w:t>+</w:t>
            </w:r>
            <w:r>
              <w:rPr>
                <w:rFonts w:hint="eastAsia"/>
                <w:color w:val="000000"/>
                <w:kern w:val="0"/>
                <w:sz w:val="21"/>
                <w:szCs w:val="21"/>
                <w:lang w:val="en-US" w:eastAsia="zh-CN" w:bidi="ar"/>
              </w:rPr>
              <w:t>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default"/>
                <w:color w:val="000000"/>
                <w:sz w:val="21"/>
                <w:szCs w:val="21"/>
                <w:lang w:val="en-US" w:eastAsia="zh-CN"/>
              </w:rPr>
            </w:pPr>
            <w:r>
              <w:rPr>
                <w:rFonts w:hint="eastAsia"/>
                <w:color w:val="000000"/>
                <w:sz w:val="21"/>
                <w:szCs w:val="21"/>
                <w:lang w:val="en-US" w:eastAsia="zh-CN"/>
              </w:rPr>
              <w:t>废过滤器</w:t>
            </w:r>
          </w:p>
        </w:tc>
        <w:tc>
          <w:tcPr>
            <w:tcW w:w="616" w:type="pct"/>
            <w:tcBorders>
              <w:top w:val="single" w:color="auto" w:sz="4" w:space="0"/>
              <w:bottom w:val="single" w:color="auto" w:sz="4" w:space="0"/>
            </w:tcBorders>
            <w:noWrap w:val="0"/>
            <w:vAlign w:val="center"/>
          </w:tcPr>
          <w:p>
            <w:pPr>
              <w:widowControl/>
              <w:jc w:val="center"/>
              <w:textAlignment w:val="center"/>
              <w:rPr>
                <w:rFonts w:hint="default"/>
                <w:snapToGrid w:val="0"/>
                <w:color w:val="000000"/>
                <w:kern w:val="21"/>
                <w:sz w:val="21"/>
                <w:szCs w:val="21"/>
                <w:lang w:val="en-US" w:eastAsia="zh-CN"/>
              </w:rPr>
            </w:pPr>
            <w:r>
              <w:rPr>
                <w:rFonts w:hint="eastAsia"/>
                <w:snapToGrid w:val="0"/>
                <w:color w:val="000000"/>
                <w:kern w:val="21"/>
                <w:sz w:val="21"/>
                <w:szCs w:val="21"/>
                <w:lang w:val="en-US" w:eastAsia="zh-CN"/>
              </w:rPr>
              <w:t>2.0</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1.0</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3.0</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bidi="ar"/>
              </w:rPr>
              <w:t>+</w:t>
            </w:r>
            <w:r>
              <w:rPr>
                <w:rFonts w:hint="eastAsia"/>
                <w:color w:val="000000"/>
                <w:kern w:val="0"/>
                <w:sz w:val="21"/>
                <w:szCs w:val="21"/>
                <w:lang w:val="en-US" w:eastAsia="zh-CN" w:bidi="ar"/>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default"/>
                <w:color w:val="000000"/>
                <w:sz w:val="21"/>
                <w:szCs w:val="21"/>
                <w:lang w:val="en-US" w:eastAsia="zh-CN"/>
              </w:rPr>
            </w:pPr>
            <w:r>
              <w:rPr>
                <w:rFonts w:hint="eastAsia"/>
                <w:color w:val="000000"/>
                <w:sz w:val="21"/>
                <w:szCs w:val="21"/>
                <w:lang w:val="en-US" w:eastAsia="zh-CN"/>
              </w:rPr>
              <w:t>废活性炭（水处理）</w:t>
            </w:r>
          </w:p>
        </w:tc>
        <w:tc>
          <w:tcPr>
            <w:tcW w:w="616" w:type="pct"/>
            <w:tcBorders>
              <w:top w:val="single" w:color="auto" w:sz="4" w:space="0"/>
              <w:bottom w:val="single" w:color="auto" w:sz="4" w:space="0"/>
            </w:tcBorders>
            <w:noWrap w:val="0"/>
            <w:vAlign w:val="center"/>
          </w:tcPr>
          <w:p>
            <w:pPr>
              <w:widowControl/>
              <w:jc w:val="center"/>
              <w:textAlignment w:val="center"/>
              <w:rPr>
                <w:rFonts w:hint="default"/>
                <w:snapToGrid w:val="0"/>
                <w:color w:val="000000"/>
                <w:kern w:val="21"/>
                <w:sz w:val="21"/>
                <w:szCs w:val="21"/>
                <w:lang w:val="en-US" w:eastAsia="zh-CN"/>
              </w:rPr>
            </w:pPr>
            <w:r>
              <w:rPr>
                <w:rFonts w:hint="eastAsia"/>
                <w:snapToGrid w:val="0"/>
                <w:color w:val="000000"/>
                <w:kern w:val="21"/>
                <w:sz w:val="21"/>
                <w:szCs w:val="21"/>
                <w:lang w:val="en-US" w:eastAsia="zh-CN"/>
              </w:rPr>
              <w:t>10</w:t>
            </w:r>
          </w:p>
        </w:tc>
        <w:tc>
          <w:tcPr>
            <w:tcW w:w="462" w:type="pct"/>
            <w:tcBorders>
              <w:top w:val="single" w:color="auto" w:sz="4" w:space="0"/>
              <w:bottom w:val="single" w:color="auto" w:sz="4" w:space="0"/>
            </w:tcBorders>
            <w:noWrap w:val="0"/>
            <w:vAlign w:val="center"/>
          </w:tcPr>
          <w:p>
            <w:pPr>
              <w:jc w:val="center"/>
              <w:rPr>
                <w:rFonts w:hint="eastAsia" w:eastAsia="宋体"/>
                <w:snapToGrid w:val="0"/>
                <w:color w:val="000000"/>
                <w:kern w:val="21"/>
                <w:sz w:val="21"/>
                <w:szCs w:val="21"/>
                <w:lang w:val="en-US" w:eastAsia="zh-CN"/>
              </w:rPr>
            </w:pPr>
            <w:r>
              <w:rPr>
                <w:rFonts w:hint="eastAsia"/>
                <w:snapToGrid w:val="0"/>
                <w:color w:val="000000"/>
                <w:kern w:val="21"/>
                <w:sz w:val="21"/>
                <w:szCs w:val="21"/>
                <w:lang w:val="en-US" w:eastAsia="zh-CN"/>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eastAsia="宋体"/>
                <w:color w:val="000000"/>
                <w:kern w:val="0"/>
                <w:sz w:val="21"/>
                <w:szCs w:val="21"/>
                <w:lang w:val="en-US" w:eastAsia="zh-CN" w:bidi="ar"/>
              </w:rPr>
            </w:pPr>
            <w:r>
              <w:rPr>
                <w:rFonts w:hint="eastAsia"/>
                <w:color w:val="000000"/>
                <w:kern w:val="0"/>
                <w:sz w:val="21"/>
                <w:szCs w:val="21"/>
                <w:lang w:val="en-US" w:eastAsia="zh-CN"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color w:val="000000"/>
                <w:kern w:val="0"/>
                <w:sz w:val="21"/>
                <w:szCs w:val="21"/>
                <w:lang w:val="en-US" w:eastAsia="zh-CN" w:bidi="ar"/>
              </w:rPr>
            </w:pPr>
            <w:r>
              <w:rPr>
                <w:rFonts w:hint="eastAsia"/>
                <w:color w:val="000000"/>
                <w:kern w:val="0"/>
                <w:sz w:val="21"/>
                <w:szCs w:val="21"/>
                <w:lang w:val="en-US" w:eastAsia="zh-CN" w:bidi="ar"/>
              </w:rPr>
              <w:t>5.0</w:t>
            </w:r>
          </w:p>
        </w:tc>
        <w:tc>
          <w:tcPr>
            <w:tcW w:w="638" w:type="pct"/>
            <w:tcBorders>
              <w:top w:val="single" w:color="auto" w:sz="4" w:space="0"/>
              <w:bottom w:val="single" w:color="auto" w:sz="4" w:space="0"/>
            </w:tcBorders>
            <w:noWrap w:val="0"/>
            <w:vAlign w:val="center"/>
          </w:tcPr>
          <w:p>
            <w:pPr>
              <w:widowControl/>
              <w:jc w:val="center"/>
              <w:textAlignment w:val="center"/>
              <w:rPr>
                <w:rFonts w:hint="eastAsia" w:eastAsia="宋体"/>
                <w:color w:val="000000"/>
                <w:kern w:val="0"/>
                <w:sz w:val="21"/>
                <w:szCs w:val="21"/>
                <w:lang w:val="en-US" w:eastAsia="zh-CN" w:bidi="ar"/>
              </w:rPr>
            </w:pPr>
            <w:r>
              <w:rPr>
                <w:rFonts w:hint="eastAsia"/>
                <w:color w:val="000000"/>
                <w:kern w:val="0"/>
                <w:sz w:val="21"/>
                <w:szCs w:val="21"/>
                <w:lang w:val="en-US" w:eastAsia="zh-CN"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15.0</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bidi="ar"/>
              </w:rPr>
              <w:t>+</w:t>
            </w:r>
            <w:r>
              <w:rPr>
                <w:rFonts w:hint="eastAsia"/>
                <w:color w:val="000000"/>
                <w:kern w:val="0"/>
                <w:sz w:val="21"/>
                <w:szCs w:val="21"/>
                <w:lang w:val="en-US" w:eastAsia="zh-CN" w:bidi="ar"/>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default"/>
                <w:color w:val="000000"/>
                <w:sz w:val="21"/>
                <w:szCs w:val="21"/>
                <w:lang w:val="en-US" w:eastAsia="zh-CN"/>
              </w:rPr>
            </w:pPr>
            <w:r>
              <w:rPr>
                <w:rFonts w:hint="eastAsia"/>
                <w:color w:val="000000"/>
                <w:sz w:val="21"/>
                <w:szCs w:val="21"/>
                <w:lang w:val="en-US" w:eastAsia="zh-CN"/>
              </w:rPr>
              <w:t>废反渗透膜</w:t>
            </w:r>
          </w:p>
        </w:tc>
        <w:tc>
          <w:tcPr>
            <w:tcW w:w="616" w:type="pct"/>
            <w:tcBorders>
              <w:top w:val="single" w:color="auto" w:sz="4" w:space="0"/>
              <w:bottom w:val="single" w:color="auto" w:sz="4" w:space="0"/>
            </w:tcBorders>
            <w:noWrap w:val="0"/>
            <w:vAlign w:val="center"/>
          </w:tcPr>
          <w:p>
            <w:pPr>
              <w:widowControl/>
              <w:jc w:val="center"/>
              <w:textAlignment w:val="center"/>
              <w:rPr>
                <w:rFonts w:hint="default"/>
                <w:snapToGrid w:val="0"/>
                <w:color w:val="000000"/>
                <w:kern w:val="21"/>
                <w:sz w:val="21"/>
                <w:szCs w:val="21"/>
                <w:lang w:val="en-US" w:eastAsia="zh-CN"/>
              </w:rPr>
            </w:pPr>
            <w:r>
              <w:rPr>
                <w:rFonts w:hint="eastAsia"/>
                <w:snapToGrid w:val="0"/>
                <w:color w:val="000000"/>
                <w:kern w:val="21"/>
                <w:sz w:val="21"/>
                <w:szCs w:val="21"/>
                <w:lang w:val="en-US" w:eastAsia="zh-CN"/>
              </w:rPr>
              <w:t>0.005</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rFonts w:hint="eastAsia"/>
                <w:snapToGrid w:val="0"/>
                <w:color w:val="000000"/>
                <w:kern w:val="21"/>
                <w:sz w:val="21"/>
                <w:szCs w:val="21"/>
                <w:lang w:val="en-US" w:eastAsia="zh-CN"/>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val="en-US" w:eastAsia="zh-CN"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color w:val="000000"/>
                <w:kern w:val="0"/>
                <w:sz w:val="21"/>
                <w:szCs w:val="21"/>
                <w:lang w:val="en-US" w:eastAsia="zh-CN" w:bidi="ar"/>
              </w:rPr>
            </w:pPr>
            <w:r>
              <w:rPr>
                <w:rFonts w:hint="eastAsia"/>
                <w:color w:val="000000"/>
                <w:kern w:val="0"/>
                <w:sz w:val="21"/>
                <w:szCs w:val="21"/>
                <w:lang w:val="en-US" w:eastAsia="zh-CN" w:bidi="ar"/>
              </w:rPr>
              <w:t>0.002</w:t>
            </w:r>
          </w:p>
        </w:tc>
        <w:tc>
          <w:tcPr>
            <w:tcW w:w="638" w:type="pct"/>
            <w:tcBorders>
              <w:top w:val="single" w:color="auto" w:sz="4" w:space="0"/>
              <w:bottom w:val="single" w:color="auto" w:sz="4" w:space="0"/>
            </w:tcBorders>
            <w:noWrap w:val="0"/>
            <w:vAlign w:val="center"/>
          </w:tcPr>
          <w:p>
            <w:pPr>
              <w:widowControl/>
              <w:jc w:val="center"/>
              <w:textAlignment w:val="center"/>
              <w:rPr>
                <w:rFonts w:hint="eastAsia" w:eastAsia="宋体"/>
                <w:color w:val="000000"/>
                <w:kern w:val="0"/>
                <w:sz w:val="21"/>
                <w:szCs w:val="21"/>
                <w:lang w:val="en-US" w:eastAsia="zh-CN" w:bidi="ar"/>
              </w:rPr>
            </w:pPr>
            <w:r>
              <w:rPr>
                <w:rFonts w:hint="eastAsia"/>
                <w:color w:val="000000"/>
                <w:kern w:val="0"/>
                <w:sz w:val="21"/>
                <w:szCs w:val="21"/>
                <w:lang w:val="en-US" w:eastAsia="zh-CN"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0.007</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bidi="ar"/>
              </w:rPr>
              <w:t>+</w:t>
            </w:r>
            <w:r>
              <w:rPr>
                <w:rFonts w:hint="eastAsia"/>
                <w:color w:val="000000"/>
                <w:kern w:val="0"/>
                <w:sz w:val="21"/>
                <w:szCs w:val="21"/>
                <w:lang w:val="en-US" w:eastAsia="zh-CN" w:bidi="ar"/>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default"/>
                <w:color w:val="000000"/>
                <w:sz w:val="21"/>
                <w:szCs w:val="21"/>
                <w:lang w:val="en-US" w:eastAsia="zh-CN"/>
              </w:rPr>
            </w:pPr>
            <w:r>
              <w:rPr>
                <w:rFonts w:hint="eastAsia"/>
                <w:color w:val="000000"/>
                <w:sz w:val="21"/>
                <w:szCs w:val="21"/>
                <w:lang w:val="en-US" w:eastAsia="zh-CN"/>
              </w:rPr>
              <w:t>废过滤棉</w:t>
            </w:r>
          </w:p>
        </w:tc>
        <w:tc>
          <w:tcPr>
            <w:tcW w:w="616" w:type="pct"/>
            <w:tcBorders>
              <w:top w:val="single" w:color="auto" w:sz="4" w:space="0"/>
              <w:bottom w:val="single" w:color="auto" w:sz="4" w:space="0"/>
            </w:tcBorders>
            <w:noWrap w:val="0"/>
            <w:vAlign w:val="center"/>
          </w:tcPr>
          <w:p>
            <w:pPr>
              <w:widowControl/>
              <w:jc w:val="center"/>
              <w:textAlignment w:val="center"/>
              <w:rPr>
                <w:rFonts w:hint="default"/>
                <w:snapToGrid w:val="0"/>
                <w:color w:val="000000"/>
                <w:kern w:val="21"/>
                <w:sz w:val="21"/>
                <w:szCs w:val="21"/>
                <w:lang w:val="en-US" w:eastAsia="zh-CN"/>
              </w:rPr>
            </w:pPr>
            <w:r>
              <w:rPr>
                <w:rFonts w:hint="eastAsia"/>
                <w:snapToGrid w:val="0"/>
                <w:color w:val="000000"/>
                <w:kern w:val="21"/>
                <w:sz w:val="21"/>
                <w:szCs w:val="21"/>
                <w:lang w:val="en-US" w:eastAsia="zh-CN"/>
              </w:rPr>
              <w:t>0.002</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rFonts w:hint="eastAsia"/>
                <w:snapToGrid w:val="0"/>
                <w:color w:val="000000"/>
                <w:kern w:val="21"/>
                <w:sz w:val="21"/>
                <w:szCs w:val="21"/>
                <w:lang w:val="en-US" w:eastAsia="zh-CN"/>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val="en-US" w:eastAsia="zh-CN" w:bidi="ar"/>
              </w:rPr>
              <w:t>0</w:t>
            </w:r>
          </w:p>
        </w:tc>
        <w:tc>
          <w:tcPr>
            <w:tcW w:w="565" w:type="pct"/>
            <w:tcBorders>
              <w:top w:val="single" w:color="auto" w:sz="4" w:space="0"/>
              <w:bottom w:val="single" w:color="auto" w:sz="4" w:space="0"/>
            </w:tcBorders>
            <w:noWrap w:val="0"/>
            <w:vAlign w:val="center"/>
          </w:tcPr>
          <w:p>
            <w:pPr>
              <w:jc w:val="center"/>
              <w:rPr>
                <w:rFonts w:hint="eastAsia"/>
                <w:color w:val="000000"/>
                <w:kern w:val="0"/>
                <w:sz w:val="21"/>
                <w:szCs w:val="21"/>
                <w:lang w:val="en-US" w:eastAsia="zh-CN" w:bidi="ar"/>
              </w:rPr>
            </w:pPr>
            <w:r>
              <w:rPr>
                <w:rFonts w:hint="eastAsia"/>
                <w:snapToGrid w:val="0"/>
                <w:color w:val="000000"/>
                <w:kern w:val="21"/>
                <w:sz w:val="21"/>
                <w:szCs w:val="21"/>
                <w:lang w:val="en-US" w:eastAsia="zh-CN"/>
              </w:rPr>
              <w:t>0</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val="en-US" w:eastAsia="zh-CN"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0.002</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w:t>
            </w:r>
            <w:r>
              <w:rPr>
                <w:rFonts w:hint="eastAsia"/>
                <w:color w:val="000000"/>
                <w:kern w:val="0"/>
                <w:sz w:val="21"/>
                <w:szCs w:val="21"/>
                <w:lang w:val="en-US" w:eastAsia="zh-CN" w:bidi="ar"/>
              </w:rPr>
              <w:t>0</w:t>
            </w:r>
            <w:r>
              <w:rPr>
                <w:rFonts w:hint="eastAsia"/>
                <w:color w:val="000000"/>
                <w:kern w:val="0"/>
                <w:sz w:val="21"/>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default"/>
                <w:color w:val="000000"/>
                <w:sz w:val="21"/>
                <w:szCs w:val="21"/>
                <w:lang w:val="en-US" w:eastAsia="zh-CN"/>
              </w:rPr>
            </w:pPr>
            <w:r>
              <w:rPr>
                <w:rFonts w:hint="eastAsia"/>
                <w:color w:val="000000"/>
                <w:sz w:val="21"/>
                <w:szCs w:val="21"/>
                <w:lang w:val="en-US" w:eastAsia="zh-CN"/>
              </w:rPr>
              <w:t>废叉车电池</w:t>
            </w:r>
          </w:p>
        </w:tc>
        <w:tc>
          <w:tcPr>
            <w:tcW w:w="616" w:type="pct"/>
            <w:tcBorders>
              <w:top w:val="single" w:color="auto" w:sz="4" w:space="0"/>
              <w:bottom w:val="single" w:color="auto" w:sz="4" w:space="0"/>
            </w:tcBorders>
            <w:noWrap w:val="0"/>
            <w:vAlign w:val="center"/>
          </w:tcPr>
          <w:p>
            <w:pPr>
              <w:widowControl/>
              <w:jc w:val="center"/>
              <w:textAlignment w:val="center"/>
              <w:rPr>
                <w:rFonts w:hint="default"/>
                <w:snapToGrid w:val="0"/>
                <w:color w:val="000000"/>
                <w:kern w:val="21"/>
                <w:sz w:val="21"/>
                <w:szCs w:val="21"/>
                <w:lang w:val="en-US" w:eastAsia="zh-CN"/>
              </w:rPr>
            </w:pPr>
            <w:r>
              <w:rPr>
                <w:rFonts w:hint="eastAsia"/>
                <w:snapToGrid w:val="0"/>
                <w:color w:val="000000"/>
                <w:kern w:val="21"/>
                <w:sz w:val="21"/>
                <w:szCs w:val="21"/>
                <w:lang w:val="en-US" w:eastAsia="zh-CN"/>
              </w:rPr>
              <w:t>1.5</w:t>
            </w:r>
          </w:p>
        </w:tc>
        <w:tc>
          <w:tcPr>
            <w:tcW w:w="462" w:type="pct"/>
            <w:tcBorders>
              <w:top w:val="single" w:color="auto" w:sz="4" w:space="0"/>
              <w:bottom w:val="single" w:color="auto" w:sz="4" w:space="0"/>
            </w:tcBorders>
            <w:noWrap w:val="0"/>
            <w:vAlign w:val="center"/>
          </w:tcPr>
          <w:p>
            <w:pPr>
              <w:widowControl/>
              <w:jc w:val="center"/>
              <w:textAlignment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jc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val="en-US" w:eastAsia="zh-CN" w:bidi="ar"/>
              </w:rPr>
            </w:pPr>
            <w:r>
              <w:rPr>
                <w:rFonts w:hint="eastAsia" w:eastAsia="宋体"/>
                <w:color w:val="000000"/>
                <w:kern w:val="0"/>
                <w:sz w:val="21"/>
                <w:szCs w:val="21"/>
                <w:lang w:val="en-US" w:eastAsia="zh-CN" w:bidi="ar"/>
              </w:rPr>
              <w:t>0.0</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r>
              <w:rPr>
                <w:rFonts w:hint="eastAsia" w:cs="Times New Roman"/>
                <w:color w:val="000000"/>
                <w:kern w:val="0"/>
                <w:sz w:val="21"/>
                <w:szCs w:val="21"/>
                <w:lang w:val="en-US" w:eastAsia="zh-CN"/>
              </w:rPr>
              <w:t>.5</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w:t>
            </w:r>
            <w:r>
              <w:rPr>
                <w:rFonts w:hint="eastAsia"/>
                <w:color w:val="000000"/>
                <w:kern w:val="0"/>
                <w:sz w:val="21"/>
                <w:szCs w:val="21"/>
                <w:lang w:val="en-US" w:eastAsia="zh-CN" w:bidi="ar"/>
              </w:rPr>
              <w:t>0</w:t>
            </w:r>
            <w:r>
              <w:rPr>
                <w:rFonts w:hint="eastAsia"/>
                <w:color w:val="000000"/>
                <w:kern w:val="0"/>
                <w:sz w:val="21"/>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eastAsia"/>
                <w:color w:val="000000"/>
                <w:sz w:val="21"/>
                <w:szCs w:val="21"/>
              </w:rPr>
            </w:pPr>
            <w:r>
              <w:rPr>
                <w:rFonts w:hint="eastAsia"/>
                <w:color w:val="000000"/>
                <w:sz w:val="21"/>
                <w:szCs w:val="21"/>
              </w:rPr>
              <w:t>废</w:t>
            </w:r>
            <w:r>
              <w:rPr>
                <w:rFonts w:hint="eastAsia"/>
                <w:color w:val="000000"/>
                <w:sz w:val="21"/>
                <w:szCs w:val="21"/>
                <w:lang w:val="en-US" w:eastAsia="zh-CN"/>
              </w:rPr>
              <w:t>矿物</w:t>
            </w:r>
            <w:r>
              <w:rPr>
                <w:rFonts w:hint="eastAsia"/>
                <w:color w:val="000000"/>
                <w:sz w:val="21"/>
                <w:szCs w:val="21"/>
              </w:rPr>
              <w:t>油</w:t>
            </w:r>
          </w:p>
        </w:tc>
        <w:tc>
          <w:tcPr>
            <w:tcW w:w="616" w:type="pct"/>
            <w:tcBorders>
              <w:top w:val="single" w:color="auto" w:sz="4" w:space="0"/>
              <w:bottom w:val="single" w:color="auto" w:sz="4" w:space="0"/>
            </w:tcBorders>
            <w:noWrap w:val="0"/>
            <w:vAlign w:val="center"/>
          </w:tcPr>
          <w:p>
            <w:pPr>
              <w:jc w:val="center"/>
              <w:rPr>
                <w:rFonts w:hint="default" w:eastAsia="宋体"/>
                <w:snapToGrid w:val="0"/>
                <w:color w:val="000000"/>
                <w:kern w:val="21"/>
                <w:sz w:val="21"/>
                <w:szCs w:val="21"/>
                <w:lang w:val="en-US" w:eastAsia="zh-CN"/>
              </w:rPr>
            </w:pPr>
            <w:r>
              <w:rPr>
                <w:rFonts w:hint="eastAsia"/>
                <w:snapToGrid w:val="0"/>
                <w:color w:val="000000"/>
                <w:kern w:val="21"/>
                <w:sz w:val="21"/>
                <w:szCs w:val="21"/>
                <w:lang w:val="en-US" w:eastAsia="zh-CN"/>
              </w:rPr>
              <w:t>4</w:t>
            </w:r>
            <w:r>
              <w:rPr>
                <w:rFonts w:hint="eastAsia" w:eastAsia="宋体"/>
                <w:snapToGrid w:val="0"/>
                <w:color w:val="000000"/>
                <w:kern w:val="21"/>
                <w:sz w:val="21"/>
                <w:szCs w:val="21"/>
                <w:lang w:val="en-US" w:eastAsia="zh-CN"/>
              </w:rPr>
              <w:t>.0</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1.0</w:t>
            </w:r>
          </w:p>
        </w:tc>
        <w:tc>
          <w:tcPr>
            <w:tcW w:w="638" w:type="pct"/>
            <w:tcBorders>
              <w:top w:val="single" w:color="auto" w:sz="4" w:space="0"/>
              <w:bottom w:val="single" w:color="auto" w:sz="4" w:space="0"/>
            </w:tcBorders>
            <w:noWrap w:val="0"/>
            <w:vAlign w:val="center"/>
          </w:tcPr>
          <w:p>
            <w:pPr>
              <w:widowControl/>
              <w:jc w:val="center"/>
              <w:textAlignment w:val="center"/>
              <w:rPr>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5.0</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color w:val="000000"/>
                <w:kern w:val="0"/>
                <w:sz w:val="21"/>
                <w:szCs w:val="21"/>
                <w:lang w:bidi="ar"/>
              </w:rPr>
            </w:pPr>
            <w:r>
              <w:rPr>
                <w:rFonts w:hint="eastAsia"/>
                <w:color w:val="000000"/>
                <w:kern w:val="0"/>
                <w:sz w:val="21"/>
                <w:szCs w:val="21"/>
                <w:lang w:bidi="ar"/>
              </w:rPr>
              <w:t>+</w:t>
            </w:r>
            <w:r>
              <w:rPr>
                <w:rFonts w:hint="eastAsia"/>
                <w:color w:val="000000"/>
                <w:kern w:val="0"/>
                <w:sz w:val="21"/>
                <w:szCs w:val="21"/>
                <w:lang w:val="en-US" w:eastAsia="zh-CN" w:bidi="ar"/>
              </w:rPr>
              <w:t>1</w:t>
            </w:r>
            <w:r>
              <w:rPr>
                <w:rFonts w:hint="eastAsia"/>
                <w:color w:val="000000"/>
                <w:kern w:val="0"/>
                <w:sz w:val="21"/>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eastAsia" w:eastAsia="宋体"/>
                <w:color w:val="000000"/>
                <w:sz w:val="21"/>
                <w:szCs w:val="21"/>
                <w:lang w:val="en-US" w:eastAsia="zh-CN"/>
              </w:rPr>
            </w:pPr>
            <w:r>
              <w:rPr>
                <w:rFonts w:hint="eastAsia"/>
                <w:color w:val="000000"/>
                <w:sz w:val="21"/>
                <w:szCs w:val="21"/>
              </w:rPr>
              <w:t>废</w:t>
            </w:r>
            <w:r>
              <w:rPr>
                <w:rFonts w:hint="eastAsia"/>
                <w:color w:val="000000"/>
                <w:sz w:val="21"/>
                <w:szCs w:val="21"/>
                <w:lang w:val="en-US" w:eastAsia="zh-CN"/>
              </w:rPr>
              <w:t>矿物</w:t>
            </w:r>
            <w:r>
              <w:rPr>
                <w:rFonts w:hint="eastAsia"/>
                <w:color w:val="000000"/>
                <w:sz w:val="21"/>
                <w:szCs w:val="21"/>
              </w:rPr>
              <w:t>油</w:t>
            </w:r>
            <w:r>
              <w:rPr>
                <w:rFonts w:hint="eastAsia"/>
                <w:color w:val="000000"/>
                <w:sz w:val="21"/>
                <w:szCs w:val="21"/>
                <w:lang w:val="en-US" w:eastAsia="zh-CN"/>
              </w:rPr>
              <w:t>桶</w:t>
            </w:r>
          </w:p>
        </w:tc>
        <w:tc>
          <w:tcPr>
            <w:tcW w:w="616" w:type="pct"/>
            <w:tcBorders>
              <w:top w:val="single" w:color="auto" w:sz="4" w:space="0"/>
              <w:bottom w:val="single" w:color="auto" w:sz="4" w:space="0"/>
            </w:tcBorders>
            <w:noWrap w:val="0"/>
            <w:vAlign w:val="center"/>
          </w:tcPr>
          <w:p>
            <w:pPr>
              <w:jc w:val="center"/>
              <w:rPr>
                <w:rFonts w:hint="default" w:eastAsia="宋体"/>
                <w:snapToGrid w:val="0"/>
                <w:color w:val="000000"/>
                <w:kern w:val="21"/>
                <w:sz w:val="21"/>
                <w:szCs w:val="21"/>
                <w:lang w:val="en-US" w:eastAsia="zh-CN"/>
              </w:rPr>
            </w:pPr>
            <w:r>
              <w:rPr>
                <w:rFonts w:hint="eastAsia"/>
                <w:snapToGrid w:val="0"/>
                <w:color w:val="000000"/>
                <w:kern w:val="21"/>
                <w:sz w:val="21"/>
                <w:szCs w:val="21"/>
                <w:lang w:val="en-US" w:eastAsia="zh-CN"/>
              </w:rPr>
              <w:t>1.5</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0.2</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w:t>
            </w:r>
            <w:r>
              <w:rPr>
                <w:rFonts w:hint="eastAsia" w:ascii="Times New Roman" w:hAnsi="Times New Roman" w:eastAsia="宋体" w:cs="Times New Roman"/>
                <w:color w:val="000000"/>
                <w:kern w:val="0"/>
                <w:sz w:val="21"/>
                <w:szCs w:val="21"/>
                <w:lang w:val="en-US" w:eastAsia="zh-CN"/>
              </w:rPr>
              <w:t>.7</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bidi="ar"/>
              </w:rPr>
              <w:t>+</w:t>
            </w:r>
            <w:r>
              <w:rPr>
                <w:rFonts w:hint="eastAsia"/>
                <w:color w:val="000000"/>
                <w:kern w:val="0"/>
                <w:sz w:val="21"/>
                <w:szCs w:val="21"/>
                <w:lang w:val="en-US" w:eastAsia="zh-CN" w:bidi="ar"/>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eastAsia" w:eastAsia="宋体"/>
                <w:color w:val="000000"/>
                <w:sz w:val="21"/>
                <w:szCs w:val="21"/>
                <w:lang w:val="en-US" w:eastAsia="zh-CN"/>
              </w:rPr>
            </w:pPr>
            <w:r>
              <w:rPr>
                <w:rFonts w:hint="eastAsia"/>
                <w:color w:val="000000"/>
                <w:sz w:val="21"/>
                <w:szCs w:val="21"/>
              </w:rPr>
              <w:t>废</w:t>
            </w:r>
            <w:r>
              <w:rPr>
                <w:rFonts w:hint="eastAsia"/>
                <w:color w:val="000000"/>
                <w:sz w:val="21"/>
                <w:szCs w:val="21"/>
                <w:lang w:val="en-US" w:eastAsia="zh-CN"/>
              </w:rPr>
              <w:t>活性炭</w:t>
            </w:r>
          </w:p>
        </w:tc>
        <w:tc>
          <w:tcPr>
            <w:tcW w:w="616" w:type="pct"/>
            <w:tcBorders>
              <w:top w:val="single" w:color="auto" w:sz="4" w:space="0"/>
              <w:bottom w:val="single" w:color="auto" w:sz="4" w:space="0"/>
            </w:tcBorders>
            <w:noWrap w:val="0"/>
            <w:vAlign w:val="center"/>
          </w:tcPr>
          <w:p>
            <w:pPr>
              <w:jc w:val="center"/>
              <w:rPr>
                <w:rFonts w:hint="default" w:eastAsia="宋体"/>
                <w:snapToGrid w:val="0"/>
                <w:color w:val="000000"/>
                <w:kern w:val="21"/>
                <w:sz w:val="21"/>
                <w:szCs w:val="21"/>
                <w:lang w:val="en-US" w:eastAsia="zh-CN"/>
              </w:rPr>
            </w:pPr>
            <w:r>
              <w:rPr>
                <w:rFonts w:hint="eastAsia"/>
                <w:snapToGrid w:val="0"/>
                <w:color w:val="000000"/>
                <w:kern w:val="21"/>
                <w:sz w:val="21"/>
                <w:szCs w:val="21"/>
                <w:lang w:val="en-US" w:eastAsia="zh-CN"/>
              </w:rPr>
              <w:t>0.2</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0.0</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0.2</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bidi="ar"/>
              </w:rPr>
              <w:t>+</w:t>
            </w:r>
            <w:r>
              <w:rPr>
                <w:rFonts w:hint="eastAsia"/>
                <w:color w:val="000000"/>
                <w:kern w:val="0"/>
                <w:sz w:val="21"/>
                <w:szCs w:val="21"/>
                <w:lang w:val="en-US" w:eastAsia="zh-CN" w:bidi="ar"/>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废油墨瓶</w:t>
            </w:r>
          </w:p>
        </w:tc>
        <w:tc>
          <w:tcPr>
            <w:tcW w:w="616" w:type="pct"/>
            <w:tcBorders>
              <w:top w:val="single" w:color="auto" w:sz="4" w:space="0"/>
              <w:bottom w:val="single" w:color="auto" w:sz="4" w:space="0"/>
            </w:tcBorders>
            <w:noWrap w:val="0"/>
            <w:vAlign w:val="center"/>
          </w:tcPr>
          <w:p>
            <w:pPr>
              <w:widowControl/>
              <w:jc w:val="center"/>
              <w:textAlignment w:val="center"/>
              <w:rPr>
                <w:rFonts w:hint="default" w:eastAsia="宋体"/>
                <w:snapToGrid w:val="0"/>
                <w:color w:val="000000"/>
                <w:kern w:val="21"/>
                <w:sz w:val="21"/>
                <w:szCs w:val="21"/>
                <w:lang w:val="en-US" w:eastAsia="zh-CN"/>
              </w:rPr>
            </w:pPr>
            <w:r>
              <w:rPr>
                <w:rFonts w:hint="eastAsia" w:eastAsia="宋体"/>
                <w:snapToGrid w:val="0"/>
                <w:color w:val="000000"/>
                <w:kern w:val="21"/>
                <w:sz w:val="21"/>
                <w:szCs w:val="21"/>
                <w:lang w:val="en-US" w:eastAsia="zh-CN"/>
              </w:rPr>
              <w:t>0.001</w:t>
            </w:r>
          </w:p>
        </w:tc>
        <w:tc>
          <w:tcPr>
            <w:tcW w:w="462" w:type="pct"/>
            <w:tcBorders>
              <w:top w:val="single" w:color="auto" w:sz="4" w:space="0"/>
              <w:bottom w:val="single" w:color="auto" w:sz="4" w:space="0"/>
            </w:tcBorders>
            <w:noWrap w:val="0"/>
            <w:vAlign w:val="center"/>
          </w:tcPr>
          <w:p>
            <w:pPr>
              <w:widowControl/>
              <w:jc w:val="center"/>
              <w:textAlignment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jc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eastAsia="宋体"/>
                <w:color w:val="000000"/>
                <w:kern w:val="0"/>
                <w:sz w:val="21"/>
                <w:szCs w:val="21"/>
                <w:lang w:val="en-US" w:eastAsia="zh-CN" w:bidi="ar"/>
              </w:rPr>
              <w:t>0.0</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0.001</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bidi="ar"/>
              </w:rPr>
              <w:t>+</w:t>
            </w:r>
            <w:r>
              <w:rPr>
                <w:rFonts w:hint="eastAsia"/>
                <w:color w:val="000000"/>
                <w:kern w:val="0"/>
                <w:sz w:val="21"/>
                <w:szCs w:val="21"/>
                <w:lang w:val="en-US" w:eastAsia="zh-CN" w:bidi="ar"/>
              </w:rPr>
              <w:t>0</w:t>
            </w:r>
            <w:r>
              <w:rPr>
                <w:rFonts w:hint="eastAsia"/>
                <w:color w:val="000000"/>
                <w:kern w:val="0"/>
                <w:sz w:val="21"/>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废试剂瓶</w:t>
            </w:r>
          </w:p>
        </w:tc>
        <w:tc>
          <w:tcPr>
            <w:tcW w:w="616" w:type="pct"/>
            <w:tcBorders>
              <w:top w:val="single" w:color="auto" w:sz="4" w:space="0"/>
              <w:bottom w:val="single" w:color="auto" w:sz="4" w:space="0"/>
            </w:tcBorders>
            <w:noWrap w:val="0"/>
            <w:vAlign w:val="center"/>
          </w:tcPr>
          <w:p>
            <w:pPr>
              <w:widowControl/>
              <w:jc w:val="center"/>
              <w:textAlignment w:val="center"/>
              <w:rPr>
                <w:rFonts w:hint="default" w:eastAsia="宋体"/>
                <w:snapToGrid w:val="0"/>
                <w:color w:val="000000"/>
                <w:kern w:val="21"/>
                <w:sz w:val="21"/>
                <w:szCs w:val="21"/>
                <w:lang w:val="en-US" w:eastAsia="zh-CN"/>
              </w:rPr>
            </w:pPr>
            <w:r>
              <w:rPr>
                <w:rFonts w:hint="eastAsia"/>
                <w:snapToGrid w:val="0"/>
                <w:color w:val="000000"/>
                <w:kern w:val="21"/>
                <w:sz w:val="21"/>
                <w:szCs w:val="21"/>
                <w:lang w:val="en-US" w:eastAsia="zh-CN"/>
              </w:rPr>
              <w:t>0.001</w:t>
            </w:r>
          </w:p>
        </w:tc>
        <w:tc>
          <w:tcPr>
            <w:tcW w:w="462" w:type="pct"/>
            <w:tcBorders>
              <w:top w:val="single" w:color="auto" w:sz="4" w:space="0"/>
              <w:bottom w:val="single" w:color="auto" w:sz="4" w:space="0"/>
            </w:tcBorders>
            <w:noWrap w:val="0"/>
            <w:vAlign w:val="center"/>
          </w:tcPr>
          <w:p>
            <w:pPr>
              <w:widowControl/>
              <w:jc w:val="center"/>
              <w:textAlignment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jc w:val="center"/>
              <w:rPr>
                <w:snapToGrid w:val="0"/>
                <w:color w:val="000000"/>
                <w:kern w:val="21"/>
                <w:sz w:val="21"/>
                <w:szCs w:val="21"/>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val="en-US" w:eastAsia="zh-CN" w:bidi="ar"/>
              </w:rPr>
            </w:pPr>
            <w:r>
              <w:rPr>
                <w:rFonts w:hint="eastAsia" w:eastAsia="宋体"/>
                <w:color w:val="000000"/>
                <w:kern w:val="0"/>
                <w:sz w:val="21"/>
                <w:szCs w:val="21"/>
                <w:lang w:val="en-US" w:eastAsia="zh-CN" w:bidi="ar"/>
              </w:rPr>
              <w:t>0.0</w:t>
            </w:r>
          </w:p>
        </w:tc>
        <w:tc>
          <w:tcPr>
            <w:tcW w:w="638" w:type="pct"/>
            <w:tcBorders>
              <w:top w:val="single" w:color="auto" w:sz="4" w:space="0"/>
              <w:bottom w:val="single" w:color="auto" w:sz="4" w:space="0"/>
            </w:tcBorders>
            <w:noWrap w:val="0"/>
            <w:vAlign w:val="center"/>
          </w:tcPr>
          <w:p>
            <w:pPr>
              <w:widowControl/>
              <w:jc w:val="center"/>
              <w:textAlignment w:val="center"/>
              <w:rPr>
                <w:snapToGrid w:val="0"/>
                <w:color w:val="000000"/>
                <w:kern w:val="21"/>
                <w:sz w:val="21"/>
                <w:szCs w:val="21"/>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0.001</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w:t>
            </w:r>
            <w:r>
              <w:rPr>
                <w:rFonts w:hint="eastAsia"/>
                <w:color w:val="000000"/>
                <w:kern w:val="0"/>
                <w:sz w:val="21"/>
                <w:szCs w:val="21"/>
                <w:lang w:val="en-US" w:eastAsia="zh-CN" w:bidi="ar"/>
              </w:rPr>
              <w:t>0</w:t>
            </w:r>
            <w:r>
              <w:rPr>
                <w:rFonts w:hint="eastAsia"/>
                <w:color w:val="000000"/>
                <w:kern w:val="0"/>
                <w:sz w:val="21"/>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eastAsia" w:eastAsia="宋体"/>
                <w:color w:val="000000"/>
                <w:sz w:val="21"/>
                <w:szCs w:val="21"/>
                <w:lang w:val="en-US" w:eastAsia="zh-CN"/>
              </w:rPr>
            </w:pPr>
            <w:r>
              <w:rPr>
                <w:rFonts w:hint="eastAsia"/>
                <w:color w:val="000000"/>
                <w:sz w:val="21"/>
                <w:szCs w:val="21"/>
                <w:lang w:val="en-US" w:eastAsia="zh-CN"/>
              </w:rPr>
              <w:t>废液</w:t>
            </w:r>
          </w:p>
        </w:tc>
        <w:tc>
          <w:tcPr>
            <w:tcW w:w="616" w:type="pct"/>
            <w:tcBorders>
              <w:top w:val="single" w:color="auto" w:sz="4" w:space="0"/>
              <w:bottom w:val="single" w:color="auto" w:sz="4" w:space="0"/>
            </w:tcBorders>
            <w:noWrap w:val="0"/>
            <w:vAlign w:val="center"/>
          </w:tcPr>
          <w:p>
            <w:pPr>
              <w:widowControl/>
              <w:jc w:val="center"/>
              <w:textAlignment w:val="center"/>
              <w:rPr>
                <w:rFonts w:hint="default" w:eastAsia="宋体"/>
                <w:snapToGrid w:val="0"/>
                <w:color w:val="000000"/>
                <w:kern w:val="21"/>
                <w:sz w:val="21"/>
                <w:szCs w:val="21"/>
                <w:lang w:val="en-US" w:eastAsia="zh-CN"/>
              </w:rPr>
            </w:pPr>
            <w:r>
              <w:rPr>
                <w:rFonts w:hint="eastAsia"/>
                <w:snapToGrid w:val="0"/>
                <w:color w:val="000000"/>
                <w:kern w:val="21"/>
                <w:sz w:val="21"/>
                <w:szCs w:val="21"/>
                <w:lang w:val="en-US" w:eastAsia="zh-CN"/>
              </w:rPr>
              <w:t>0.1</w:t>
            </w:r>
          </w:p>
        </w:tc>
        <w:tc>
          <w:tcPr>
            <w:tcW w:w="462" w:type="pct"/>
            <w:tcBorders>
              <w:top w:val="single" w:color="auto" w:sz="4" w:space="0"/>
              <w:bottom w:val="single" w:color="auto" w:sz="4" w:space="0"/>
            </w:tcBorders>
            <w:noWrap w:val="0"/>
            <w:vAlign w:val="center"/>
          </w:tcPr>
          <w:p>
            <w:pPr>
              <w:widowControl/>
              <w:jc w:val="center"/>
              <w:textAlignment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jc w:val="center"/>
              <w:rPr>
                <w:snapToGrid w:val="0"/>
                <w:color w:val="000000"/>
                <w:kern w:val="21"/>
                <w:sz w:val="21"/>
                <w:szCs w:val="21"/>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val="en-US" w:eastAsia="zh-CN" w:bidi="ar"/>
              </w:rPr>
            </w:pPr>
            <w:r>
              <w:rPr>
                <w:rFonts w:hint="eastAsia" w:eastAsia="宋体"/>
                <w:color w:val="000000"/>
                <w:kern w:val="0"/>
                <w:sz w:val="21"/>
                <w:szCs w:val="21"/>
                <w:lang w:val="en-US" w:eastAsia="zh-CN" w:bidi="ar"/>
              </w:rPr>
              <w:t>0.0</w:t>
            </w:r>
          </w:p>
        </w:tc>
        <w:tc>
          <w:tcPr>
            <w:tcW w:w="638" w:type="pct"/>
            <w:tcBorders>
              <w:top w:val="single" w:color="auto" w:sz="4" w:space="0"/>
              <w:bottom w:val="single" w:color="auto" w:sz="4" w:space="0"/>
            </w:tcBorders>
            <w:noWrap w:val="0"/>
            <w:vAlign w:val="center"/>
          </w:tcPr>
          <w:p>
            <w:pPr>
              <w:widowControl/>
              <w:jc w:val="center"/>
              <w:textAlignment w:val="center"/>
              <w:rPr>
                <w:snapToGrid w:val="0"/>
                <w:color w:val="000000"/>
                <w:kern w:val="21"/>
                <w:sz w:val="21"/>
                <w:szCs w:val="21"/>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w:t>
            </w:r>
            <w:r>
              <w:rPr>
                <w:rFonts w:hint="eastAsia" w:ascii="Times New Roman" w:hAnsi="Times New Roman" w:eastAsia="宋体" w:cs="Times New Roman"/>
                <w:color w:val="000000"/>
                <w:kern w:val="0"/>
                <w:sz w:val="21"/>
                <w:szCs w:val="21"/>
                <w:lang w:val="en-US" w:eastAsia="zh-CN"/>
              </w:rPr>
              <w:t>1</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w:t>
            </w:r>
            <w:r>
              <w:rPr>
                <w:rFonts w:hint="eastAsia"/>
                <w:color w:val="000000"/>
                <w:kern w:val="0"/>
                <w:sz w:val="21"/>
                <w:szCs w:val="21"/>
                <w:lang w:val="en-US" w:eastAsia="zh-CN" w:bidi="ar"/>
              </w:rPr>
              <w:t>0</w:t>
            </w:r>
            <w:r>
              <w:rPr>
                <w:rFonts w:hint="eastAsia"/>
                <w:color w:val="000000"/>
                <w:kern w:val="0"/>
                <w:sz w:val="21"/>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default"/>
                <w:color w:val="000000"/>
                <w:sz w:val="21"/>
                <w:szCs w:val="21"/>
                <w:lang w:val="en-US" w:eastAsia="zh-CN"/>
              </w:rPr>
            </w:pPr>
            <w:r>
              <w:rPr>
                <w:rFonts w:hint="eastAsia"/>
                <w:color w:val="000000"/>
                <w:sz w:val="21"/>
                <w:szCs w:val="21"/>
                <w:lang w:val="en-US" w:eastAsia="zh-CN"/>
              </w:rPr>
              <w:t>废油漆桶</w:t>
            </w:r>
          </w:p>
        </w:tc>
        <w:tc>
          <w:tcPr>
            <w:tcW w:w="616" w:type="pct"/>
            <w:tcBorders>
              <w:top w:val="single" w:color="auto" w:sz="4" w:space="0"/>
              <w:bottom w:val="single" w:color="auto" w:sz="4" w:space="0"/>
            </w:tcBorders>
            <w:noWrap w:val="0"/>
            <w:vAlign w:val="center"/>
          </w:tcPr>
          <w:p>
            <w:pPr>
              <w:widowControl/>
              <w:jc w:val="center"/>
              <w:textAlignment w:val="center"/>
              <w:rPr>
                <w:rFonts w:hint="default" w:eastAsia="宋体"/>
                <w:snapToGrid w:val="0"/>
                <w:color w:val="000000"/>
                <w:kern w:val="21"/>
                <w:sz w:val="21"/>
                <w:szCs w:val="21"/>
                <w:lang w:val="en-US" w:eastAsia="zh-CN"/>
              </w:rPr>
            </w:pPr>
            <w:r>
              <w:rPr>
                <w:rFonts w:hint="eastAsia"/>
                <w:snapToGrid w:val="0"/>
                <w:color w:val="000000"/>
                <w:kern w:val="21"/>
                <w:sz w:val="21"/>
                <w:szCs w:val="21"/>
                <w:lang w:val="en-US" w:eastAsia="zh-CN"/>
              </w:rPr>
              <w:t>1.5</w:t>
            </w:r>
          </w:p>
        </w:tc>
        <w:tc>
          <w:tcPr>
            <w:tcW w:w="462" w:type="pct"/>
            <w:tcBorders>
              <w:top w:val="single" w:color="auto" w:sz="4" w:space="0"/>
              <w:bottom w:val="single" w:color="auto" w:sz="4" w:space="0"/>
            </w:tcBorders>
            <w:noWrap w:val="0"/>
            <w:vAlign w:val="center"/>
          </w:tcPr>
          <w:p>
            <w:pPr>
              <w:widowControl/>
              <w:jc w:val="center"/>
              <w:textAlignment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jc w:val="center"/>
              <w:rPr>
                <w:snapToGrid w:val="0"/>
                <w:color w:val="000000"/>
                <w:kern w:val="21"/>
                <w:sz w:val="21"/>
                <w:szCs w:val="21"/>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val="en-US" w:eastAsia="zh-CN" w:bidi="ar"/>
              </w:rPr>
            </w:pPr>
            <w:r>
              <w:rPr>
                <w:rFonts w:hint="eastAsia" w:eastAsia="宋体"/>
                <w:color w:val="000000"/>
                <w:kern w:val="0"/>
                <w:sz w:val="21"/>
                <w:szCs w:val="21"/>
                <w:lang w:val="en-US" w:eastAsia="zh-CN" w:bidi="ar"/>
              </w:rPr>
              <w:t>0.0</w:t>
            </w:r>
          </w:p>
        </w:tc>
        <w:tc>
          <w:tcPr>
            <w:tcW w:w="638" w:type="pct"/>
            <w:tcBorders>
              <w:top w:val="single" w:color="auto" w:sz="4" w:space="0"/>
              <w:bottom w:val="single" w:color="auto" w:sz="4" w:space="0"/>
            </w:tcBorders>
            <w:noWrap w:val="0"/>
            <w:vAlign w:val="center"/>
          </w:tcPr>
          <w:p>
            <w:pPr>
              <w:widowControl/>
              <w:jc w:val="center"/>
              <w:textAlignment w:val="center"/>
              <w:rPr>
                <w:snapToGrid w:val="0"/>
                <w:color w:val="000000"/>
                <w:kern w:val="21"/>
                <w:sz w:val="21"/>
                <w:szCs w:val="21"/>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1.5</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w:t>
            </w:r>
            <w:r>
              <w:rPr>
                <w:rFonts w:hint="eastAsia"/>
                <w:color w:val="000000"/>
                <w:kern w:val="0"/>
                <w:sz w:val="21"/>
                <w:szCs w:val="21"/>
                <w:lang w:val="en-US" w:eastAsia="zh-CN" w:bidi="ar"/>
              </w:rPr>
              <w:t>0</w:t>
            </w:r>
            <w:r>
              <w:rPr>
                <w:rFonts w:hint="eastAsia"/>
                <w:color w:val="000000"/>
                <w:kern w:val="0"/>
                <w:sz w:val="21"/>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color w:val="000000"/>
                <w:sz w:val="21"/>
                <w:szCs w:val="21"/>
              </w:rPr>
            </w:pPr>
            <w:r>
              <w:rPr>
                <w:rFonts w:hint="eastAsia"/>
                <w:color w:val="000000"/>
                <w:sz w:val="21"/>
                <w:szCs w:val="21"/>
                <w:lang w:val="en-US" w:eastAsia="zh-CN"/>
              </w:rPr>
              <w:t>餐厨</w:t>
            </w:r>
            <w:r>
              <w:rPr>
                <w:rFonts w:hint="eastAsia"/>
                <w:color w:val="000000"/>
                <w:sz w:val="21"/>
                <w:szCs w:val="21"/>
              </w:rPr>
              <w:t>垃圾</w:t>
            </w:r>
          </w:p>
        </w:tc>
        <w:tc>
          <w:tcPr>
            <w:tcW w:w="616" w:type="pct"/>
            <w:tcBorders>
              <w:top w:val="single" w:color="auto" w:sz="4" w:space="0"/>
              <w:bottom w:val="single" w:color="auto" w:sz="4" w:space="0"/>
            </w:tcBorders>
            <w:noWrap w:val="0"/>
            <w:vAlign w:val="center"/>
          </w:tcPr>
          <w:p>
            <w:pPr>
              <w:widowControl/>
              <w:jc w:val="center"/>
              <w:textAlignment w:val="center"/>
              <w:rPr>
                <w:rFonts w:hint="default" w:eastAsia="宋体"/>
                <w:snapToGrid w:val="0"/>
                <w:color w:val="000000"/>
                <w:kern w:val="21"/>
                <w:sz w:val="21"/>
                <w:szCs w:val="21"/>
                <w:lang w:val="en-US" w:eastAsia="zh-CN"/>
              </w:rPr>
            </w:pPr>
            <w:r>
              <w:rPr>
                <w:rFonts w:hint="eastAsia"/>
                <w:snapToGrid w:val="0"/>
                <w:color w:val="000000"/>
                <w:kern w:val="21"/>
                <w:sz w:val="21"/>
                <w:szCs w:val="21"/>
                <w:lang w:val="en-US" w:eastAsia="zh-CN"/>
              </w:rPr>
              <w:t>1.79</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0.27</w:t>
            </w:r>
          </w:p>
        </w:tc>
        <w:tc>
          <w:tcPr>
            <w:tcW w:w="638" w:type="pct"/>
            <w:tcBorders>
              <w:top w:val="single" w:color="auto" w:sz="4" w:space="0"/>
              <w:bottom w:val="single" w:color="auto" w:sz="4" w:space="0"/>
            </w:tcBorders>
            <w:noWrap w:val="0"/>
            <w:vAlign w:val="center"/>
          </w:tcPr>
          <w:p>
            <w:pPr>
              <w:jc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2.06</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bidi="ar"/>
              </w:rPr>
              <w:t>+</w:t>
            </w:r>
            <w:r>
              <w:rPr>
                <w:rFonts w:hint="eastAsia"/>
                <w:color w:val="000000"/>
                <w:kern w:val="0"/>
                <w:sz w:val="21"/>
                <w:szCs w:val="21"/>
                <w:lang w:val="en-US" w:eastAsia="zh-CN" w:bidi="ar"/>
              </w:rPr>
              <w:t>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5" w:type="pct"/>
            <w:vMerge w:val="continue"/>
            <w:tcBorders>
              <w:left w:val="single" w:color="auto" w:sz="12" w:space="0"/>
            </w:tcBorders>
            <w:noWrap w:val="0"/>
            <w:vAlign w:val="center"/>
          </w:tcPr>
          <w:p>
            <w:pPr>
              <w:pStyle w:val="45"/>
              <w:spacing w:beforeLines="0" w:afterLines="0" w:line="240" w:lineRule="auto"/>
              <w:rPr>
                <w:rFonts w:ascii="Times New Roman"/>
                <w:b/>
                <w:snapToGrid w:val="0"/>
                <w:color w:val="000000"/>
                <w:kern w:val="21"/>
                <w:sz w:val="21"/>
                <w:szCs w:val="21"/>
              </w:rPr>
            </w:pPr>
          </w:p>
        </w:tc>
        <w:tc>
          <w:tcPr>
            <w:tcW w:w="693" w:type="pct"/>
            <w:tcBorders>
              <w:top w:val="single" w:color="auto" w:sz="4" w:space="0"/>
              <w:bottom w:val="single" w:color="auto" w:sz="4" w:space="0"/>
            </w:tcBorders>
            <w:noWrap w:val="0"/>
            <w:vAlign w:val="center"/>
          </w:tcPr>
          <w:p>
            <w:pPr>
              <w:widowControl/>
              <w:adjustRightInd w:val="0"/>
              <w:snapToGrid w:val="0"/>
              <w:jc w:val="center"/>
              <w:rPr>
                <w:rFonts w:hint="eastAsia"/>
                <w:color w:val="000000"/>
                <w:sz w:val="21"/>
                <w:szCs w:val="21"/>
              </w:rPr>
            </w:pPr>
            <w:r>
              <w:rPr>
                <w:rFonts w:hint="eastAsia"/>
                <w:color w:val="000000"/>
                <w:kern w:val="0"/>
                <w:sz w:val="21"/>
                <w:szCs w:val="21"/>
              </w:rPr>
              <w:t>生活垃圾</w:t>
            </w:r>
          </w:p>
        </w:tc>
        <w:tc>
          <w:tcPr>
            <w:tcW w:w="616" w:type="pct"/>
            <w:tcBorders>
              <w:top w:val="single" w:color="auto" w:sz="4" w:space="0"/>
              <w:bottom w:val="single" w:color="auto" w:sz="4"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17.85</w:t>
            </w:r>
          </w:p>
        </w:tc>
        <w:tc>
          <w:tcPr>
            <w:tcW w:w="462" w:type="pct"/>
            <w:tcBorders>
              <w:top w:val="single" w:color="auto" w:sz="4" w:space="0"/>
              <w:bottom w:val="single" w:color="auto" w:sz="4" w:space="0"/>
            </w:tcBorders>
            <w:noWrap w:val="0"/>
            <w:vAlign w:val="center"/>
          </w:tcPr>
          <w:p>
            <w:pPr>
              <w:jc w:val="center"/>
              <w:rPr>
                <w:snapToGrid w:val="0"/>
                <w:color w:val="000000"/>
                <w:kern w:val="21"/>
                <w:sz w:val="21"/>
                <w:szCs w:val="21"/>
              </w:rPr>
            </w:pPr>
            <w:r>
              <w:rPr>
                <w:snapToGrid w:val="0"/>
                <w:color w:val="000000"/>
                <w:kern w:val="21"/>
                <w:sz w:val="21"/>
                <w:szCs w:val="21"/>
              </w:rPr>
              <w:t>0</w:t>
            </w:r>
          </w:p>
        </w:tc>
        <w:tc>
          <w:tcPr>
            <w:tcW w:w="616"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65" w:type="pct"/>
            <w:tcBorders>
              <w:top w:val="single" w:color="auto" w:sz="4" w:space="0"/>
              <w:bottom w:val="single" w:color="auto" w:sz="4" w:space="0"/>
            </w:tcBorders>
            <w:noWrap w:val="0"/>
            <w:vAlign w:val="center"/>
          </w:tcPr>
          <w:p>
            <w:pPr>
              <w:widowControl/>
              <w:jc w:val="center"/>
              <w:textAlignment w:val="center"/>
              <w:rPr>
                <w:color w:val="000000"/>
                <w:kern w:val="0"/>
                <w:sz w:val="21"/>
                <w:szCs w:val="21"/>
                <w:lang w:bidi="ar"/>
              </w:rPr>
            </w:pPr>
            <w:r>
              <w:rPr>
                <w:rFonts w:hint="eastAsia"/>
                <w:color w:val="000000"/>
                <w:kern w:val="0"/>
                <w:sz w:val="21"/>
                <w:szCs w:val="21"/>
                <w:lang w:val="en-US" w:eastAsia="zh-CN" w:bidi="ar"/>
              </w:rPr>
              <w:t>1.</w:t>
            </w:r>
            <w:r>
              <w:rPr>
                <w:rFonts w:hint="eastAsia"/>
                <w:color w:val="000000"/>
                <w:kern w:val="0"/>
                <w:sz w:val="21"/>
                <w:szCs w:val="21"/>
                <w:lang w:bidi="ar"/>
              </w:rPr>
              <w:t>35</w:t>
            </w:r>
          </w:p>
        </w:tc>
        <w:tc>
          <w:tcPr>
            <w:tcW w:w="638" w:type="pct"/>
            <w:tcBorders>
              <w:top w:val="single" w:color="auto" w:sz="4" w:space="0"/>
              <w:bottom w:val="single" w:color="auto" w:sz="4" w:space="0"/>
            </w:tcBorders>
            <w:noWrap w:val="0"/>
            <w:vAlign w:val="center"/>
          </w:tcPr>
          <w:p>
            <w:pPr>
              <w:widowControl/>
              <w:jc w:val="center"/>
              <w:textAlignment w:val="center"/>
              <w:rPr>
                <w:rFonts w:hint="eastAsia"/>
                <w:color w:val="000000"/>
                <w:kern w:val="0"/>
                <w:sz w:val="21"/>
                <w:szCs w:val="21"/>
                <w:lang w:bidi="ar"/>
              </w:rPr>
            </w:pPr>
            <w:r>
              <w:rPr>
                <w:rFonts w:hint="eastAsia"/>
                <w:color w:val="000000"/>
                <w:kern w:val="0"/>
                <w:sz w:val="21"/>
                <w:szCs w:val="21"/>
                <w:lang w:bidi="ar"/>
              </w:rPr>
              <w:t>0</w:t>
            </w:r>
          </w:p>
        </w:tc>
        <w:tc>
          <w:tcPr>
            <w:tcW w:w="594" w:type="pct"/>
            <w:tcBorders>
              <w:top w:val="single" w:color="auto" w:sz="4" w:space="0"/>
              <w:bottom w:val="single" w:color="auto" w:sz="4" w:space="0"/>
            </w:tcBorders>
            <w:noWrap w:val="0"/>
            <w:vAlign w:val="center"/>
          </w:tcPr>
          <w:p>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19.2</w:t>
            </w:r>
          </w:p>
        </w:tc>
        <w:tc>
          <w:tcPr>
            <w:tcW w:w="415" w:type="pct"/>
            <w:tcBorders>
              <w:top w:val="single" w:color="auto" w:sz="4" w:space="0"/>
              <w:bottom w:val="single" w:color="auto" w:sz="4" w:space="0"/>
              <w:right w:val="single" w:color="auto" w:sz="12" w:space="0"/>
            </w:tcBorders>
            <w:noWrap w:val="0"/>
            <w:vAlign w:val="center"/>
          </w:tcPr>
          <w:p>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bidi="ar"/>
              </w:rPr>
              <w:t>+</w:t>
            </w:r>
            <w:r>
              <w:rPr>
                <w:rFonts w:hint="eastAsia"/>
                <w:color w:val="000000"/>
                <w:kern w:val="0"/>
                <w:sz w:val="21"/>
                <w:szCs w:val="21"/>
                <w:lang w:val="en-US" w:eastAsia="zh-CN" w:bidi="ar"/>
              </w:rPr>
              <w:t>1</w:t>
            </w:r>
            <w:r>
              <w:rPr>
                <w:rFonts w:hint="eastAsia"/>
                <w:color w:val="000000"/>
                <w:kern w:val="0"/>
                <w:sz w:val="21"/>
                <w:szCs w:val="21"/>
                <w:lang w:bidi="ar"/>
              </w:rPr>
              <w:t>.</w:t>
            </w:r>
            <w:r>
              <w:rPr>
                <w:rFonts w:hint="eastAsia"/>
                <w:color w:val="000000"/>
                <w:kern w:val="0"/>
                <w:sz w:val="21"/>
                <w:szCs w:val="21"/>
                <w:lang w:val="en-US" w:eastAsia="zh-CN" w:bidi="ar"/>
              </w:rPr>
              <w:t>35</w:t>
            </w:r>
          </w:p>
        </w:tc>
      </w:tr>
    </w:tbl>
    <w:p>
      <w:pPr>
        <w:rPr>
          <w:rFonts w:hint="default" w:ascii="Times New Roman" w:hAnsi="Times New Roman" w:eastAsia="宋体" w:cs="Times New Roman"/>
          <w:kern w:val="2"/>
          <w:sz w:val="24"/>
          <w:szCs w:val="24"/>
          <w:lang w:val="en-US" w:eastAsia="zh-CN" w:bidi="ar-SA"/>
        </w:rPr>
      </w:pPr>
      <w:r>
        <w:rPr>
          <w:b/>
          <w:bCs/>
          <w:sz w:val="18"/>
          <w:szCs w:val="18"/>
        </w:rPr>
        <w:t>注：</w:t>
      </w:r>
      <w:r>
        <w:rPr>
          <w:b/>
          <w:bCs/>
          <w:sz w:val="18"/>
          <w:szCs w:val="18"/>
        </w:rPr>
        <w:fldChar w:fldCharType="begin"/>
      </w:r>
      <w:r>
        <w:rPr>
          <w:b/>
          <w:bCs/>
          <w:sz w:val="18"/>
          <w:szCs w:val="18"/>
        </w:rPr>
        <w:instrText xml:space="preserve"> = 6 \* GB3 \* MERGEFORMAT </w:instrText>
      </w:r>
      <w:r>
        <w:rPr>
          <w:b/>
          <w:bCs/>
          <w:sz w:val="18"/>
          <w:szCs w:val="18"/>
        </w:rPr>
        <w:fldChar w:fldCharType="separate"/>
      </w:r>
      <w:r>
        <w:rPr>
          <w:b/>
          <w:bCs/>
          <w:sz w:val="18"/>
          <w:szCs w:val="18"/>
        </w:rPr>
        <w:t>⑥</w:t>
      </w:r>
      <w:r>
        <w:rPr>
          <w:b/>
          <w:bCs/>
          <w:sz w:val="18"/>
          <w:szCs w:val="18"/>
        </w:rPr>
        <w:fldChar w:fldCharType="end"/>
      </w:r>
      <w:r>
        <w:rPr>
          <w:b/>
          <w:bCs/>
          <w:sz w:val="18"/>
          <w:szCs w:val="18"/>
        </w:rPr>
        <w:t>=</w:t>
      </w:r>
      <w:r>
        <w:rPr>
          <w:b/>
          <w:bCs/>
          <w:sz w:val="18"/>
          <w:szCs w:val="18"/>
        </w:rPr>
        <w:fldChar w:fldCharType="begin"/>
      </w:r>
      <w:r>
        <w:rPr>
          <w:b/>
          <w:bCs/>
          <w:sz w:val="18"/>
          <w:szCs w:val="18"/>
        </w:rPr>
        <w:instrText xml:space="preserve"> = 1 \* GB3 \* MERGEFORMAT </w:instrText>
      </w:r>
      <w:r>
        <w:rPr>
          <w:b/>
          <w:bCs/>
          <w:sz w:val="18"/>
          <w:szCs w:val="18"/>
        </w:rPr>
        <w:fldChar w:fldCharType="separate"/>
      </w:r>
      <w:r>
        <w:rPr>
          <w:b/>
          <w:bCs/>
          <w:sz w:val="18"/>
          <w:szCs w:val="18"/>
        </w:rPr>
        <w:t>①</w:t>
      </w:r>
      <w:r>
        <w:rPr>
          <w:b/>
          <w:bCs/>
          <w:sz w:val="18"/>
          <w:szCs w:val="18"/>
        </w:rPr>
        <w:fldChar w:fldCharType="end"/>
      </w:r>
      <w:r>
        <w:rPr>
          <w:b/>
          <w:bCs/>
          <w:sz w:val="18"/>
          <w:szCs w:val="18"/>
        </w:rPr>
        <w:t>+</w:t>
      </w:r>
      <w:r>
        <w:rPr>
          <w:b/>
          <w:bCs/>
          <w:sz w:val="18"/>
          <w:szCs w:val="18"/>
        </w:rPr>
        <w:fldChar w:fldCharType="begin"/>
      </w:r>
      <w:r>
        <w:rPr>
          <w:b/>
          <w:bCs/>
          <w:sz w:val="18"/>
          <w:szCs w:val="18"/>
        </w:rPr>
        <w:instrText xml:space="preserve"> = 3 \* GB3 \* MERGEFORMAT </w:instrText>
      </w:r>
      <w:r>
        <w:rPr>
          <w:b/>
          <w:bCs/>
          <w:sz w:val="18"/>
          <w:szCs w:val="18"/>
        </w:rPr>
        <w:fldChar w:fldCharType="separate"/>
      </w:r>
      <w:r>
        <w:rPr>
          <w:b/>
          <w:bCs/>
          <w:sz w:val="18"/>
          <w:szCs w:val="18"/>
        </w:rPr>
        <w:t>③</w:t>
      </w:r>
      <w:r>
        <w:rPr>
          <w:b/>
          <w:bCs/>
          <w:sz w:val="18"/>
          <w:szCs w:val="18"/>
        </w:rPr>
        <w:fldChar w:fldCharType="end"/>
      </w:r>
      <w:r>
        <w:rPr>
          <w:b/>
          <w:bCs/>
          <w:sz w:val="18"/>
          <w:szCs w:val="18"/>
        </w:rPr>
        <w:t>+</w:t>
      </w:r>
      <w:r>
        <w:rPr>
          <w:b/>
          <w:bCs/>
          <w:sz w:val="18"/>
          <w:szCs w:val="18"/>
        </w:rPr>
        <w:fldChar w:fldCharType="begin"/>
      </w:r>
      <w:r>
        <w:rPr>
          <w:b/>
          <w:bCs/>
          <w:sz w:val="18"/>
          <w:szCs w:val="18"/>
        </w:rPr>
        <w:instrText xml:space="preserve"> = 4 \* GB3 \* MERGEFORMAT </w:instrText>
      </w:r>
      <w:r>
        <w:rPr>
          <w:b/>
          <w:bCs/>
          <w:sz w:val="18"/>
          <w:szCs w:val="18"/>
        </w:rPr>
        <w:fldChar w:fldCharType="separate"/>
      </w:r>
      <w:r>
        <w:rPr>
          <w:b/>
          <w:bCs/>
          <w:sz w:val="18"/>
          <w:szCs w:val="18"/>
        </w:rPr>
        <w:t>④</w:t>
      </w:r>
      <w:r>
        <w:rPr>
          <w:b/>
          <w:bCs/>
          <w:sz w:val="18"/>
          <w:szCs w:val="18"/>
        </w:rPr>
        <w:fldChar w:fldCharType="end"/>
      </w:r>
      <w:r>
        <w:rPr>
          <w:b/>
          <w:bCs/>
          <w:sz w:val="18"/>
          <w:szCs w:val="18"/>
        </w:rPr>
        <w:t>-</w:t>
      </w:r>
      <w:r>
        <w:rPr>
          <w:b/>
          <w:bCs/>
          <w:sz w:val="18"/>
          <w:szCs w:val="18"/>
        </w:rPr>
        <w:fldChar w:fldCharType="begin"/>
      </w:r>
      <w:r>
        <w:rPr>
          <w:b/>
          <w:bCs/>
          <w:sz w:val="18"/>
          <w:szCs w:val="18"/>
        </w:rPr>
        <w:instrText xml:space="preserve"> = 5 \* GB3 \* MERGEFORMAT </w:instrText>
      </w:r>
      <w:r>
        <w:rPr>
          <w:b/>
          <w:bCs/>
          <w:sz w:val="18"/>
          <w:szCs w:val="18"/>
        </w:rPr>
        <w:fldChar w:fldCharType="separate"/>
      </w:r>
      <w:r>
        <w:rPr>
          <w:b/>
          <w:bCs/>
          <w:sz w:val="18"/>
          <w:szCs w:val="18"/>
        </w:rPr>
        <w:t>⑤</w:t>
      </w:r>
      <w:r>
        <w:rPr>
          <w:b/>
          <w:bCs/>
          <w:sz w:val="18"/>
          <w:szCs w:val="18"/>
        </w:rPr>
        <w:fldChar w:fldCharType="end"/>
      </w:r>
      <w:r>
        <w:rPr>
          <w:b/>
          <w:bCs/>
          <w:sz w:val="18"/>
          <w:szCs w:val="18"/>
        </w:rPr>
        <w:t>；</w:t>
      </w:r>
      <w:r>
        <w:rPr>
          <w:b/>
          <w:bCs/>
          <w:sz w:val="18"/>
          <w:szCs w:val="18"/>
        </w:rPr>
        <w:fldChar w:fldCharType="begin"/>
      </w:r>
      <w:r>
        <w:rPr>
          <w:b/>
          <w:bCs/>
          <w:sz w:val="18"/>
          <w:szCs w:val="18"/>
        </w:rPr>
        <w:instrText xml:space="preserve"> = 7 \* GB3 \* MERGEFORMAT </w:instrText>
      </w:r>
      <w:r>
        <w:rPr>
          <w:b/>
          <w:bCs/>
          <w:sz w:val="18"/>
          <w:szCs w:val="18"/>
        </w:rPr>
        <w:fldChar w:fldCharType="separate"/>
      </w:r>
      <w:r>
        <w:rPr>
          <w:b/>
          <w:bCs/>
          <w:sz w:val="18"/>
          <w:szCs w:val="18"/>
        </w:rPr>
        <w:t>⑦</w:t>
      </w:r>
      <w:r>
        <w:rPr>
          <w:b/>
          <w:bCs/>
          <w:sz w:val="18"/>
          <w:szCs w:val="18"/>
        </w:rPr>
        <w:fldChar w:fldCharType="end"/>
      </w:r>
      <w:r>
        <w:rPr>
          <w:b/>
          <w:bCs/>
          <w:sz w:val="18"/>
          <w:szCs w:val="18"/>
        </w:rPr>
        <w:t>=</w:t>
      </w:r>
      <w:r>
        <w:rPr>
          <w:b/>
          <w:bCs/>
          <w:sz w:val="18"/>
          <w:szCs w:val="18"/>
        </w:rPr>
        <w:fldChar w:fldCharType="begin"/>
      </w:r>
      <w:r>
        <w:rPr>
          <w:b/>
          <w:bCs/>
          <w:sz w:val="18"/>
          <w:szCs w:val="18"/>
        </w:rPr>
        <w:instrText xml:space="preserve"> = 6 \* GB3 \* MERGEFORMAT </w:instrText>
      </w:r>
      <w:r>
        <w:rPr>
          <w:b/>
          <w:bCs/>
          <w:sz w:val="18"/>
          <w:szCs w:val="18"/>
        </w:rPr>
        <w:fldChar w:fldCharType="separate"/>
      </w:r>
      <w:r>
        <w:rPr>
          <w:b/>
          <w:bCs/>
          <w:sz w:val="18"/>
          <w:szCs w:val="18"/>
        </w:rPr>
        <w:t>⑥</w:t>
      </w:r>
      <w:r>
        <w:rPr>
          <w:b/>
          <w:bCs/>
          <w:sz w:val="18"/>
          <w:szCs w:val="18"/>
        </w:rPr>
        <w:fldChar w:fldCharType="end"/>
      </w:r>
      <w:r>
        <w:rPr>
          <w:b/>
          <w:bCs/>
          <w:sz w:val="18"/>
          <w:szCs w:val="18"/>
        </w:rPr>
        <w:t>-</w:t>
      </w:r>
      <w:r>
        <w:rPr>
          <w:b/>
          <w:bCs/>
          <w:sz w:val="18"/>
          <w:szCs w:val="18"/>
        </w:rPr>
        <w:fldChar w:fldCharType="begin"/>
      </w:r>
      <w:r>
        <w:rPr>
          <w:b/>
          <w:bCs/>
          <w:sz w:val="18"/>
          <w:szCs w:val="18"/>
        </w:rPr>
        <w:instrText xml:space="preserve"> = 1 \* GB3 \* MERGEFORMAT </w:instrText>
      </w:r>
      <w:r>
        <w:rPr>
          <w:b/>
          <w:bCs/>
          <w:sz w:val="18"/>
          <w:szCs w:val="18"/>
        </w:rPr>
        <w:fldChar w:fldCharType="separate"/>
      </w:r>
      <w:r>
        <w:rPr>
          <w:b/>
          <w:bCs/>
          <w:sz w:val="18"/>
          <w:szCs w:val="18"/>
        </w:rPr>
        <w:t>①</w:t>
      </w:r>
      <w:r>
        <w:rPr>
          <w:b/>
          <w:bCs/>
          <w:sz w:val="18"/>
          <w:szCs w:val="18"/>
        </w:rPr>
        <w:fldChar w:fldCharType="end"/>
      </w:r>
      <w:r>
        <w:rPr>
          <w:rFonts w:hint="eastAsia"/>
          <w:b/>
          <w:bCs/>
          <w:sz w:val="18"/>
          <w:szCs w:val="18"/>
          <w:lang w:eastAsia="zh-CN"/>
        </w:rPr>
        <w:t>，</w:t>
      </w:r>
      <w:r>
        <w:rPr>
          <w:b/>
          <w:bCs/>
          <w:sz w:val="18"/>
          <w:szCs w:val="18"/>
        </w:rPr>
        <w:t>单位：t/a</w:t>
      </w:r>
    </w:p>
    <w:sectPr>
      <w:pgSz w:w="16838" w:h="11906" w:orient="landscape"/>
      <w:pgMar w:top="1134" w:right="1134" w:bottom="1134" w:left="1134" w:header="567"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Noto Sans CJK JP Regular">
    <w:altName w:val="Segoe Print"/>
    <w:panose1 w:val="00000000000000000000"/>
    <w:charset w:val="00"/>
    <w:family w:val="swiss"/>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4"/>
      </w:rPr>
    </w:pPr>
    <w:r>
      <w:fldChar w:fldCharType="begin"/>
    </w:r>
    <w:r>
      <w:rPr>
        <w:rStyle w:val="24"/>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jc w:val="center"/>
      <w:rPr>
        <w:rFonts w:hint="default" w:eastAsia="宋体"/>
        <w:b w:val="0"/>
        <w:bCs w:val="0"/>
        <w:sz w:val="22"/>
        <w:szCs w:val="36"/>
        <w:lang w:val="en-US" w:eastAsia="zh-CN"/>
      </w:rPr>
    </w:pPr>
    <w:r>
      <w:rPr>
        <w:rFonts w:hint="eastAsia"/>
        <w:b w:val="0"/>
        <w:bCs w:val="0"/>
        <w:sz w:val="22"/>
        <w:szCs w:val="36"/>
        <w:lang w:val="en-US" w:eastAsia="zh-CN"/>
      </w:rPr>
      <w:t>今麦郎饮品（淮北）有限公司今麦郎软化纯净水生产线技术改造升级项目环境影响评价报告表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C17729"/>
    <w:multiLevelType w:val="singleLevel"/>
    <w:tmpl w:val="88C17729"/>
    <w:lvl w:ilvl="0" w:tentative="0">
      <w:start w:val="3"/>
      <w:numFmt w:val="decimal"/>
      <w:suff w:val="nothing"/>
      <w:lvlText w:val="%1、"/>
      <w:lvlJc w:val="left"/>
    </w:lvl>
  </w:abstractNum>
  <w:abstractNum w:abstractNumId="1">
    <w:nsid w:val="C147C14C"/>
    <w:multiLevelType w:val="singleLevel"/>
    <w:tmpl w:val="C147C14C"/>
    <w:lvl w:ilvl="0" w:tentative="0">
      <w:start w:val="1"/>
      <w:numFmt w:val="decimal"/>
      <w:suff w:val="nothing"/>
      <w:lvlText w:val="%1、"/>
      <w:lvlJc w:val="left"/>
    </w:lvl>
  </w:abstractNum>
  <w:abstractNum w:abstractNumId="2">
    <w:nsid w:val="D90AB2CF"/>
    <w:multiLevelType w:val="singleLevel"/>
    <w:tmpl w:val="D90AB2CF"/>
    <w:lvl w:ilvl="0" w:tentative="0">
      <w:start w:val="4"/>
      <w:numFmt w:val="decimal"/>
      <w:suff w:val="nothing"/>
      <w:lvlText w:val="（%1）"/>
      <w:lvlJc w:val="left"/>
    </w:lvl>
  </w:abstractNum>
  <w:abstractNum w:abstractNumId="3">
    <w:nsid w:val="E7D5E8F3"/>
    <w:multiLevelType w:val="singleLevel"/>
    <w:tmpl w:val="E7D5E8F3"/>
    <w:lvl w:ilvl="0" w:tentative="0">
      <w:start w:val="6"/>
      <w:numFmt w:val="decimal"/>
      <w:suff w:val="nothing"/>
      <w:lvlText w:val="%1、"/>
      <w:lvlJc w:val="left"/>
    </w:lvl>
  </w:abstractNum>
  <w:abstractNum w:abstractNumId="4">
    <w:nsid w:val="29F5B382"/>
    <w:multiLevelType w:val="singleLevel"/>
    <w:tmpl w:val="29F5B382"/>
    <w:lvl w:ilvl="0" w:tentative="0">
      <w:start w:val="1"/>
      <w:numFmt w:val="decimal"/>
      <w:suff w:val="nothing"/>
      <w:lvlText w:val="附图%1  "/>
      <w:lvlJc w:val="left"/>
      <w:pPr>
        <w:tabs>
          <w:tab w:val="left" w:pos="0"/>
        </w:tabs>
        <w:ind w:left="0" w:firstLine="0"/>
      </w:pPr>
      <w:rPr>
        <w:rFonts w:hint="default" w:ascii="Times New Roman" w:hAnsi="Times New Roman" w:eastAsia="宋体" w:cs="宋体"/>
        <w:sz w:val="22"/>
        <w:szCs w:val="18"/>
      </w:rPr>
    </w:lvl>
  </w:abstractNum>
  <w:abstractNum w:abstractNumId="5">
    <w:nsid w:val="376AD7FC"/>
    <w:multiLevelType w:val="singleLevel"/>
    <w:tmpl w:val="376AD7FC"/>
    <w:lvl w:ilvl="0" w:tentative="0">
      <w:start w:val="1"/>
      <w:numFmt w:val="decimal"/>
      <w:suff w:val="nothing"/>
      <w:lvlText w:val="附件%1  "/>
      <w:lvlJc w:val="left"/>
      <w:pPr>
        <w:tabs>
          <w:tab w:val="left" w:pos="420"/>
        </w:tabs>
        <w:ind w:left="0" w:firstLine="0"/>
      </w:pPr>
      <w:rPr>
        <w:rFonts w:hint="default"/>
        <w:sz w:val="22"/>
        <w:szCs w:val="18"/>
      </w:rPr>
    </w:lvl>
  </w:abstractNum>
  <w:abstractNum w:abstractNumId="6">
    <w:nsid w:val="5A40E611"/>
    <w:multiLevelType w:val="multilevel"/>
    <w:tmpl w:val="5A40E611"/>
    <w:lvl w:ilvl="0" w:tentative="0">
      <w:start w:val="1"/>
      <w:numFmt w:val="decimal"/>
      <w:isLgl/>
      <w:suff w:val="space"/>
      <w:lvlText w:val="第%1章"/>
      <w:lvlJc w:val="center"/>
      <w:pPr>
        <w:tabs>
          <w:tab w:val="left" w:pos="0"/>
        </w:tabs>
        <w:ind w:left="0" w:firstLine="0"/>
      </w:pPr>
      <w:rPr>
        <w:rFonts w:hint="default" w:ascii="Times New Roman" w:hAnsi="Times New Roman" w:eastAsia="宋体" w:cs="Times New Roman"/>
        <w:b/>
        <w:bCs/>
        <w:i w:val="0"/>
        <w:sz w:val="32"/>
        <w:szCs w:val="32"/>
        <w:lang w:val="en-US"/>
      </w:rPr>
    </w:lvl>
    <w:lvl w:ilvl="1" w:tentative="0">
      <w:start w:val="1"/>
      <w:numFmt w:val="decimal"/>
      <w:isLgl/>
      <w:suff w:val="space"/>
      <w:lvlText w:val="%1.%2"/>
      <w:lvlJc w:val="left"/>
      <w:pPr>
        <w:tabs>
          <w:tab w:val="left" w:pos="0"/>
        </w:tabs>
        <w:ind w:left="0" w:firstLine="0"/>
      </w:pPr>
      <w:rPr>
        <w:rFonts w:hint="default" w:ascii="Times New Roman" w:hAnsi="Times New Roman" w:eastAsia="宋体"/>
        <w:b/>
        <w:bCs/>
        <w:i w:val="0"/>
        <w:sz w:val="28"/>
        <w:szCs w:val="28"/>
      </w:rPr>
    </w:lvl>
    <w:lvl w:ilvl="2" w:tentative="0">
      <w:start w:val="1"/>
      <w:numFmt w:val="decimal"/>
      <w:isLgl/>
      <w:suff w:val="space"/>
      <w:lvlText w:val="%1.%2.%3"/>
      <w:lvlJc w:val="left"/>
      <w:pPr>
        <w:tabs>
          <w:tab w:val="left" w:pos="0"/>
        </w:tabs>
        <w:ind w:left="0" w:firstLine="0"/>
      </w:pPr>
      <w:rPr>
        <w:rFonts w:hint="default" w:ascii="Times New Roman" w:hAnsi="Times New Roman" w:eastAsia="宋体" w:cs="Times New Roman"/>
        <w:b/>
        <w:bCs/>
        <w:i w:val="0"/>
        <w:iCs w:val="0"/>
        <w:caps w:val="0"/>
        <w:smallCaps w:val="0"/>
        <w:strike w:val="0"/>
        <w:dstrike w:val="0"/>
        <w:color w:val="auto"/>
        <w:spacing w:val="0"/>
        <w:w w:val="100"/>
        <w:kern w:val="0"/>
        <w:position w:val="0"/>
        <w:sz w:val="24"/>
        <w:szCs w:val="24"/>
        <w:u w:val="none"/>
        <w:shd w:val="clear" w:color="auto" w:fill="auto"/>
        <w:lang w:val="en-US" w:eastAsia="zh-CN"/>
      </w:rPr>
    </w:lvl>
    <w:lvl w:ilvl="3" w:tentative="0">
      <w:start w:val="1"/>
      <w:numFmt w:val="decimal"/>
      <w:pStyle w:val="5"/>
      <w:isLgl/>
      <w:suff w:val="space"/>
      <w:lvlText w:val="%1.%2.%3.%4"/>
      <w:lvlJc w:val="left"/>
      <w:pPr>
        <w:tabs>
          <w:tab w:val="left" w:pos="0"/>
        </w:tabs>
        <w:ind w:left="0" w:firstLine="0"/>
      </w:pPr>
      <w:rPr>
        <w:rFonts w:hint="default" w:ascii="Times New Roman" w:hAnsi="Times New Roman" w:eastAsia="宋体"/>
        <w:b/>
        <w:i w:val="0"/>
        <w:sz w:val="24"/>
      </w:rPr>
    </w:lvl>
    <w:lvl w:ilvl="4" w:tentative="0">
      <w:start w:val="1"/>
      <w:numFmt w:val="decimal"/>
      <w:isLgl/>
      <w:lvlText w:val="%1.%2.%3.%4.%5"/>
      <w:lvlJc w:val="left"/>
      <w:pPr>
        <w:tabs>
          <w:tab w:val="left" w:pos="1713"/>
        </w:tabs>
        <w:ind w:left="633" w:firstLine="0"/>
      </w:pPr>
      <w:rPr>
        <w:rFonts w:hint="default" w:ascii="Times New Roman" w:hAnsi="Times New Roman" w:eastAsia="宋体"/>
        <w:b/>
        <w:i w:val="0"/>
        <w:sz w:val="24"/>
      </w:rPr>
    </w:lvl>
    <w:lvl w:ilvl="5" w:tentative="0">
      <w:start w:val="1"/>
      <w:numFmt w:val="decimal"/>
      <w:isLgl/>
      <w:lvlText w:val="%1.%2.%3.%4.%5.%6"/>
      <w:lvlJc w:val="left"/>
      <w:pPr>
        <w:tabs>
          <w:tab w:val="left" w:pos="2433"/>
        </w:tabs>
        <w:ind w:left="1767" w:hanging="1134"/>
      </w:pPr>
      <w:rPr>
        <w:rFonts w:hint="eastAsia"/>
      </w:rPr>
    </w:lvl>
    <w:lvl w:ilvl="6" w:tentative="0">
      <w:start w:val="1"/>
      <w:numFmt w:val="decimal"/>
      <w:lvlText w:val="%1.%2.%3.%4.%5.%6.%7."/>
      <w:lvlJc w:val="left"/>
      <w:pPr>
        <w:tabs>
          <w:tab w:val="left" w:pos="1909"/>
        </w:tabs>
        <w:ind w:left="1909" w:hanging="1276"/>
      </w:pPr>
      <w:rPr>
        <w:rFonts w:hint="eastAsia"/>
      </w:rPr>
    </w:lvl>
    <w:lvl w:ilvl="7" w:tentative="0">
      <w:start w:val="1"/>
      <w:numFmt w:val="decimal"/>
      <w:lvlText w:val="%1.%2.%3.%4.%5.%6.%7.%8."/>
      <w:lvlJc w:val="left"/>
      <w:pPr>
        <w:tabs>
          <w:tab w:val="left" w:pos="2051"/>
        </w:tabs>
        <w:ind w:left="2051" w:hanging="1418"/>
      </w:pPr>
      <w:rPr>
        <w:rFonts w:hint="eastAsia"/>
      </w:rPr>
    </w:lvl>
    <w:lvl w:ilvl="8" w:tentative="0">
      <w:start w:val="1"/>
      <w:numFmt w:val="decimal"/>
      <w:lvlText w:val="%1.%2.%3.%4.%5.%6.%7.%8.%9."/>
      <w:lvlJc w:val="left"/>
      <w:pPr>
        <w:tabs>
          <w:tab w:val="left" w:pos="2192"/>
        </w:tabs>
        <w:ind w:left="2192" w:hanging="1559"/>
      </w:pPr>
      <w:rPr>
        <w:rFonts w:hint="eastAsia"/>
      </w:rPr>
    </w:lvl>
  </w:abstractNum>
  <w:abstractNum w:abstractNumId="7">
    <w:nsid w:val="72B257DE"/>
    <w:multiLevelType w:val="singleLevel"/>
    <w:tmpl w:val="72B257DE"/>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6"/>
  </w:num>
  <w:num w:numId="2">
    <w:abstractNumId w:val="7"/>
  </w:num>
  <w:num w:numId="3">
    <w:abstractNumId w:val="1"/>
  </w:num>
  <w:num w:numId="4">
    <w:abstractNumId w:val="3"/>
  </w:num>
  <w:num w:numId="5">
    <w:abstractNumId w:val="0"/>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0M2UwZjBkODQ1NDQwNTIxMjE2MTRhODVlMTJkMGYifQ=="/>
  </w:docVars>
  <w:rsids>
    <w:rsidRoot w:val="5C387EEF"/>
    <w:rsid w:val="002839F8"/>
    <w:rsid w:val="006D6F3B"/>
    <w:rsid w:val="0079626F"/>
    <w:rsid w:val="009363FA"/>
    <w:rsid w:val="00AA155D"/>
    <w:rsid w:val="00B2253A"/>
    <w:rsid w:val="00B4716A"/>
    <w:rsid w:val="00C274C0"/>
    <w:rsid w:val="00C82D4E"/>
    <w:rsid w:val="00F443C8"/>
    <w:rsid w:val="016F70C3"/>
    <w:rsid w:val="017C2CB3"/>
    <w:rsid w:val="01F262EA"/>
    <w:rsid w:val="02416EEE"/>
    <w:rsid w:val="024E4CDF"/>
    <w:rsid w:val="026A3309"/>
    <w:rsid w:val="02747A63"/>
    <w:rsid w:val="027D3308"/>
    <w:rsid w:val="02834C71"/>
    <w:rsid w:val="02AC4698"/>
    <w:rsid w:val="02CF1EA9"/>
    <w:rsid w:val="02DB1DB9"/>
    <w:rsid w:val="031A1FDB"/>
    <w:rsid w:val="034F4EE3"/>
    <w:rsid w:val="0356148E"/>
    <w:rsid w:val="035E606E"/>
    <w:rsid w:val="036318A0"/>
    <w:rsid w:val="042B494B"/>
    <w:rsid w:val="044C5F20"/>
    <w:rsid w:val="04BC0AE9"/>
    <w:rsid w:val="051117E1"/>
    <w:rsid w:val="051777D5"/>
    <w:rsid w:val="055B2DB5"/>
    <w:rsid w:val="058437AF"/>
    <w:rsid w:val="05915B61"/>
    <w:rsid w:val="05A1130B"/>
    <w:rsid w:val="05C55B9C"/>
    <w:rsid w:val="05E3701C"/>
    <w:rsid w:val="06090BAF"/>
    <w:rsid w:val="062E2EA3"/>
    <w:rsid w:val="068C6DB8"/>
    <w:rsid w:val="06927957"/>
    <w:rsid w:val="06CD5445"/>
    <w:rsid w:val="0730115B"/>
    <w:rsid w:val="074B1F24"/>
    <w:rsid w:val="074D65A6"/>
    <w:rsid w:val="07511370"/>
    <w:rsid w:val="078B2480"/>
    <w:rsid w:val="07D366E3"/>
    <w:rsid w:val="07E1225E"/>
    <w:rsid w:val="082E1B45"/>
    <w:rsid w:val="08331D7B"/>
    <w:rsid w:val="08350F8E"/>
    <w:rsid w:val="0874154A"/>
    <w:rsid w:val="08797615"/>
    <w:rsid w:val="08A24E5B"/>
    <w:rsid w:val="08D67F39"/>
    <w:rsid w:val="08E9088A"/>
    <w:rsid w:val="0949323E"/>
    <w:rsid w:val="09994F9E"/>
    <w:rsid w:val="09A528BC"/>
    <w:rsid w:val="09AB4022"/>
    <w:rsid w:val="09B658FB"/>
    <w:rsid w:val="09E661A6"/>
    <w:rsid w:val="0ABA54D7"/>
    <w:rsid w:val="0AE514AE"/>
    <w:rsid w:val="0AE77645"/>
    <w:rsid w:val="0B270D4E"/>
    <w:rsid w:val="0B367E19"/>
    <w:rsid w:val="0B916712"/>
    <w:rsid w:val="0B9C7121"/>
    <w:rsid w:val="0BB03C49"/>
    <w:rsid w:val="0C1F2B85"/>
    <w:rsid w:val="0C490312"/>
    <w:rsid w:val="0C5F718D"/>
    <w:rsid w:val="0C635DCE"/>
    <w:rsid w:val="0CAF2210"/>
    <w:rsid w:val="0CB7687B"/>
    <w:rsid w:val="0D080EBF"/>
    <w:rsid w:val="0D1B1618"/>
    <w:rsid w:val="0D311605"/>
    <w:rsid w:val="0D703FF9"/>
    <w:rsid w:val="0D802482"/>
    <w:rsid w:val="0DEC07F4"/>
    <w:rsid w:val="0DF23583"/>
    <w:rsid w:val="0E007979"/>
    <w:rsid w:val="0E1B5395"/>
    <w:rsid w:val="0E220915"/>
    <w:rsid w:val="0EA131D8"/>
    <w:rsid w:val="0EBD5075"/>
    <w:rsid w:val="0EBF1F8F"/>
    <w:rsid w:val="0EDB5365"/>
    <w:rsid w:val="0EE20B12"/>
    <w:rsid w:val="0F195392"/>
    <w:rsid w:val="0F206DD0"/>
    <w:rsid w:val="0F4874E1"/>
    <w:rsid w:val="0F800F5A"/>
    <w:rsid w:val="0FA976E8"/>
    <w:rsid w:val="0FC313A3"/>
    <w:rsid w:val="0FC625CA"/>
    <w:rsid w:val="10221EAF"/>
    <w:rsid w:val="104E7005"/>
    <w:rsid w:val="105B7E72"/>
    <w:rsid w:val="109A1311"/>
    <w:rsid w:val="109E0723"/>
    <w:rsid w:val="10C5422A"/>
    <w:rsid w:val="11B42F1A"/>
    <w:rsid w:val="12134CF6"/>
    <w:rsid w:val="12160ED2"/>
    <w:rsid w:val="121A10DB"/>
    <w:rsid w:val="12956855"/>
    <w:rsid w:val="12CE4EE1"/>
    <w:rsid w:val="13111E52"/>
    <w:rsid w:val="13545929"/>
    <w:rsid w:val="137E7B2A"/>
    <w:rsid w:val="13CE3691"/>
    <w:rsid w:val="141176C7"/>
    <w:rsid w:val="14171240"/>
    <w:rsid w:val="142D5C47"/>
    <w:rsid w:val="143B6BD4"/>
    <w:rsid w:val="144B4107"/>
    <w:rsid w:val="14515AC6"/>
    <w:rsid w:val="145E71CE"/>
    <w:rsid w:val="147C601E"/>
    <w:rsid w:val="148C3FD3"/>
    <w:rsid w:val="14E54A24"/>
    <w:rsid w:val="1507603D"/>
    <w:rsid w:val="152515EA"/>
    <w:rsid w:val="15376B96"/>
    <w:rsid w:val="159C3459"/>
    <w:rsid w:val="15D102CB"/>
    <w:rsid w:val="15ED03E7"/>
    <w:rsid w:val="16096BB4"/>
    <w:rsid w:val="16105ED3"/>
    <w:rsid w:val="16243300"/>
    <w:rsid w:val="165C118C"/>
    <w:rsid w:val="16753FFC"/>
    <w:rsid w:val="167E7AF0"/>
    <w:rsid w:val="168D5087"/>
    <w:rsid w:val="16E573BC"/>
    <w:rsid w:val="16F72FA9"/>
    <w:rsid w:val="17290DB9"/>
    <w:rsid w:val="173F2E7D"/>
    <w:rsid w:val="17491FE7"/>
    <w:rsid w:val="177E6B21"/>
    <w:rsid w:val="17932239"/>
    <w:rsid w:val="179872DB"/>
    <w:rsid w:val="17DA6BA3"/>
    <w:rsid w:val="18302940"/>
    <w:rsid w:val="185A67BA"/>
    <w:rsid w:val="188729C7"/>
    <w:rsid w:val="18BD1C8B"/>
    <w:rsid w:val="192C17AB"/>
    <w:rsid w:val="195D1801"/>
    <w:rsid w:val="19704F75"/>
    <w:rsid w:val="19744E55"/>
    <w:rsid w:val="19990B5D"/>
    <w:rsid w:val="19AD1D2B"/>
    <w:rsid w:val="19B66E06"/>
    <w:rsid w:val="19D85CEF"/>
    <w:rsid w:val="19E60E43"/>
    <w:rsid w:val="1A1C0EF5"/>
    <w:rsid w:val="1A92116A"/>
    <w:rsid w:val="1A971390"/>
    <w:rsid w:val="1ADD26CB"/>
    <w:rsid w:val="1B0A73F4"/>
    <w:rsid w:val="1B601E4F"/>
    <w:rsid w:val="1B733584"/>
    <w:rsid w:val="1BA50BB8"/>
    <w:rsid w:val="1BBF08F1"/>
    <w:rsid w:val="1BCD2A00"/>
    <w:rsid w:val="1C000451"/>
    <w:rsid w:val="1C3B1844"/>
    <w:rsid w:val="1C5008CC"/>
    <w:rsid w:val="1C587136"/>
    <w:rsid w:val="1C785BBB"/>
    <w:rsid w:val="1C790AC7"/>
    <w:rsid w:val="1CB1228D"/>
    <w:rsid w:val="1CB25870"/>
    <w:rsid w:val="1D017037"/>
    <w:rsid w:val="1D1E03F5"/>
    <w:rsid w:val="1D1F5954"/>
    <w:rsid w:val="1D4561AA"/>
    <w:rsid w:val="1D882683"/>
    <w:rsid w:val="1DC03764"/>
    <w:rsid w:val="1DEE6B9F"/>
    <w:rsid w:val="1E0526C2"/>
    <w:rsid w:val="1E312EFF"/>
    <w:rsid w:val="1E83378B"/>
    <w:rsid w:val="1E89307C"/>
    <w:rsid w:val="1E917E41"/>
    <w:rsid w:val="1EA6663B"/>
    <w:rsid w:val="1ED14DD4"/>
    <w:rsid w:val="1ED82831"/>
    <w:rsid w:val="1ED84D99"/>
    <w:rsid w:val="1EDF4790"/>
    <w:rsid w:val="1F37191D"/>
    <w:rsid w:val="1F550AD7"/>
    <w:rsid w:val="1F5642FC"/>
    <w:rsid w:val="1F630954"/>
    <w:rsid w:val="1FA6443A"/>
    <w:rsid w:val="1FAF7DA6"/>
    <w:rsid w:val="1FDF7A6C"/>
    <w:rsid w:val="1FF81D29"/>
    <w:rsid w:val="201F0C5B"/>
    <w:rsid w:val="20316743"/>
    <w:rsid w:val="2063703C"/>
    <w:rsid w:val="2080016D"/>
    <w:rsid w:val="209043E7"/>
    <w:rsid w:val="20941283"/>
    <w:rsid w:val="20A64C90"/>
    <w:rsid w:val="20D140AD"/>
    <w:rsid w:val="20E83DA2"/>
    <w:rsid w:val="20EC7633"/>
    <w:rsid w:val="21025C67"/>
    <w:rsid w:val="213B4094"/>
    <w:rsid w:val="215F569D"/>
    <w:rsid w:val="217E396C"/>
    <w:rsid w:val="219B36D8"/>
    <w:rsid w:val="21A94DCC"/>
    <w:rsid w:val="21C87FAB"/>
    <w:rsid w:val="21F141A8"/>
    <w:rsid w:val="22414B5A"/>
    <w:rsid w:val="22770131"/>
    <w:rsid w:val="22C23E19"/>
    <w:rsid w:val="22F01975"/>
    <w:rsid w:val="23176703"/>
    <w:rsid w:val="234846F6"/>
    <w:rsid w:val="235119FC"/>
    <w:rsid w:val="235647A2"/>
    <w:rsid w:val="23F162D4"/>
    <w:rsid w:val="2436755C"/>
    <w:rsid w:val="247E4746"/>
    <w:rsid w:val="248564EA"/>
    <w:rsid w:val="2491060F"/>
    <w:rsid w:val="24BD56F9"/>
    <w:rsid w:val="24F416B3"/>
    <w:rsid w:val="252B3B89"/>
    <w:rsid w:val="253F7BCE"/>
    <w:rsid w:val="25550E65"/>
    <w:rsid w:val="25753ECD"/>
    <w:rsid w:val="25DA74E1"/>
    <w:rsid w:val="25DF107A"/>
    <w:rsid w:val="25E91233"/>
    <w:rsid w:val="26331252"/>
    <w:rsid w:val="26417423"/>
    <w:rsid w:val="26DF3010"/>
    <w:rsid w:val="26E07FCC"/>
    <w:rsid w:val="27014716"/>
    <w:rsid w:val="27075EB6"/>
    <w:rsid w:val="27134656"/>
    <w:rsid w:val="275243D1"/>
    <w:rsid w:val="276F198D"/>
    <w:rsid w:val="277A7AEB"/>
    <w:rsid w:val="27C31EDE"/>
    <w:rsid w:val="27DD748A"/>
    <w:rsid w:val="28050284"/>
    <w:rsid w:val="28340C72"/>
    <w:rsid w:val="28363DE8"/>
    <w:rsid w:val="28620700"/>
    <w:rsid w:val="288C5359"/>
    <w:rsid w:val="28941217"/>
    <w:rsid w:val="28AE37C0"/>
    <w:rsid w:val="28BF16C0"/>
    <w:rsid w:val="28E66200"/>
    <w:rsid w:val="28F67C6D"/>
    <w:rsid w:val="29355772"/>
    <w:rsid w:val="293F3377"/>
    <w:rsid w:val="295438E6"/>
    <w:rsid w:val="29AB3AE6"/>
    <w:rsid w:val="29C732FF"/>
    <w:rsid w:val="29EA283A"/>
    <w:rsid w:val="2A0A5FF9"/>
    <w:rsid w:val="2A2A44B0"/>
    <w:rsid w:val="2A772576"/>
    <w:rsid w:val="2A8F4BF8"/>
    <w:rsid w:val="2A9D4C80"/>
    <w:rsid w:val="2AB83B83"/>
    <w:rsid w:val="2AE37E8B"/>
    <w:rsid w:val="2B221660"/>
    <w:rsid w:val="2B243C3F"/>
    <w:rsid w:val="2B4F321F"/>
    <w:rsid w:val="2B753A40"/>
    <w:rsid w:val="2B782F06"/>
    <w:rsid w:val="2BAB055B"/>
    <w:rsid w:val="2BBF42DA"/>
    <w:rsid w:val="2BC05866"/>
    <w:rsid w:val="2C6E72DF"/>
    <w:rsid w:val="2C7C4DA6"/>
    <w:rsid w:val="2D2B52A2"/>
    <w:rsid w:val="2D3F6D39"/>
    <w:rsid w:val="2D4E3550"/>
    <w:rsid w:val="2D563B98"/>
    <w:rsid w:val="2D5935C3"/>
    <w:rsid w:val="2D6C6C4C"/>
    <w:rsid w:val="2D9278E5"/>
    <w:rsid w:val="2DA37249"/>
    <w:rsid w:val="2DB604DD"/>
    <w:rsid w:val="2DBC6FB4"/>
    <w:rsid w:val="2DE154F0"/>
    <w:rsid w:val="2E006840"/>
    <w:rsid w:val="2E1E0778"/>
    <w:rsid w:val="2E61139F"/>
    <w:rsid w:val="2ECA2BBD"/>
    <w:rsid w:val="2EF4224A"/>
    <w:rsid w:val="2F0E37C1"/>
    <w:rsid w:val="2F427663"/>
    <w:rsid w:val="2F8F6552"/>
    <w:rsid w:val="2F9150A3"/>
    <w:rsid w:val="2FA4190D"/>
    <w:rsid w:val="2FA74A0D"/>
    <w:rsid w:val="2FDE688D"/>
    <w:rsid w:val="30722604"/>
    <w:rsid w:val="30A03C2F"/>
    <w:rsid w:val="30A12166"/>
    <w:rsid w:val="30A53897"/>
    <w:rsid w:val="30A61C46"/>
    <w:rsid w:val="30C450A0"/>
    <w:rsid w:val="31764EE4"/>
    <w:rsid w:val="3198386A"/>
    <w:rsid w:val="31FD6612"/>
    <w:rsid w:val="31FD6935"/>
    <w:rsid w:val="32002C1D"/>
    <w:rsid w:val="32295001"/>
    <w:rsid w:val="324D6445"/>
    <w:rsid w:val="326E6FD2"/>
    <w:rsid w:val="32730F55"/>
    <w:rsid w:val="331E22B4"/>
    <w:rsid w:val="33252B90"/>
    <w:rsid w:val="334C7070"/>
    <w:rsid w:val="3361000E"/>
    <w:rsid w:val="33971EB3"/>
    <w:rsid w:val="344F3B6B"/>
    <w:rsid w:val="345D3558"/>
    <w:rsid w:val="34767593"/>
    <w:rsid w:val="348A2EDE"/>
    <w:rsid w:val="34AD61D2"/>
    <w:rsid w:val="34C24CC3"/>
    <w:rsid w:val="35323098"/>
    <w:rsid w:val="355C7996"/>
    <w:rsid w:val="359407FF"/>
    <w:rsid w:val="35940ACB"/>
    <w:rsid w:val="35FC0DE6"/>
    <w:rsid w:val="3627310D"/>
    <w:rsid w:val="3629378A"/>
    <w:rsid w:val="363B36EF"/>
    <w:rsid w:val="365732C7"/>
    <w:rsid w:val="36B24C98"/>
    <w:rsid w:val="36C433A5"/>
    <w:rsid w:val="36D370AD"/>
    <w:rsid w:val="36F43A14"/>
    <w:rsid w:val="3733665C"/>
    <w:rsid w:val="373B23F5"/>
    <w:rsid w:val="374876AA"/>
    <w:rsid w:val="375B21E2"/>
    <w:rsid w:val="37655B55"/>
    <w:rsid w:val="376D1723"/>
    <w:rsid w:val="378316E8"/>
    <w:rsid w:val="381059C0"/>
    <w:rsid w:val="38343F3E"/>
    <w:rsid w:val="383E6FED"/>
    <w:rsid w:val="38440897"/>
    <w:rsid w:val="3850234F"/>
    <w:rsid w:val="386258B7"/>
    <w:rsid w:val="38951078"/>
    <w:rsid w:val="389B5520"/>
    <w:rsid w:val="389E1E9B"/>
    <w:rsid w:val="38BE7599"/>
    <w:rsid w:val="38D24458"/>
    <w:rsid w:val="395C0A45"/>
    <w:rsid w:val="39642315"/>
    <w:rsid w:val="397C6D1C"/>
    <w:rsid w:val="39996E33"/>
    <w:rsid w:val="39A52658"/>
    <w:rsid w:val="39C45A4D"/>
    <w:rsid w:val="39F23A32"/>
    <w:rsid w:val="3A7A2B91"/>
    <w:rsid w:val="3A8D7496"/>
    <w:rsid w:val="3AA6102B"/>
    <w:rsid w:val="3AC266E0"/>
    <w:rsid w:val="3ADA1683"/>
    <w:rsid w:val="3B1E67EB"/>
    <w:rsid w:val="3B220709"/>
    <w:rsid w:val="3B6363A1"/>
    <w:rsid w:val="3B835E9C"/>
    <w:rsid w:val="3BDD58AD"/>
    <w:rsid w:val="3BF9274A"/>
    <w:rsid w:val="3C4D6D27"/>
    <w:rsid w:val="3C757998"/>
    <w:rsid w:val="3C7A6F84"/>
    <w:rsid w:val="3C7C3EA0"/>
    <w:rsid w:val="3C923802"/>
    <w:rsid w:val="3C9B2EEC"/>
    <w:rsid w:val="3CB50BE4"/>
    <w:rsid w:val="3CC50D1B"/>
    <w:rsid w:val="3CD727FE"/>
    <w:rsid w:val="3D104204"/>
    <w:rsid w:val="3D1D106E"/>
    <w:rsid w:val="3D3077B3"/>
    <w:rsid w:val="3D342B6E"/>
    <w:rsid w:val="3D360C68"/>
    <w:rsid w:val="3D437D27"/>
    <w:rsid w:val="3D4E5726"/>
    <w:rsid w:val="3D652806"/>
    <w:rsid w:val="3DC33F93"/>
    <w:rsid w:val="3DC56C3B"/>
    <w:rsid w:val="3DE85E9C"/>
    <w:rsid w:val="3DEB332E"/>
    <w:rsid w:val="3E4753B9"/>
    <w:rsid w:val="3E665325"/>
    <w:rsid w:val="3E8F56A6"/>
    <w:rsid w:val="3E962C89"/>
    <w:rsid w:val="3E965589"/>
    <w:rsid w:val="3EBB1FB5"/>
    <w:rsid w:val="3ECA51D5"/>
    <w:rsid w:val="3F5A4825"/>
    <w:rsid w:val="3F6B7FF6"/>
    <w:rsid w:val="3F911BB4"/>
    <w:rsid w:val="3FBF6B16"/>
    <w:rsid w:val="3FD16E65"/>
    <w:rsid w:val="407C69A0"/>
    <w:rsid w:val="40E27E5B"/>
    <w:rsid w:val="40EB11DB"/>
    <w:rsid w:val="41000413"/>
    <w:rsid w:val="41285D30"/>
    <w:rsid w:val="4149009B"/>
    <w:rsid w:val="417925BB"/>
    <w:rsid w:val="41A8181D"/>
    <w:rsid w:val="41C56BD4"/>
    <w:rsid w:val="41D7421C"/>
    <w:rsid w:val="41D74D4D"/>
    <w:rsid w:val="42043410"/>
    <w:rsid w:val="42383820"/>
    <w:rsid w:val="42650D34"/>
    <w:rsid w:val="427C5BAF"/>
    <w:rsid w:val="42C82DCC"/>
    <w:rsid w:val="42C9436D"/>
    <w:rsid w:val="43990369"/>
    <w:rsid w:val="439A743F"/>
    <w:rsid w:val="44611F11"/>
    <w:rsid w:val="4479108A"/>
    <w:rsid w:val="44846292"/>
    <w:rsid w:val="449A7836"/>
    <w:rsid w:val="44CA54DF"/>
    <w:rsid w:val="44E07B24"/>
    <w:rsid w:val="453E4217"/>
    <w:rsid w:val="454A33F5"/>
    <w:rsid w:val="457C2B26"/>
    <w:rsid w:val="45895EC1"/>
    <w:rsid w:val="459C7A87"/>
    <w:rsid w:val="464809BE"/>
    <w:rsid w:val="46596C14"/>
    <w:rsid w:val="46D72E4F"/>
    <w:rsid w:val="46E6349C"/>
    <w:rsid w:val="470D4DDB"/>
    <w:rsid w:val="471A69C9"/>
    <w:rsid w:val="472471F5"/>
    <w:rsid w:val="478F20CA"/>
    <w:rsid w:val="47B57F37"/>
    <w:rsid w:val="47D2483A"/>
    <w:rsid w:val="47FC2F47"/>
    <w:rsid w:val="48044D2A"/>
    <w:rsid w:val="483250ED"/>
    <w:rsid w:val="48384D06"/>
    <w:rsid w:val="485D0E6F"/>
    <w:rsid w:val="4879038E"/>
    <w:rsid w:val="488B6380"/>
    <w:rsid w:val="48B128C8"/>
    <w:rsid w:val="48D840A9"/>
    <w:rsid w:val="48FD5EDD"/>
    <w:rsid w:val="495A4728"/>
    <w:rsid w:val="496B6B1F"/>
    <w:rsid w:val="498A3D33"/>
    <w:rsid w:val="49966E27"/>
    <w:rsid w:val="499C39CA"/>
    <w:rsid w:val="49CD2657"/>
    <w:rsid w:val="4A115AFF"/>
    <w:rsid w:val="4A3167E8"/>
    <w:rsid w:val="4A962B5B"/>
    <w:rsid w:val="4AE14BEE"/>
    <w:rsid w:val="4AE62C94"/>
    <w:rsid w:val="4B3170C3"/>
    <w:rsid w:val="4B481D30"/>
    <w:rsid w:val="4B5E5227"/>
    <w:rsid w:val="4BCC4225"/>
    <w:rsid w:val="4BD50557"/>
    <w:rsid w:val="4C6E069B"/>
    <w:rsid w:val="4C9B1354"/>
    <w:rsid w:val="4CA579F1"/>
    <w:rsid w:val="4CAF22F3"/>
    <w:rsid w:val="4CCE6D61"/>
    <w:rsid w:val="4CCF1A22"/>
    <w:rsid w:val="4CE54889"/>
    <w:rsid w:val="4D933B2D"/>
    <w:rsid w:val="4DC81423"/>
    <w:rsid w:val="4DD56D07"/>
    <w:rsid w:val="4EA028D4"/>
    <w:rsid w:val="4EC30082"/>
    <w:rsid w:val="4ECD552E"/>
    <w:rsid w:val="4F5776DC"/>
    <w:rsid w:val="4FEF53D7"/>
    <w:rsid w:val="5022515A"/>
    <w:rsid w:val="505C64D7"/>
    <w:rsid w:val="509B243E"/>
    <w:rsid w:val="509F0FEF"/>
    <w:rsid w:val="50A45048"/>
    <w:rsid w:val="50DD3494"/>
    <w:rsid w:val="50FF2CD3"/>
    <w:rsid w:val="51081D69"/>
    <w:rsid w:val="51090F88"/>
    <w:rsid w:val="51093060"/>
    <w:rsid w:val="511B25AE"/>
    <w:rsid w:val="515D3A6D"/>
    <w:rsid w:val="517D7556"/>
    <w:rsid w:val="519D01D0"/>
    <w:rsid w:val="519D408D"/>
    <w:rsid w:val="51A907DA"/>
    <w:rsid w:val="51FF75A8"/>
    <w:rsid w:val="521528BF"/>
    <w:rsid w:val="523034A8"/>
    <w:rsid w:val="52391C29"/>
    <w:rsid w:val="526B45C2"/>
    <w:rsid w:val="52E82E4C"/>
    <w:rsid w:val="53155D99"/>
    <w:rsid w:val="531D5224"/>
    <w:rsid w:val="53331E35"/>
    <w:rsid w:val="53511579"/>
    <w:rsid w:val="53935FE5"/>
    <w:rsid w:val="53DD4365"/>
    <w:rsid w:val="540541AA"/>
    <w:rsid w:val="540B4634"/>
    <w:rsid w:val="54137FFD"/>
    <w:rsid w:val="543960E0"/>
    <w:rsid w:val="54486D8C"/>
    <w:rsid w:val="545D6B7F"/>
    <w:rsid w:val="54703A7A"/>
    <w:rsid w:val="54846D59"/>
    <w:rsid w:val="54B9117B"/>
    <w:rsid w:val="54BA7AB4"/>
    <w:rsid w:val="54C946B8"/>
    <w:rsid w:val="54D15109"/>
    <w:rsid w:val="54F616B0"/>
    <w:rsid w:val="55164621"/>
    <w:rsid w:val="55B0032C"/>
    <w:rsid w:val="55ED6F99"/>
    <w:rsid w:val="563F693A"/>
    <w:rsid w:val="566021CF"/>
    <w:rsid w:val="56636203"/>
    <w:rsid w:val="56825BE6"/>
    <w:rsid w:val="56E4725A"/>
    <w:rsid w:val="571E6B4E"/>
    <w:rsid w:val="572C3143"/>
    <w:rsid w:val="57306B29"/>
    <w:rsid w:val="579E5887"/>
    <w:rsid w:val="57CB544E"/>
    <w:rsid w:val="57EA101B"/>
    <w:rsid w:val="580E04B8"/>
    <w:rsid w:val="58477D46"/>
    <w:rsid w:val="584D0405"/>
    <w:rsid w:val="58926565"/>
    <w:rsid w:val="589A775C"/>
    <w:rsid w:val="58A04288"/>
    <w:rsid w:val="58AB2089"/>
    <w:rsid w:val="590B3D71"/>
    <w:rsid w:val="59144D9C"/>
    <w:rsid w:val="595156D4"/>
    <w:rsid w:val="596344F7"/>
    <w:rsid w:val="59720FEB"/>
    <w:rsid w:val="59744DC8"/>
    <w:rsid w:val="5A824506"/>
    <w:rsid w:val="5A9F637A"/>
    <w:rsid w:val="5AA6345B"/>
    <w:rsid w:val="5AD12DDB"/>
    <w:rsid w:val="5AE8407B"/>
    <w:rsid w:val="5AF24F7B"/>
    <w:rsid w:val="5B4044D2"/>
    <w:rsid w:val="5BD167B7"/>
    <w:rsid w:val="5BE4642D"/>
    <w:rsid w:val="5C387EEF"/>
    <w:rsid w:val="5C400104"/>
    <w:rsid w:val="5C4001D5"/>
    <w:rsid w:val="5C6201C2"/>
    <w:rsid w:val="5C830AA0"/>
    <w:rsid w:val="5C8857FC"/>
    <w:rsid w:val="5CB60A82"/>
    <w:rsid w:val="5CC5001B"/>
    <w:rsid w:val="5D9222E2"/>
    <w:rsid w:val="5E525625"/>
    <w:rsid w:val="5E7E0429"/>
    <w:rsid w:val="5EB24A46"/>
    <w:rsid w:val="5EB62E9F"/>
    <w:rsid w:val="5EBB26EC"/>
    <w:rsid w:val="5EC040AB"/>
    <w:rsid w:val="5ED23521"/>
    <w:rsid w:val="5EE60C28"/>
    <w:rsid w:val="5EE66239"/>
    <w:rsid w:val="5F204709"/>
    <w:rsid w:val="5F385194"/>
    <w:rsid w:val="5F736B0A"/>
    <w:rsid w:val="5F907E06"/>
    <w:rsid w:val="5FA4318E"/>
    <w:rsid w:val="5FCE2418"/>
    <w:rsid w:val="5FCE5785"/>
    <w:rsid w:val="5FD35109"/>
    <w:rsid w:val="5FE315A4"/>
    <w:rsid w:val="60476F38"/>
    <w:rsid w:val="6068600B"/>
    <w:rsid w:val="60773C09"/>
    <w:rsid w:val="60CB7B24"/>
    <w:rsid w:val="60E66C91"/>
    <w:rsid w:val="60F361D8"/>
    <w:rsid w:val="616F4D4D"/>
    <w:rsid w:val="618D2744"/>
    <w:rsid w:val="61E443A8"/>
    <w:rsid w:val="61EA200C"/>
    <w:rsid w:val="61F655EB"/>
    <w:rsid w:val="61FD5295"/>
    <w:rsid w:val="62136246"/>
    <w:rsid w:val="621501F4"/>
    <w:rsid w:val="622362EA"/>
    <w:rsid w:val="62255EA3"/>
    <w:rsid w:val="622A06E2"/>
    <w:rsid w:val="627F3EC6"/>
    <w:rsid w:val="62DD422B"/>
    <w:rsid w:val="62E573E1"/>
    <w:rsid w:val="62FA152C"/>
    <w:rsid w:val="62FF6E63"/>
    <w:rsid w:val="630930A4"/>
    <w:rsid w:val="636D667E"/>
    <w:rsid w:val="637B2C4C"/>
    <w:rsid w:val="63A64198"/>
    <w:rsid w:val="63B22836"/>
    <w:rsid w:val="64245C53"/>
    <w:rsid w:val="642D5F05"/>
    <w:rsid w:val="645268DD"/>
    <w:rsid w:val="645521F6"/>
    <w:rsid w:val="64567A9E"/>
    <w:rsid w:val="647C3404"/>
    <w:rsid w:val="64942A0F"/>
    <w:rsid w:val="64CA796F"/>
    <w:rsid w:val="64F52E5B"/>
    <w:rsid w:val="65461C48"/>
    <w:rsid w:val="654A27C5"/>
    <w:rsid w:val="656644AC"/>
    <w:rsid w:val="656C59FF"/>
    <w:rsid w:val="656D2F25"/>
    <w:rsid w:val="658F3F31"/>
    <w:rsid w:val="65D45C0C"/>
    <w:rsid w:val="65FC0988"/>
    <w:rsid w:val="66997233"/>
    <w:rsid w:val="66C512CC"/>
    <w:rsid w:val="66CC03E9"/>
    <w:rsid w:val="67441411"/>
    <w:rsid w:val="676265D2"/>
    <w:rsid w:val="677C2C4D"/>
    <w:rsid w:val="678A5A4F"/>
    <w:rsid w:val="67B55803"/>
    <w:rsid w:val="67D059A1"/>
    <w:rsid w:val="67E227AD"/>
    <w:rsid w:val="67F071BE"/>
    <w:rsid w:val="680C7B9A"/>
    <w:rsid w:val="680D141A"/>
    <w:rsid w:val="68155CD8"/>
    <w:rsid w:val="687D6FD6"/>
    <w:rsid w:val="68862AC7"/>
    <w:rsid w:val="68945ADE"/>
    <w:rsid w:val="68C83A2C"/>
    <w:rsid w:val="68FE72F2"/>
    <w:rsid w:val="699020BD"/>
    <w:rsid w:val="69B63164"/>
    <w:rsid w:val="69B77D95"/>
    <w:rsid w:val="6A140B08"/>
    <w:rsid w:val="6A306FD5"/>
    <w:rsid w:val="6A5E353F"/>
    <w:rsid w:val="6A6554B1"/>
    <w:rsid w:val="6A814825"/>
    <w:rsid w:val="6A8F4B70"/>
    <w:rsid w:val="6AAA7F05"/>
    <w:rsid w:val="6B1B0F48"/>
    <w:rsid w:val="6B2066D8"/>
    <w:rsid w:val="6B2112D3"/>
    <w:rsid w:val="6B31301C"/>
    <w:rsid w:val="6B4152C9"/>
    <w:rsid w:val="6B74771A"/>
    <w:rsid w:val="6B7D5532"/>
    <w:rsid w:val="6BA62AE7"/>
    <w:rsid w:val="6BE55BDB"/>
    <w:rsid w:val="6BE87B4E"/>
    <w:rsid w:val="6C1A7F58"/>
    <w:rsid w:val="6C1D1CF9"/>
    <w:rsid w:val="6C300BEF"/>
    <w:rsid w:val="6C3452FF"/>
    <w:rsid w:val="6C47204A"/>
    <w:rsid w:val="6C572AD6"/>
    <w:rsid w:val="6C6927C8"/>
    <w:rsid w:val="6C6E4456"/>
    <w:rsid w:val="6CB67A8F"/>
    <w:rsid w:val="6CDE55AC"/>
    <w:rsid w:val="6CDF3971"/>
    <w:rsid w:val="6CE8101B"/>
    <w:rsid w:val="6CF1619C"/>
    <w:rsid w:val="6D050212"/>
    <w:rsid w:val="6D0F23A9"/>
    <w:rsid w:val="6D697480"/>
    <w:rsid w:val="6D893F17"/>
    <w:rsid w:val="6DBF657D"/>
    <w:rsid w:val="6DFE2CC0"/>
    <w:rsid w:val="6E140543"/>
    <w:rsid w:val="6E1B2EE2"/>
    <w:rsid w:val="6E3902D9"/>
    <w:rsid w:val="6E3C28D9"/>
    <w:rsid w:val="6E5A5B20"/>
    <w:rsid w:val="6E671E2C"/>
    <w:rsid w:val="6E862BAB"/>
    <w:rsid w:val="6EE047B1"/>
    <w:rsid w:val="6F0F3EFF"/>
    <w:rsid w:val="6F1F49C7"/>
    <w:rsid w:val="6F424BBF"/>
    <w:rsid w:val="6F6C2539"/>
    <w:rsid w:val="6FA467D3"/>
    <w:rsid w:val="6FB44E68"/>
    <w:rsid w:val="6FD86002"/>
    <w:rsid w:val="6FF74882"/>
    <w:rsid w:val="70141305"/>
    <w:rsid w:val="70182574"/>
    <w:rsid w:val="701B0414"/>
    <w:rsid w:val="70231548"/>
    <w:rsid w:val="70281357"/>
    <w:rsid w:val="70911170"/>
    <w:rsid w:val="70FA3B22"/>
    <w:rsid w:val="70FC5D7A"/>
    <w:rsid w:val="7107775A"/>
    <w:rsid w:val="7131463F"/>
    <w:rsid w:val="713739D5"/>
    <w:rsid w:val="71490E9E"/>
    <w:rsid w:val="71591747"/>
    <w:rsid w:val="719D16EA"/>
    <w:rsid w:val="719F794D"/>
    <w:rsid w:val="71B06EB4"/>
    <w:rsid w:val="71D337B3"/>
    <w:rsid w:val="71E7711F"/>
    <w:rsid w:val="72260787"/>
    <w:rsid w:val="72765576"/>
    <w:rsid w:val="727D2F63"/>
    <w:rsid w:val="72833D51"/>
    <w:rsid w:val="72875F8F"/>
    <w:rsid w:val="728D332F"/>
    <w:rsid w:val="72CD508A"/>
    <w:rsid w:val="72CE6D21"/>
    <w:rsid w:val="73583994"/>
    <w:rsid w:val="735A01F7"/>
    <w:rsid w:val="735E60F3"/>
    <w:rsid w:val="736A65B5"/>
    <w:rsid w:val="73930D0D"/>
    <w:rsid w:val="739F6DAB"/>
    <w:rsid w:val="73AD7B69"/>
    <w:rsid w:val="744225E5"/>
    <w:rsid w:val="74581611"/>
    <w:rsid w:val="74843801"/>
    <w:rsid w:val="7492677E"/>
    <w:rsid w:val="7492722C"/>
    <w:rsid w:val="74A04E5E"/>
    <w:rsid w:val="74C46C63"/>
    <w:rsid w:val="74F87B8C"/>
    <w:rsid w:val="74F9475B"/>
    <w:rsid w:val="75125EDB"/>
    <w:rsid w:val="75536354"/>
    <w:rsid w:val="75581ED5"/>
    <w:rsid w:val="75B8753B"/>
    <w:rsid w:val="75D42404"/>
    <w:rsid w:val="75EA059C"/>
    <w:rsid w:val="75EF7126"/>
    <w:rsid w:val="760F25E3"/>
    <w:rsid w:val="761D6AB0"/>
    <w:rsid w:val="764C2EAC"/>
    <w:rsid w:val="76576BAA"/>
    <w:rsid w:val="76926D40"/>
    <w:rsid w:val="771010D6"/>
    <w:rsid w:val="772C34D9"/>
    <w:rsid w:val="77457B65"/>
    <w:rsid w:val="7765665E"/>
    <w:rsid w:val="779623CA"/>
    <w:rsid w:val="785E00D6"/>
    <w:rsid w:val="786C0769"/>
    <w:rsid w:val="78A33951"/>
    <w:rsid w:val="78FB0C99"/>
    <w:rsid w:val="791F33D6"/>
    <w:rsid w:val="792D5439"/>
    <w:rsid w:val="79F747D4"/>
    <w:rsid w:val="79FF6961"/>
    <w:rsid w:val="7A074D18"/>
    <w:rsid w:val="7A0B76AE"/>
    <w:rsid w:val="7A241BF8"/>
    <w:rsid w:val="7A3B783D"/>
    <w:rsid w:val="7A570902"/>
    <w:rsid w:val="7A8552D9"/>
    <w:rsid w:val="7A921337"/>
    <w:rsid w:val="7A9B5980"/>
    <w:rsid w:val="7A9F4CE9"/>
    <w:rsid w:val="7AA65250"/>
    <w:rsid w:val="7ACC676C"/>
    <w:rsid w:val="7AE63625"/>
    <w:rsid w:val="7AEA15AD"/>
    <w:rsid w:val="7B322F9B"/>
    <w:rsid w:val="7B325F22"/>
    <w:rsid w:val="7BB747FC"/>
    <w:rsid w:val="7BCD1807"/>
    <w:rsid w:val="7C0E26B2"/>
    <w:rsid w:val="7C563BCF"/>
    <w:rsid w:val="7C920819"/>
    <w:rsid w:val="7C9D25FC"/>
    <w:rsid w:val="7D053E64"/>
    <w:rsid w:val="7D0A2533"/>
    <w:rsid w:val="7D59231D"/>
    <w:rsid w:val="7D9F462E"/>
    <w:rsid w:val="7DDF3170"/>
    <w:rsid w:val="7DEB4885"/>
    <w:rsid w:val="7E184AF6"/>
    <w:rsid w:val="7E233D9B"/>
    <w:rsid w:val="7E2E5E09"/>
    <w:rsid w:val="7E2F0F2C"/>
    <w:rsid w:val="7E514374"/>
    <w:rsid w:val="7E696C29"/>
    <w:rsid w:val="7F0D1DEC"/>
    <w:rsid w:val="7F5A5AD1"/>
    <w:rsid w:val="7F9B2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keepLines/>
      <w:ind w:firstLine="0" w:firstLineChars="0"/>
      <w:jc w:val="center"/>
      <w:outlineLvl w:val="0"/>
    </w:pPr>
    <w:rPr>
      <w:rFonts w:ascii="Calibri" w:hAnsi="Calibri" w:eastAsia="宋体" w:cs="Times New Roman"/>
      <w:b/>
      <w:bCs/>
      <w:kern w:val="44"/>
      <w:sz w:val="36"/>
      <w:szCs w:val="44"/>
    </w:rPr>
  </w:style>
  <w:style w:type="paragraph" w:styleId="3">
    <w:name w:val="heading 2"/>
    <w:basedOn w:val="1"/>
    <w:next w:val="1"/>
    <w:link w:val="27"/>
    <w:autoRedefine/>
    <w:semiHidden/>
    <w:unhideWhenUsed/>
    <w:qFormat/>
    <w:uiPriority w:val="0"/>
    <w:pPr>
      <w:keepNext/>
      <w:keepLines/>
      <w:spacing w:line="360" w:lineRule="auto"/>
      <w:ind w:firstLine="0" w:firstLineChars="0"/>
      <w:outlineLvl w:val="1"/>
    </w:pPr>
    <w:rPr>
      <w:rFonts w:eastAsia="宋体" w:asciiTheme="majorAscii" w:hAnsiTheme="majorAscii" w:cstheme="majorBidi"/>
      <w:b/>
      <w:bCs/>
      <w:color w:val="000000"/>
      <w:sz w:val="32"/>
      <w:szCs w:val="32"/>
    </w:rPr>
  </w:style>
  <w:style w:type="paragraph" w:styleId="4">
    <w:name w:val="heading 3"/>
    <w:basedOn w:val="1"/>
    <w:next w:val="1"/>
    <w:autoRedefine/>
    <w:semiHidden/>
    <w:unhideWhenUsed/>
    <w:qFormat/>
    <w:uiPriority w:val="0"/>
    <w:pPr>
      <w:keepNext/>
      <w:keepLines/>
      <w:spacing w:beforeLines="0" w:beforeAutospacing="0" w:afterLines="0" w:afterAutospacing="0" w:line="360" w:lineRule="auto"/>
      <w:ind w:firstLine="0" w:firstLineChars="0"/>
      <w:jc w:val="left"/>
      <w:outlineLvl w:val="2"/>
    </w:pPr>
    <w:rPr>
      <w:rFonts w:eastAsia="宋体"/>
      <w:b/>
      <w:sz w:val="30"/>
    </w:rPr>
  </w:style>
  <w:style w:type="paragraph" w:styleId="5">
    <w:name w:val="heading 4"/>
    <w:basedOn w:val="1"/>
    <w:next w:val="1"/>
    <w:autoRedefine/>
    <w:qFormat/>
    <w:uiPriority w:val="0"/>
    <w:pPr>
      <w:keepNext/>
      <w:keepLines/>
      <w:widowControl/>
      <w:numPr>
        <w:ilvl w:val="3"/>
        <w:numId w:val="1"/>
      </w:numPr>
      <w:spacing w:line="360" w:lineRule="auto"/>
      <w:ind w:left="0" w:firstLine="0" w:firstLineChars="0"/>
      <w:jc w:val="left"/>
      <w:outlineLvl w:val="3"/>
    </w:pPr>
    <w:rPr>
      <w:b/>
      <w:bCs/>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pPr>
    <w:rPr>
      <w:sz w:val="21"/>
      <w:szCs w:val="20"/>
    </w:rPr>
  </w:style>
  <w:style w:type="paragraph" w:styleId="7">
    <w:name w:val="toa heading"/>
    <w:basedOn w:val="1"/>
    <w:next w:val="1"/>
    <w:autoRedefine/>
    <w:qFormat/>
    <w:uiPriority w:val="0"/>
    <w:pPr>
      <w:spacing w:before="120" w:beforeLines="0" w:beforeAutospacing="0"/>
    </w:pPr>
    <w:rPr>
      <w:rFonts w:ascii="Arial" w:hAnsi="Arial"/>
      <w:sz w:val="24"/>
    </w:rPr>
  </w:style>
  <w:style w:type="paragraph" w:styleId="8">
    <w:name w:val="annotation text"/>
    <w:basedOn w:val="1"/>
    <w:autoRedefine/>
    <w:semiHidden/>
    <w:qFormat/>
    <w:uiPriority w:val="0"/>
    <w:pPr>
      <w:jc w:val="left"/>
    </w:pPr>
    <w:rPr>
      <w:kern w:val="0"/>
      <w:sz w:val="24"/>
      <w:szCs w:val="20"/>
    </w:rPr>
  </w:style>
  <w:style w:type="paragraph" w:styleId="9">
    <w:name w:val="Salutation"/>
    <w:basedOn w:val="1"/>
    <w:next w:val="1"/>
    <w:autoRedefine/>
    <w:unhideWhenUsed/>
    <w:qFormat/>
    <w:uiPriority w:val="0"/>
    <w:pPr>
      <w:autoSpaceDE/>
      <w:autoSpaceDN/>
      <w:adjustRightInd/>
      <w:jc w:val="both"/>
    </w:pPr>
    <w:rPr>
      <w:rFonts w:eastAsia="宋体"/>
      <w:kern w:val="2"/>
      <w:sz w:val="21"/>
    </w:rPr>
  </w:style>
  <w:style w:type="paragraph" w:styleId="10">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next w:val="12"/>
    <w:autoRedefine/>
    <w:qFormat/>
    <w:uiPriority w:val="0"/>
    <w:pPr>
      <w:spacing w:after="120"/>
      <w:ind w:left="420" w:leftChars="200"/>
    </w:pPr>
    <w:rPr>
      <w:kern w:val="0"/>
      <w:sz w:val="24"/>
      <w:szCs w:val="20"/>
    </w:rPr>
  </w:style>
  <w:style w:type="paragraph" w:customStyle="1" w:styleId="12">
    <w:name w:val="样式 正文文本缩进正文文字缩进 + 首行缩进:  2 字符"/>
    <w:basedOn w:val="1"/>
    <w:next w:val="1"/>
    <w:autoRedefine/>
    <w:qFormat/>
    <w:uiPriority w:val="0"/>
    <w:pPr>
      <w:widowControl/>
      <w:spacing w:line="336" w:lineRule="auto"/>
      <w:ind w:firstLine="560"/>
      <w:jc w:val="left"/>
    </w:pPr>
    <w:rPr>
      <w:rFonts w:cs="宋体"/>
      <w:sz w:val="28"/>
      <w:szCs w:val="28"/>
    </w:rPr>
  </w:style>
  <w:style w:type="paragraph" w:styleId="13">
    <w:name w:val="Plain Text"/>
    <w:basedOn w:val="1"/>
    <w:next w:val="9"/>
    <w:autoRedefine/>
    <w:qFormat/>
    <w:uiPriority w:val="99"/>
    <w:pPr>
      <w:autoSpaceDE/>
      <w:autoSpaceDN/>
      <w:adjustRightInd/>
      <w:jc w:val="both"/>
    </w:pPr>
    <w:rPr>
      <w:rFonts w:ascii="宋体" w:hAnsi="Courier New" w:eastAsia="宋体"/>
      <w:kern w:val="2"/>
      <w:sz w:val="21"/>
    </w:rPr>
  </w:style>
  <w:style w:type="paragraph" w:styleId="14">
    <w:name w:val="List Bullet 5"/>
    <w:basedOn w:val="1"/>
    <w:autoRedefine/>
    <w:qFormat/>
    <w:uiPriority w:val="0"/>
    <w:pPr>
      <w:numPr>
        <w:ilvl w:val="0"/>
        <w:numId w:val="2"/>
      </w:numPr>
    </w:pPr>
  </w:style>
  <w:style w:type="paragraph" w:styleId="15">
    <w:name w:val="Date"/>
    <w:basedOn w:val="1"/>
    <w:next w:val="1"/>
    <w:autoRedefine/>
    <w:qFormat/>
    <w:uiPriority w:val="0"/>
    <w:pPr>
      <w:ind w:left="100" w:leftChars="2500"/>
    </w:pPr>
    <w:rPr>
      <w:kern w:val="0"/>
      <w:sz w:val="24"/>
      <w:szCs w:val="20"/>
    </w:rPr>
  </w:style>
  <w:style w:type="paragraph" w:styleId="16">
    <w:name w:val="footer"/>
    <w:basedOn w:val="1"/>
    <w:next w:val="1"/>
    <w:autoRedefine/>
    <w:qFormat/>
    <w:uiPriority w:val="99"/>
    <w:pPr>
      <w:tabs>
        <w:tab w:val="center" w:pos="4153"/>
        <w:tab w:val="right" w:pos="8306"/>
      </w:tabs>
      <w:snapToGrid w:val="0"/>
      <w:jc w:val="left"/>
    </w:pPr>
    <w:rPr>
      <w:kern w:val="0"/>
      <w:sz w:val="18"/>
      <w:szCs w:val="20"/>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Body Text 2"/>
    <w:basedOn w:val="1"/>
    <w:next w:val="1"/>
    <w:autoRedefine/>
    <w:qFormat/>
    <w:uiPriority w:val="0"/>
    <w:pPr>
      <w:spacing w:after="120" w:line="480" w:lineRule="auto"/>
    </w:pPr>
    <w:rPr>
      <w:rFonts w:ascii="Calibri" w:hAnsi="Calibri"/>
    </w:rPr>
  </w:style>
  <w:style w:type="paragraph" w:styleId="19">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0">
    <w:name w:val="Body Text First Indent 2"/>
    <w:basedOn w:val="11"/>
    <w:next w:val="1"/>
    <w:autoRedefine/>
    <w:qFormat/>
    <w:uiPriority w:val="0"/>
    <w:pPr>
      <w:ind w:firstLine="420" w:firstLineChars="200"/>
    </w:pPr>
    <w:rPr>
      <w:kern w:val="2"/>
      <w:sz w:val="21"/>
      <w:szCs w:val="24"/>
    </w:r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autoRedefine/>
    <w:qFormat/>
    <w:uiPriority w:val="0"/>
  </w:style>
  <w:style w:type="character" w:styleId="25">
    <w:name w:val="annotation reference"/>
    <w:basedOn w:val="23"/>
    <w:autoRedefine/>
    <w:semiHidden/>
    <w:qFormat/>
    <w:uiPriority w:val="0"/>
    <w:rPr>
      <w:sz w:val="21"/>
    </w:rPr>
  </w:style>
  <w:style w:type="paragraph" w:customStyle="1" w:styleId="26">
    <w:name w:val="标题三三"/>
    <w:basedOn w:val="1"/>
    <w:next w:val="1"/>
    <w:autoRedefine/>
    <w:qFormat/>
    <w:uiPriority w:val="0"/>
    <w:pPr>
      <w:spacing w:before="50"/>
      <w:outlineLvl w:val="2"/>
    </w:pPr>
    <w:rPr>
      <w:rFonts w:ascii="Times New Roman" w:hAnsi="Times New Roman" w:eastAsia="黑体" w:cs="Times New Roman"/>
      <w:color w:val="000000"/>
      <w:kern w:val="0"/>
      <w:sz w:val="24"/>
      <w:szCs w:val="21"/>
    </w:rPr>
  </w:style>
  <w:style w:type="character" w:customStyle="1" w:styleId="27">
    <w:name w:val="标题 2 Char"/>
    <w:link w:val="3"/>
    <w:autoRedefine/>
    <w:qFormat/>
    <w:uiPriority w:val="0"/>
    <w:rPr>
      <w:rFonts w:ascii="Times New Roman" w:hAnsi="Times New Roman" w:eastAsia="宋体" w:cs="Times New Roman"/>
      <w:b/>
      <w:color w:val="000000"/>
      <w:kern w:val="2"/>
      <w:sz w:val="32"/>
      <w:szCs w:val="24"/>
      <w:lang w:val="en-US" w:eastAsia="zh-CN" w:bidi="ar-SA"/>
    </w:rPr>
  </w:style>
  <w:style w:type="paragraph" w:customStyle="1" w:styleId="28">
    <w:name w:val="xl27"/>
    <w:basedOn w:val="1"/>
    <w:next w:val="29"/>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29">
    <w:name w:val="A正文"/>
    <w:basedOn w:val="1"/>
    <w:next w:val="10"/>
    <w:autoRedefine/>
    <w:qFormat/>
    <w:uiPriority w:val="0"/>
    <w:pPr>
      <w:overflowPunct w:val="0"/>
      <w:autoSpaceDE w:val="0"/>
      <w:autoSpaceDN w:val="0"/>
      <w:textAlignment w:val="baseline"/>
    </w:pPr>
  </w:style>
  <w:style w:type="paragraph" w:customStyle="1" w:styleId="30">
    <w:name w:val="Table Text"/>
    <w:basedOn w:val="1"/>
    <w:autoRedefine/>
    <w:semiHidden/>
    <w:qFormat/>
    <w:uiPriority w:val="0"/>
    <w:rPr>
      <w:rFonts w:ascii="宋体" w:hAnsi="宋体" w:eastAsia="宋体" w:cs="宋体"/>
      <w:sz w:val="24"/>
      <w:szCs w:val="24"/>
      <w:lang w:val="en-US" w:eastAsia="en-US" w:bidi="ar-SA"/>
    </w:rPr>
  </w:style>
  <w:style w:type="paragraph" w:customStyle="1" w:styleId="31">
    <w:name w:val="4正文 Char"/>
    <w:basedOn w:val="1"/>
    <w:autoRedefine/>
    <w:qFormat/>
    <w:uiPriority w:val="0"/>
    <w:pPr>
      <w:spacing w:line="360" w:lineRule="auto"/>
      <w:ind w:firstLine="480" w:firstLineChars="200"/>
    </w:pPr>
    <w:rPr>
      <w:sz w:val="24"/>
      <w:szCs w:val="20"/>
    </w:rPr>
  </w:style>
  <w:style w:type="paragraph" w:customStyle="1" w:styleId="32">
    <w:name w:val="Default"/>
    <w:basedOn w:val="33"/>
    <w:autoRedefine/>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3">
    <w:name w:val="纯文本1"/>
    <w:basedOn w:val="1"/>
    <w:autoRedefine/>
    <w:qFormat/>
    <w:uiPriority w:val="0"/>
    <w:pPr>
      <w:adjustRightInd w:val="0"/>
    </w:pPr>
    <w:rPr>
      <w:rFonts w:ascii="宋体" w:hAnsi="Courier New"/>
      <w:szCs w:val="20"/>
    </w:rPr>
  </w:style>
  <w:style w:type="paragraph" w:customStyle="1" w:styleId="34">
    <w:name w:val="正文 首行缩进:  2 字符"/>
    <w:autoRedefine/>
    <w:qFormat/>
    <w:uiPriority w:val="0"/>
    <w:pPr>
      <w:widowControl w:val="0"/>
      <w:spacing w:beforeLines="50" w:line="360" w:lineRule="auto"/>
      <w:ind w:firstLine="420" w:firstLineChars="200"/>
      <w:jc w:val="both"/>
    </w:pPr>
    <w:rPr>
      <w:rFonts w:ascii="宋体" w:hAnsi="宋体" w:eastAsia="宋体" w:cs="Times New Roman"/>
      <w:color w:val="000000"/>
      <w:kern w:val="2"/>
      <w:sz w:val="21"/>
      <w:szCs w:val="24"/>
      <w:lang w:val="en-US" w:eastAsia="zh-CN" w:bidi="ar-SA"/>
    </w:rPr>
  </w:style>
  <w:style w:type="paragraph" w:customStyle="1" w:styleId="35">
    <w:name w:val="表格正文"/>
    <w:basedOn w:val="6"/>
    <w:autoRedefine/>
    <w:qFormat/>
    <w:uiPriority w:val="0"/>
    <w:pPr>
      <w:widowControl/>
      <w:tabs>
        <w:tab w:val="left" w:pos="995"/>
      </w:tabs>
      <w:spacing w:line="240" w:lineRule="auto"/>
      <w:ind w:firstLine="0" w:firstLineChars="0"/>
      <w:jc w:val="center"/>
    </w:pPr>
    <w:rPr>
      <w:kern w:val="0"/>
      <w:sz w:val="18"/>
      <w:szCs w:val="20"/>
    </w:rPr>
  </w:style>
  <w:style w:type="paragraph" w:customStyle="1" w:styleId="36">
    <w:name w:val="表头"/>
    <w:basedOn w:val="1"/>
    <w:autoRedefine/>
    <w:qFormat/>
    <w:uiPriority w:val="0"/>
    <w:pPr>
      <w:tabs>
        <w:tab w:val="left" w:pos="1021"/>
      </w:tabs>
      <w:adjustRightInd w:val="0"/>
      <w:spacing w:line="360" w:lineRule="auto"/>
      <w:jc w:val="center"/>
    </w:pPr>
    <w:rPr>
      <w:rFonts w:hAnsi="宋体"/>
      <w:b/>
      <w:color w:val="000000"/>
      <w:kern w:val="24"/>
      <w:sz w:val="24"/>
    </w:rPr>
  </w:style>
  <w:style w:type="paragraph" w:customStyle="1" w:styleId="37">
    <w:name w:val="表格内容自定"/>
    <w:basedOn w:val="1"/>
    <w:autoRedefine/>
    <w:qFormat/>
    <w:uiPriority w:val="0"/>
    <w:pPr>
      <w:spacing w:line="280" w:lineRule="exact"/>
      <w:jc w:val="center"/>
    </w:pPr>
    <w:rPr>
      <w:rFonts w:ascii="宋体" w:hAnsi="宋体" w:cs="宋体"/>
      <w:sz w:val="18"/>
      <w:szCs w:val="21"/>
    </w:rPr>
  </w:style>
  <w:style w:type="paragraph" w:styleId="38">
    <w:name w:val="List Paragraph"/>
    <w:basedOn w:val="1"/>
    <w:autoRedefine/>
    <w:qFormat/>
    <w:uiPriority w:val="0"/>
    <w:pPr>
      <w:spacing w:line="500" w:lineRule="exact"/>
      <w:ind w:firstLine="420" w:firstLineChars="200"/>
    </w:pPr>
    <w:rPr>
      <w:sz w:val="24"/>
    </w:rPr>
  </w:style>
  <w:style w:type="paragraph" w:customStyle="1" w:styleId="39">
    <w:name w:val="Table Paragraph"/>
    <w:basedOn w:val="1"/>
    <w:autoRedefine/>
    <w:qFormat/>
    <w:uiPriority w:val="1"/>
    <w:rPr>
      <w:rFonts w:ascii="宋体" w:hAnsi="宋体" w:eastAsia="宋体" w:cs="宋体"/>
      <w:lang w:val="en-US" w:eastAsia="zh-CN" w:bidi="ar-SA"/>
    </w:rPr>
  </w:style>
  <w:style w:type="paragraph" w:customStyle="1" w:styleId="40">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1">
    <w:name w:val="正文2"/>
    <w:basedOn w:val="1"/>
    <w:autoRedefine/>
    <w:qFormat/>
    <w:uiPriority w:val="0"/>
    <w:pPr>
      <w:adjustRightInd w:val="0"/>
      <w:snapToGrid w:val="0"/>
      <w:spacing w:line="440" w:lineRule="atLeast"/>
      <w:ind w:firstLine="567"/>
    </w:pPr>
    <w:rPr>
      <w:sz w:val="24"/>
      <w:szCs w:val="20"/>
    </w:rPr>
  </w:style>
  <w:style w:type="paragraph" w:customStyle="1" w:styleId="42">
    <w:name w:val="表样式1"/>
    <w:basedOn w:val="1"/>
    <w:autoRedefine/>
    <w:qFormat/>
    <w:uiPriority w:val="0"/>
    <w:pPr>
      <w:snapToGrid w:val="0"/>
      <w:jc w:val="center"/>
    </w:pPr>
    <w:rPr>
      <w:color w:val="000000"/>
      <w:szCs w:val="21"/>
    </w:rPr>
  </w:style>
  <w:style w:type="paragraph" w:customStyle="1" w:styleId="43">
    <w:name w:val="正文_7"/>
    <w:autoRedefine/>
    <w:qFormat/>
    <w:uiPriority w:val="0"/>
    <w:pPr>
      <w:widowControl w:val="0"/>
      <w:jc w:val="both"/>
    </w:pPr>
    <w:rPr>
      <w:rFonts w:ascii="Calibri" w:hAnsi="Calibri" w:eastAsia="宋体" w:cs="Times New Roman"/>
      <w:lang w:val="en-US" w:eastAsia="zh-CN" w:bidi="ar-SA"/>
    </w:rPr>
  </w:style>
  <w:style w:type="character" w:customStyle="1" w:styleId="44">
    <w:name w:val="fontstyle11"/>
    <w:autoRedefine/>
    <w:qFormat/>
    <w:uiPriority w:val="0"/>
    <w:rPr>
      <w:rFonts w:hint="default" w:ascii="Times New Roman" w:hAnsi="Times New Roman" w:cs="Times New Roman"/>
      <w:b/>
      <w:color w:val="000000"/>
      <w:sz w:val="22"/>
      <w:szCs w:val="22"/>
    </w:rPr>
  </w:style>
  <w:style w:type="paragraph" w:customStyle="1" w:styleId="45">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6">
    <w:name w:val="正式文本"/>
    <w:basedOn w:val="1"/>
    <w:autoRedefine/>
    <w:qFormat/>
    <w:uiPriority w:val="0"/>
    <w:pPr>
      <w:adjustRightInd w:val="0"/>
      <w:snapToGrid w:val="0"/>
      <w:spacing w:line="360" w:lineRule="auto"/>
      <w:ind w:firstLine="420" w:firstLineChars="200"/>
      <w:jc w:val="left"/>
    </w:pPr>
    <w:rPr>
      <w:bCs/>
      <w:szCs w:val="21"/>
    </w:rPr>
  </w:style>
  <w:style w:type="paragraph" w:customStyle="1" w:styleId="47">
    <w:name w:val="xl23"/>
    <w:basedOn w:val="1"/>
    <w:autoRedefine/>
    <w:qFormat/>
    <w:uiPriority w:val="0"/>
    <w:pPr>
      <w:widowControl/>
      <w:spacing w:beforeAutospacing="1" w:afterAutospacing="1"/>
      <w:jc w:val="center"/>
    </w:pPr>
    <w:rPr>
      <w:rFonts w:ascii="Arial Unicode MS" w:hAnsi="Arial Unicode MS"/>
      <w:kern w:val="0"/>
      <w:sz w:val="24"/>
    </w:rPr>
  </w:style>
  <w:style w:type="paragraph" w:customStyle="1" w:styleId="48">
    <w:name w:val="表格内容"/>
    <w:basedOn w:val="1"/>
    <w:autoRedefine/>
    <w:qFormat/>
    <w:uiPriority w:val="0"/>
    <w:pPr>
      <w:spacing w:line="240" w:lineRule="atLeast"/>
      <w:jc w:val="center"/>
    </w:pPr>
    <w:rPr>
      <w:szCs w:val="20"/>
    </w:rPr>
  </w:style>
  <w:style w:type="character" w:customStyle="1" w:styleId="49">
    <w:name w:val="font11"/>
    <w:basedOn w:val="23"/>
    <w:autoRedefine/>
    <w:qFormat/>
    <w:uiPriority w:val="0"/>
    <w:rPr>
      <w:rFonts w:hint="eastAsia" w:ascii="宋体" w:hAnsi="宋体" w:eastAsia="宋体" w:cs="宋体"/>
      <w:b/>
      <w:bCs/>
      <w:color w:val="000000"/>
      <w:sz w:val="21"/>
      <w:szCs w:val="21"/>
      <w:u w:val="none"/>
    </w:rPr>
  </w:style>
  <w:style w:type="character" w:customStyle="1" w:styleId="50">
    <w:name w:val="font21"/>
    <w:basedOn w:val="23"/>
    <w:autoRedefine/>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61" textRotate="1"/>
    <customShpInfo spid="_x0000_s1062" textRotate="1"/>
    <customShpInfo spid="_x0000_s1057"/>
    <customShpInfo spid="_x0000_s1058"/>
    <customShpInfo spid="_x0000_s1059"/>
    <customShpInfo spid="_x0000_s106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69</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2023-12-25T03:55:00Z</dcterms:created>
  <dc:creator>Administrator</dc:creator>
  <cp:lastModifiedBy>三月的温暖十二月的风！</cp:lastModifiedBy>
  <cp:lastPrinted>2024-01-15T10:48:00Z</cp:lastPrinted>
  <dcterms:modified xsi:type="dcterms:W3CDTF">2024-02-07T01:12:02Z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99585CB263B2490F85388D135DE93D34_13</vt:lpwstr>
  </property>
</Properties>
</file>