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eastAsia="zh-CN"/>
        </w:rPr>
        <w:t>相山区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东山街道20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年政府信息公开工作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本报告依据《中华人民共和国政府信息公开条例》（国务院令第711号）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《国务院办公厅政府信息与政务公开办公室关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印发&lt;中华人民共和国政府信息公开工作年度报告格式&gt;的通知》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国办公开办函﹝2021﹞30号）要求，由相山区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东山街道办事处综合办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编制。报告主要包括：总体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、主动公开政府信息情况、收到和处理政府信息公开申请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、政府信息公开行政复议、行政诉讼情况、存在的主要问题及改进情况和其他需要报告的事项。本报告中所列数据的统计期限自202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1日起至202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年12月31日止。如有疑问，请与淮北市相山区东山街道办事处综合办公室联系。（地址：淮北市南湖路9号，邮编：235000，电话:0561-3953716）。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东山街道办事处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坚持以习近平新时代中国特色社会主义思想为指导，紧紧围绕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政府中心工作和群众关切，紧盯2021年度政府信息公开工作中的薄弱环节，不断深化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信息主动公开，提升依申请公开办理规范化，持续加强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信息管理，政务公开工作质效得到有效提升。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（1）主动公开情况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严格落实《中华人民共和国政府信息公开条例》第二十条规定，坚持“以公开为常态、不公开为例外”原则，通过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政府门户网站，深入推进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信息主动公开。加强基础信息维护和重点领域信息发布。截至202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年12月31日，新增主动公开政府信息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条。其中包括：重大决策预公开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条，重点工作规划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条，决策部署落实情况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条，建议提案办理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条，机构领导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条，机构设置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条，财政资金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条，应急管理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条，权责清单和动态调整情况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条，公共服务清单和中介服务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条，行政权力运行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条，上级政策解读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条，本级政策解读2条，重点领域新公开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条，主动回应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条，监督保障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（2）依申请公开情况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东山街道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未发生依申请公开政府信息和不予公开政府信息的情况。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（3）政府信息管理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加强内部协同合作，严把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信息公开保密审查关，防范失泄密风险；严格落实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公文公开性审核、签发同步审签制度，涉及公众利益调整的重大政策措施均做到100%主动公开；定期清理失效、废止的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规章以及行政规范性文件，在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政府门户网站建立现行有效规范性文件库专栏，集中统一对外公开，提升公众查阅便利度。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Calibri" w:hAnsi="Calibri" w:eastAsia="仿宋" w:cs="Calibr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（4）政府信息公开平台建设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着力政府网站和政务新媒体日常监管运维，定期组织三方检测普查.一年来，未出现被区政府通报的不合格政府网站和政务新媒体。完成区政府门户网站适老化、无障碍功能改造，提升面向老年人、残障人士等特殊群体的服务水平；动态维护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政府信息公开目录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，推动政务公开、政民互动等板块均衡、融合发展。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default" w:ascii="Calibri" w:hAnsi="Calibri" w:eastAsia="仿宋_GB2312" w:cs="Calibr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（5）监督保障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专门人员对政府信息公开相关工作开展情况进行检查，对政府信息公开工作开展不好的部门进行培训、现场辅导，取得了良好的成效。加强政府文件的规范化、标准化、信息化管理,常态化开展监管，完善信息公开保密审查制度，按照“谁提供、谁审核、谁负责”的原则，对部门信息审核后予以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074"/>
        <w:gridCol w:w="3112"/>
        <w:gridCol w:w="683"/>
        <w:gridCol w:w="683"/>
        <w:gridCol w:w="683"/>
        <w:gridCol w:w="683"/>
        <w:gridCol w:w="683"/>
        <w:gridCol w:w="683"/>
        <w:gridCol w:w="6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8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东山街道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在认真学习落实相关文件的基础上，政府信息公开水平得到进一步的提升。但在信息公开的深度和广度上有待拓展，政策解读、政民互动方面进一步加强。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一步，我们将创新方式方法、努力提升服务效能，进一步提高政府信息公开工作水平。加大推进政务信息公开标准化规范化，持续深化政策解读，准确传递政策意图，服务经济社会发展。同时，强化政务新媒体日常监管。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政务新媒体有序运维，努力建设具有强大传播力、有效引导力、广泛影响力、深厚公信力的政务新媒体。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按照《国务院办公厅关于印发〈政府信息公开信息处理费管理办法〉的通知》（国办函［2020］109号）规定在按件、按量收费标准，本年度本单位没有产生信息公开处理费。本单位无其它需要报告的事项。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4331D"/>
    <w:multiLevelType w:val="singleLevel"/>
    <w:tmpl w:val="CF0433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mE3MzVjNWNjNjYwM2M5Mzc3NDU3ZjQyNDE3MjQifQ=="/>
  </w:docVars>
  <w:rsids>
    <w:rsidRoot w:val="00000000"/>
    <w:rsid w:val="013637D1"/>
    <w:rsid w:val="025D6B3C"/>
    <w:rsid w:val="02781BC8"/>
    <w:rsid w:val="0798130F"/>
    <w:rsid w:val="13204B77"/>
    <w:rsid w:val="13223BB5"/>
    <w:rsid w:val="175D288F"/>
    <w:rsid w:val="1E2A7DC2"/>
    <w:rsid w:val="1F890B18"/>
    <w:rsid w:val="20F16975"/>
    <w:rsid w:val="2253227C"/>
    <w:rsid w:val="239A32F4"/>
    <w:rsid w:val="3687718E"/>
    <w:rsid w:val="3697337F"/>
    <w:rsid w:val="37D1156D"/>
    <w:rsid w:val="39005FE0"/>
    <w:rsid w:val="3BF73658"/>
    <w:rsid w:val="449C7063"/>
    <w:rsid w:val="45603F46"/>
    <w:rsid w:val="47D93B3C"/>
    <w:rsid w:val="48C7608A"/>
    <w:rsid w:val="4A1436A4"/>
    <w:rsid w:val="4CD34FFD"/>
    <w:rsid w:val="4CFB18E4"/>
    <w:rsid w:val="4F6D2D16"/>
    <w:rsid w:val="540D34EB"/>
    <w:rsid w:val="5503669C"/>
    <w:rsid w:val="59CC0CC5"/>
    <w:rsid w:val="5EF855EC"/>
    <w:rsid w:val="5F177A55"/>
    <w:rsid w:val="6017749F"/>
    <w:rsid w:val="615C1384"/>
    <w:rsid w:val="62D00439"/>
    <w:rsid w:val="632641AF"/>
    <w:rsid w:val="6B3D45A9"/>
    <w:rsid w:val="6D7D4DE5"/>
    <w:rsid w:val="6E4816BE"/>
    <w:rsid w:val="6F9A5386"/>
    <w:rsid w:val="738B7B30"/>
    <w:rsid w:val="79144BAD"/>
    <w:rsid w:val="7AD86AF4"/>
    <w:rsid w:val="7C413482"/>
    <w:rsid w:val="7CDD1AED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2427</Words>
  <Characters>2516</Characters>
  <Lines>0</Lines>
  <Paragraphs>0</Paragraphs>
  <TotalTime>3</TotalTime>
  <ScaleCrop>false</ScaleCrop>
  <LinksUpToDate>false</LinksUpToDate>
  <CharactersWithSpaces>2516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2023-01-17T03:32:00Z</dcterms:created>
  <dc:creator>Administrator</dc:creator>
  <cp:lastModifiedBy></cp:lastModifiedBy>
  <dcterms:modified xsi:type="dcterms:W3CDTF">2024-02-28T02:05:25Z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C148A880537A432DA46741342AC3303C</vt:lpwstr>
  </property>
</Properties>
</file>