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淮北市</w:t>
      </w:r>
      <w:r>
        <w:rPr>
          <w:rFonts w:hint="eastAsia" w:ascii="宋体" w:hAnsi="宋体"/>
          <w:b/>
          <w:sz w:val="36"/>
          <w:szCs w:val="36"/>
          <w:lang w:eastAsia="zh-CN"/>
        </w:rPr>
        <w:t>相山区民政</w:t>
      </w:r>
      <w:r>
        <w:rPr>
          <w:rFonts w:hint="eastAsia" w:ascii="宋体" w:hAnsi="宋体"/>
          <w:b/>
          <w:sz w:val="36"/>
          <w:szCs w:val="36"/>
        </w:rPr>
        <w:t>局</w:t>
      </w:r>
      <w:r>
        <w:rPr>
          <w:rFonts w:hint="eastAsia" w:ascii="宋体" w:hAnsi="宋体"/>
          <w:b/>
          <w:sz w:val="36"/>
          <w:szCs w:val="36"/>
          <w:lang w:eastAsia="zh-CN"/>
        </w:rPr>
        <w:t>202</w:t>
      </w:r>
      <w:r>
        <w:rPr>
          <w:rFonts w:hint="eastAsia" w:ascii="宋体" w:hAnsi="宋体"/>
          <w:b/>
          <w:sz w:val="36"/>
          <w:szCs w:val="36"/>
          <w:lang w:val="en-US" w:eastAsia="zh-CN"/>
        </w:rPr>
        <w:t>2</w:t>
      </w:r>
      <w:r>
        <w:rPr>
          <w:rFonts w:ascii="宋体" w:hAnsi="宋体"/>
          <w:b/>
          <w:sz w:val="36"/>
          <w:szCs w:val="36"/>
        </w:rPr>
        <w:t>年</w:t>
      </w:r>
      <w:r>
        <w:rPr>
          <w:rFonts w:hint="eastAsia" w:ascii="宋体" w:hAnsi="宋体"/>
          <w:b/>
          <w:sz w:val="36"/>
          <w:szCs w:val="36"/>
        </w:rPr>
        <w:t>度一般公共预算财政</w:t>
      </w:r>
    </w:p>
    <w:p>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ascii="楷体_GB2312" w:eastAsia="楷体_GB2312"/>
          <w:szCs w:val="32"/>
        </w:rPr>
      </w:pPr>
    </w:p>
    <w:p>
      <w:pPr>
        <w:jc w:val="center"/>
        <w:rPr>
          <w:rFonts w:ascii="楷体_GB2312" w:eastAsia="楷体_GB2312"/>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567" w:hRule="exac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567"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1.60</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0.72</w:t>
            </w:r>
            <w:r>
              <w:rPr>
                <w:rFonts w:hint="eastAsia" w:ascii="宋体" w:hAnsi="宋体" w:cs="宋体"/>
                <w:b/>
                <w:bCs/>
                <w:kern w:val="0"/>
                <w:szCs w:val="21"/>
              </w:rPr>
              <w:t>　</w:t>
            </w:r>
          </w:p>
        </w:tc>
      </w:tr>
      <w:tr>
        <w:tblPrEx>
          <w:tblCellMar>
            <w:top w:w="0" w:type="dxa"/>
            <w:left w:w="108" w:type="dxa"/>
            <w:bottom w:w="0" w:type="dxa"/>
            <w:right w:w="108" w:type="dxa"/>
          </w:tblCellMar>
        </w:tblPrEx>
        <w:trPr>
          <w:trHeight w:val="590"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ind w:firstLine="320" w:firstLineChars="100"/>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 xml:space="preserve">  </w:t>
            </w:r>
            <w:bookmarkStart w:id="0" w:name="_GoBack"/>
            <w:bookmarkEnd w:id="0"/>
            <w:r>
              <w:rPr>
                <w:rFonts w:hint="eastAsia" w:ascii="宋体" w:hAnsi="宋体" w:cs="宋体"/>
                <w:kern w:val="0"/>
                <w:szCs w:val="21"/>
                <w:lang w:val="en-US" w:eastAsia="zh-CN"/>
              </w:rPr>
              <w:t>0.72</w:t>
            </w:r>
          </w:p>
        </w:tc>
      </w:tr>
      <w:tr>
        <w:tblPrEx>
          <w:tblCellMar>
            <w:top w:w="0" w:type="dxa"/>
            <w:left w:w="108" w:type="dxa"/>
            <w:bottom w:w="0" w:type="dxa"/>
            <w:right w:w="108" w:type="dxa"/>
          </w:tblCellMar>
        </w:tblPrEx>
        <w:trPr>
          <w:trHeight w:val="567"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exac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bl>
    <w:p>
      <w:pPr>
        <w:ind w:firstLine="420" w:firstLineChars="200"/>
        <w:rPr>
          <w:rFonts w:hint="eastAsia" w:ascii="仿宋_GB2312" w:hAnsi="仿宋"/>
          <w:color w:val="auto"/>
          <w:sz w:val="21"/>
          <w:szCs w:val="21"/>
          <w:lang w:val="en-US" w:eastAsia="zh-CN"/>
        </w:rPr>
      </w:pPr>
    </w:p>
    <w:p>
      <w:pPr>
        <w:ind w:firstLine="420" w:firstLineChars="200"/>
        <w:rPr>
          <w:rFonts w:ascii="黑体" w:hAnsi="黑体" w:eastAsia="黑体"/>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pPr>
        <w:ind w:firstLine="640"/>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eastAsia="仿宋_GB2312"/>
          <w:szCs w:val="32"/>
          <w:lang w:eastAsia="zh-CN"/>
        </w:rPr>
      </w:pPr>
      <w:r>
        <w:rPr>
          <w:rFonts w:hint="eastAsia" w:ascii="仿宋_GB2312" w:hAnsi="仿宋"/>
          <w:szCs w:val="32"/>
          <w:lang w:eastAsia="zh-CN"/>
        </w:rPr>
        <w:t>淮北市相山区民政</w:t>
      </w:r>
      <w:r>
        <w:rPr>
          <w:rFonts w:hint="eastAsia" w:ascii="仿宋_GB2312" w:hAnsi="仿宋"/>
          <w:szCs w:val="32"/>
        </w:rPr>
        <w:t>局</w:t>
      </w:r>
      <w:r>
        <w:rPr>
          <w:rFonts w:hint="eastAsia" w:ascii="仿宋_GB2312" w:hAnsi="仿宋"/>
          <w:szCs w:val="32"/>
          <w:lang w:eastAsia="zh-CN"/>
        </w:rPr>
        <w:t>2022</w:t>
      </w:r>
      <w:r>
        <w:rPr>
          <w:rFonts w:hint="eastAsia" w:ascii="仿宋_GB2312" w:hAnsi="仿宋"/>
          <w:szCs w:val="32"/>
        </w:rPr>
        <w:t>年度一般公共预算财政拨款</w:t>
      </w:r>
      <w:r>
        <w:rPr>
          <w:rFonts w:hint="eastAsia" w:ascii="仿宋_GB2312" w:hAnsi="仿宋" w:cs="Times New Roman"/>
          <w:szCs w:val="32"/>
          <w:lang w:eastAsia="zh-CN"/>
        </w:rPr>
        <w:t>“三公”经费</w:t>
      </w:r>
      <w:r>
        <w:rPr>
          <w:rFonts w:hint="eastAsia" w:ascii="仿宋_GB2312" w:hAnsi="仿宋" w:cs="Times New Roman"/>
          <w:color w:val="auto"/>
          <w:szCs w:val="32"/>
          <w:lang w:eastAsia="zh-CN"/>
        </w:rPr>
        <w:t>支出</w:t>
      </w:r>
      <w:r>
        <w:rPr>
          <w:rFonts w:hint="eastAsia" w:ascii="仿宋_GB2312" w:hAnsi="仿宋"/>
          <w:color w:val="auto"/>
          <w:szCs w:val="32"/>
        </w:rPr>
        <w:t>预算为</w:t>
      </w:r>
      <w:r>
        <w:rPr>
          <w:rFonts w:hint="eastAsia" w:ascii="仿宋_GB2312" w:hAnsi="仿宋"/>
          <w:color w:val="auto"/>
          <w:szCs w:val="32"/>
          <w:lang w:val="en-US" w:eastAsia="zh-CN"/>
        </w:rPr>
        <w:t>1.6</w:t>
      </w:r>
      <w:r>
        <w:rPr>
          <w:rFonts w:hint="eastAsia" w:ascii="仿宋_GB2312" w:hAnsi="仿宋"/>
          <w:color w:val="auto"/>
          <w:szCs w:val="32"/>
        </w:rPr>
        <w:t>万元，支出决算为</w:t>
      </w:r>
      <w:r>
        <w:rPr>
          <w:rFonts w:hint="eastAsia" w:ascii="仿宋_GB2312" w:hAnsi="仿宋"/>
          <w:color w:val="auto"/>
          <w:szCs w:val="32"/>
          <w:lang w:val="en-US" w:eastAsia="zh-CN"/>
        </w:rPr>
        <w:t>0.72</w:t>
      </w:r>
      <w:r>
        <w:rPr>
          <w:rFonts w:hint="eastAsia" w:ascii="仿宋_GB2312" w:hAnsi="仿宋"/>
          <w:color w:val="auto"/>
          <w:szCs w:val="32"/>
        </w:rPr>
        <w:t>万元，完成预算的</w:t>
      </w:r>
      <w:r>
        <w:rPr>
          <w:rFonts w:hint="eastAsia" w:ascii="仿宋_GB2312" w:hAnsi="仿宋"/>
          <w:color w:val="auto"/>
          <w:szCs w:val="32"/>
          <w:lang w:val="en-US" w:eastAsia="zh-CN"/>
        </w:rPr>
        <w:t>45</w:t>
      </w:r>
      <w:r>
        <w:rPr>
          <w:rFonts w:hint="eastAsia" w:ascii="仿宋_GB2312" w:hAnsi="仿宋"/>
          <w:color w:val="auto"/>
          <w:szCs w:val="32"/>
        </w:rPr>
        <w:t>%</w:t>
      </w:r>
      <w:r>
        <w:rPr>
          <w:rFonts w:hint="eastAsia" w:ascii="仿宋_GB2312" w:hAnsi="仿宋"/>
          <w:color w:val="auto"/>
          <w:szCs w:val="32"/>
          <w:lang w:val="en-US"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0.32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30.77%。</w:t>
      </w:r>
      <w:r>
        <w:rPr>
          <w:rFonts w:hint="eastAsia" w:ascii="仿宋_GB2312" w:hAnsi="仿宋"/>
          <w:color w:val="auto"/>
          <w:szCs w:val="32"/>
        </w:rPr>
        <w:t>决算数</w:t>
      </w:r>
      <w:r>
        <w:rPr>
          <w:rFonts w:hint="eastAsia" w:ascii="仿宋_GB2312" w:hAnsi="仿宋"/>
          <w:color w:val="auto"/>
          <w:szCs w:val="32"/>
          <w:lang w:eastAsia="zh-CN"/>
        </w:rPr>
        <w:t>小</w:t>
      </w:r>
      <w:r>
        <w:rPr>
          <w:rFonts w:hint="eastAsia" w:ascii="仿宋_GB2312" w:hAnsi="仿宋"/>
          <w:color w:val="auto"/>
          <w:szCs w:val="32"/>
        </w:rPr>
        <w:t>于预算数的主要原因是</w:t>
      </w:r>
      <w:r>
        <w:rPr>
          <w:rFonts w:hint="eastAsia" w:ascii="仿宋_GB2312" w:hAnsi="仿宋"/>
          <w:szCs w:val="32"/>
        </w:rPr>
        <w:t>压缩开支、厉行节约。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cs="Times New Roman"/>
          <w:b/>
          <w:szCs w:val="32"/>
        </w:rPr>
      </w:pPr>
      <w:r>
        <w:rPr>
          <w:rFonts w:hint="eastAsia" w:ascii="仿宋_GB2312" w:hAnsi="仿宋" w:cs="Times New Roman"/>
          <w:b/>
          <w:szCs w:val="32"/>
        </w:rPr>
        <w:t>（二）一般公共预算财政拨款“三公”经费支出决算具体情况说明。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szCs w:val="32"/>
        </w:rPr>
      </w:pPr>
      <w:r>
        <w:rPr>
          <w:rFonts w:hint="eastAsia" w:ascii="仿宋_GB2312" w:hAnsi="仿宋"/>
          <w:szCs w:val="32"/>
          <w:lang w:eastAsia="zh-CN"/>
        </w:rPr>
        <w:t>淮北市相山区民政</w:t>
      </w:r>
      <w:r>
        <w:rPr>
          <w:rFonts w:hint="eastAsia" w:ascii="仿宋_GB2312" w:hAnsi="仿宋"/>
          <w:szCs w:val="32"/>
        </w:rPr>
        <w:t>局</w:t>
      </w:r>
      <w:r>
        <w:rPr>
          <w:rFonts w:hint="eastAsia" w:ascii="仿宋_GB2312" w:hAnsi="仿宋"/>
          <w:szCs w:val="32"/>
          <w:lang w:eastAsia="zh-CN"/>
        </w:rPr>
        <w:t>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0.72</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szCs w:val="32"/>
        </w:rPr>
      </w:pPr>
      <w:r>
        <w:rPr>
          <w:rFonts w:hint="eastAsia" w:ascii="仿宋_GB2312" w:hAnsi="仿宋"/>
          <w:b/>
          <w:bCs/>
          <w:szCs w:val="32"/>
        </w:rPr>
        <w:t>1.因公出国（境）费</w:t>
      </w:r>
      <w:r>
        <w:rPr>
          <w:rFonts w:hint="eastAsia" w:ascii="仿宋_GB2312" w:hAnsi="仿宋"/>
          <w:b w:val="0"/>
          <w:bCs w:val="0"/>
          <w:color w:val="auto"/>
          <w:szCs w:val="32"/>
          <w:lang w:eastAsia="zh-CN"/>
        </w:rPr>
        <w:t>预算为</w:t>
      </w:r>
      <w:r>
        <w:rPr>
          <w:rFonts w:hint="eastAsia" w:ascii="仿宋_GB2312" w:hAnsi="仿宋"/>
          <w:b w:val="0"/>
          <w:bCs w:val="0"/>
          <w:color w:val="auto"/>
          <w:szCs w:val="32"/>
          <w:lang w:val="en-US" w:eastAsia="zh-CN"/>
        </w:rPr>
        <w:t>0万元，</w:t>
      </w:r>
      <w:r>
        <w:rPr>
          <w:rFonts w:hint="eastAsia" w:ascii="仿宋_GB2312" w:hAnsi="仿宋"/>
          <w:b w:val="0"/>
          <w:bCs w:val="0"/>
          <w:color w:val="auto"/>
          <w:szCs w:val="32"/>
        </w:rPr>
        <w:t>支出</w:t>
      </w:r>
      <w:r>
        <w:rPr>
          <w:rFonts w:hint="eastAsia" w:ascii="仿宋_GB2312" w:hAnsi="仿宋"/>
          <w:b w:val="0"/>
          <w:bCs w:val="0"/>
          <w:color w:val="auto"/>
          <w:szCs w:val="32"/>
          <w:lang w:eastAsia="zh-CN"/>
        </w:rPr>
        <w:t>决算为</w:t>
      </w:r>
      <w:r>
        <w:rPr>
          <w:rFonts w:hint="eastAsia" w:ascii="仿宋_GB2312" w:hAnsi="仿宋"/>
          <w:color w:val="auto"/>
          <w:szCs w:val="32"/>
          <w:lang w:val="en-US" w:eastAsia="zh-CN"/>
        </w:rPr>
        <w:t>0</w:t>
      </w:r>
      <w:r>
        <w:rPr>
          <w:rFonts w:hint="eastAsia" w:ascii="仿宋_GB2312" w:hAnsi="仿宋"/>
          <w:color w:val="auto"/>
          <w:szCs w:val="32"/>
        </w:rPr>
        <w:t>万元，</w:t>
      </w:r>
      <w:r>
        <w:rPr>
          <w:rFonts w:hint="eastAsia" w:ascii="仿宋_GB2312" w:hAnsi="仿宋"/>
          <w:color w:val="auto"/>
          <w:szCs w:val="32"/>
          <w:lang w:eastAsia="zh-CN"/>
        </w:rPr>
        <w:t>完成预算</w:t>
      </w:r>
      <w:r>
        <w:rPr>
          <w:rFonts w:hint="eastAsia" w:ascii="仿宋_GB2312" w:hAnsi="仿宋"/>
          <w:color w:val="auto"/>
          <w:szCs w:val="32"/>
          <w:lang w:val="en-US" w:eastAsia="zh-CN"/>
        </w:rPr>
        <w:t>100%；</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预算数的主要原因是</w:t>
      </w:r>
      <w:r>
        <w:rPr>
          <w:rFonts w:hint="eastAsia" w:ascii="仿宋_GB2312" w:hAnsi="仿宋"/>
          <w:color w:val="auto"/>
          <w:szCs w:val="32"/>
          <w:u w:val="none"/>
          <w:lang w:val="en-US" w:eastAsia="zh-CN"/>
        </w:rPr>
        <w:t>2021年度、2022年度均未安排因公出国（境）计划</w:t>
      </w:r>
      <w:r>
        <w:rPr>
          <w:rFonts w:hint="eastAsia" w:ascii="仿宋_GB2312" w:hAnsi="仿宋"/>
          <w:color w:val="auto"/>
          <w:szCs w:val="32"/>
          <w:u w:val="none"/>
        </w:rPr>
        <w:t>。</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淮北市相山区民政</w:t>
      </w:r>
      <w:r>
        <w:rPr>
          <w:rFonts w:hint="eastAsia" w:ascii="仿宋_GB2312" w:hAnsi="仿宋"/>
          <w:szCs w:val="32"/>
        </w:rPr>
        <w:t>局因公出国（境）团组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人次。该项经费按照规定标准安排。经费使用严格</w:t>
      </w:r>
      <w:r>
        <w:rPr>
          <w:rFonts w:hint="eastAsia" w:ascii="仿宋_GB2312" w:hAnsi="仿宋"/>
          <w:szCs w:val="32"/>
          <w:lang w:eastAsia="zh-CN"/>
        </w:rPr>
        <w:t>按</w:t>
      </w:r>
      <w:r>
        <w:rPr>
          <w:rFonts w:hint="eastAsia" w:ascii="仿宋_GB2312" w:hAnsi="仿宋"/>
          <w:szCs w:val="32"/>
        </w:rPr>
        <w:t>相关规定执行。</w:t>
      </w:r>
    </w:p>
    <w:p>
      <w:pPr>
        <w:tabs>
          <w:tab w:val="left" w:pos="312"/>
        </w:tabs>
        <w:ind w:firstLine="643" w:firstLineChars="200"/>
        <w:rPr>
          <w:rFonts w:hint="eastAsia" w:ascii="仿宋_GB2312" w:hAnsi="仿宋" w:eastAsia="仿宋_GB2312"/>
          <w:szCs w:val="32"/>
          <w:lang w:eastAsia="zh-CN"/>
        </w:rPr>
      </w:pPr>
      <w:r>
        <w:rPr>
          <w:rFonts w:hint="eastAsia" w:ascii="仿宋_GB2312" w:hAnsi="仿宋"/>
          <w:b/>
          <w:bCs/>
          <w:szCs w:val="32"/>
          <w:lang w:val="en-US" w:eastAsia="zh-CN"/>
        </w:rPr>
        <w:t>2.</w:t>
      </w:r>
      <w:r>
        <w:rPr>
          <w:rFonts w:hint="eastAsia" w:ascii="仿宋_GB2312" w:hAnsi="仿宋"/>
          <w:b/>
          <w:bCs/>
          <w:szCs w:val="32"/>
        </w:rPr>
        <w:t>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0.72万元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45</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0.32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30.77%。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szCs w:val="32"/>
          <w:lang w:eastAsia="zh-CN"/>
        </w:rPr>
        <w:t>经费使用严格贯</w:t>
      </w:r>
      <w:r>
        <w:rPr>
          <w:rFonts w:hint="eastAsia" w:ascii="仿宋_GB2312" w:hAnsi="仿宋"/>
          <w:bCs/>
          <w:szCs w:val="32"/>
        </w:rPr>
        <w:t>彻中央八项规定</w:t>
      </w:r>
      <w:r>
        <w:rPr>
          <w:rFonts w:hint="eastAsia" w:ascii="仿宋_GB2312" w:hAnsi="仿宋"/>
          <w:bCs/>
          <w:szCs w:val="32"/>
          <w:lang w:eastAsia="zh-CN"/>
        </w:rPr>
        <w:t>要求</w:t>
      </w:r>
      <w:r>
        <w:rPr>
          <w:rFonts w:hint="eastAsia" w:ascii="仿宋_GB2312" w:hAnsi="仿宋"/>
          <w:bCs/>
          <w:szCs w:val="32"/>
        </w:rPr>
        <w:t>，大力压缩“三公”经费，厉行节约。</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szCs w:val="32"/>
        </w:rPr>
        <w:t>压缩开支、厉行节约。</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淮北市相山区民政</w:t>
      </w:r>
      <w:r>
        <w:rPr>
          <w:rFonts w:hint="eastAsia" w:ascii="仿宋_GB2312" w:hAnsi="仿宋"/>
          <w:szCs w:val="32"/>
        </w:rPr>
        <w:t>局国内公务接待共</w:t>
      </w:r>
      <w:r>
        <w:rPr>
          <w:rFonts w:hint="eastAsia" w:ascii="仿宋_GB2312" w:hAnsi="仿宋"/>
          <w:szCs w:val="32"/>
          <w:lang w:val="en-US" w:eastAsia="zh-CN"/>
        </w:rPr>
        <w:t>38</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87</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bCs/>
          <w:szCs w:val="32"/>
        </w:rPr>
        <w:t>单位加班餐。经费使用贯彻中央八项规定要求，严格执行《党政机关厉行节约反对浪费条例》、</w:t>
      </w:r>
      <w:r>
        <w:rPr>
          <w:rFonts w:hint="eastAsia" w:ascii="仿宋_GB2312" w:hAnsi="仿宋"/>
          <w:bCs/>
          <w:szCs w:val="32"/>
          <w:lang w:eastAsia="zh-CN"/>
        </w:rPr>
        <w:t>相山区</w:t>
      </w:r>
      <w:r>
        <w:rPr>
          <w:rFonts w:hint="eastAsia" w:ascii="仿宋_GB2312" w:hAnsi="仿宋"/>
          <w:bCs/>
          <w:szCs w:val="32"/>
        </w:rPr>
        <w:t>公务接待相关规定等。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szCs w:val="32"/>
        </w:rPr>
      </w:pPr>
      <w:r>
        <w:rPr>
          <w:rFonts w:hint="eastAsia" w:ascii="仿宋_GB2312" w:hAnsi="仿宋"/>
          <w:b/>
          <w:bCs/>
          <w:szCs w:val="32"/>
        </w:rPr>
        <w:t>3.公务用车购置及运行维护费</w:t>
      </w:r>
      <w:r>
        <w:rPr>
          <w:rFonts w:hint="eastAsia" w:ascii="仿宋_GB2312" w:hAnsi="仿宋"/>
          <w:b w:val="0"/>
          <w:bCs w:val="0"/>
          <w:szCs w:val="32"/>
          <w:lang w:val="en-US" w:eastAsia="zh-CN"/>
        </w:rPr>
        <w:t>预算为0万元，支出决算为0万元，完成预算的100%;较上年减少0万元，下降0%。决算数等于预算数、以及较2021年度决算数无变化的主要原因是2021年度、2022年度均未安排</w:t>
      </w:r>
      <w:r>
        <w:rPr>
          <w:rFonts w:hint="eastAsia" w:ascii="仿宋_GB2312" w:hAnsi="仿宋"/>
          <w:b w:val="0"/>
          <w:bCs w:val="0"/>
          <w:szCs w:val="32"/>
        </w:rPr>
        <w:t>公务用车购置及运行</w:t>
      </w:r>
      <w:r>
        <w:rPr>
          <w:rFonts w:hint="eastAsia" w:ascii="仿宋_GB2312" w:hAnsi="仿宋"/>
          <w:b w:val="0"/>
          <w:bCs w:val="0"/>
          <w:szCs w:val="32"/>
          <w:lang w:eastAsia="zh-CN"/>
        </w:rPr>
        <w:t>。</w:t>
      </w:r>
      <w:r>
        <w:rPr>
          <w:rFonts w:hint="eastAsia" w:ascii="仿宋_GB2312" w:hAnsi="仿宋"/>
          <w:b w:val="0"/>
          <w:bCs w:val="0"/>
          <w:szCs w:val="32"/>
          <w:lang w:val="en-US" w:eastAsia="zh-CN"/>
        </w:rPr>
        <w:t>其中，公务用车购置费预算为0万元，支出决算为0万元，完成预算的100%;较上年减少0万元，下降0%。决算数等于预算数、以及较2021年度决算数无变化的主要原因是2021年度、2022年度均未安排</w:t>
      </w:r>
      <w:r>
        <w:rPr>
          <w:rFonts w:hint="eastAsia" w:ascii="仿宋_GB2312" w:hAnsi="仿宋"/>
          <w:b w:val="0"/>
          <w:bCs w:val="0"/>
          <w:szCs w:val="32"/>
        </w:rPr>
        <w:t>公务用车购置及运行</w:t>
      </w:r>
      <w:r>
        <w:rPr>
          <w:rFonts w:hint="eastAsia" w:ascii="仿宋_GB2312" w:hAnsi="仿宋"/>
          <w:b w:val="0"/>
          <w:bCs w:val="0"/>
          <w:szCs w:val="32"/>
          <w:lang w:eastAsia="zh-CN"/>
        </w:rPr>
        <w:t>。</w:t>
      </w:r>
      <w:r>
        <w:rPr>
          <w:rFonts w:hint="eastAsia" w:ascii="仿宋_GB2312" w:hAnsi="仿宋"/>
          <w:b w:val="0"/>
          <w:bCs w:val="0"/>
          <w:szCs w:val="32"/>
          <w:lang w:val="en-US" w:eastAsia="zh-CN"/>
        </w:rPr>
        <w:t>2022年没有安排公务用车购置费。公务用车运行维护费预算为0万元,支出决算为0万元，完成预算的100%;较上年减少0万元，下降0%。决算数等于预算数、以及较2021年度决算数无变化的主要原因是2021年度、2022年度均未安排</w:t>
      </w:r>
      <w:r>
        <w:rPr>
          <w:rFonts w:hint="eastAsia" w:ascii="仿宋_GB2312" w:hAnsi="仿宋"/>
          <w:b w:val="0"/>
          <w:bCs w:val="0"/>
          <w:szCs w:val="32"/>
        </w:rPr>
        <w:t>公务用车购置及运行</w:t>
      </w:r>
      <w:r>
        <w:rPr>
          <w:rFonts w:hint="eastAsia" w:ascii="仿宋_GB2312" w:hAnsi="仿宋"/>
          <w:b w:val="0"/>
          <w:bCs w:val="0"/>
          <w:szCs w:val="32"/>
          <w:lang w:eastAsia="zh-CN"/>
        </w:rPr>
        <w:t>。</w:t>
      </w:r>
      <w:r>
        <w:rPr>
          <w:rFonts w:hint="eastAsia" w:ascii="仿宋_GB2312" w:hAnsi="仿宋"/>
          <w:b w:val="0"/>
          <w:bCs w:val="0"/>
          <w:szCs w:val="32"/>
          <w:lang w:val="en-US" w:eastAsia="zh-CN"/>
        </w:rPr>
        <w:t>公务用车运行维护费，包括车辆燃料费、维修费、过路过桥费、保险费等支出。截至2022年12月31日，</w:t>
      </w:r>
      <w:r>
        <w:rPr>
          <w:rFonts w:hint="eastAsia" w:ascii="仿宋_GB2312" w:hAnsi="仿宋"/>
          <w:szCs w:val="32"/>
          <w:lang w:eastAsia="zh-CN"/>
        </w:rPr>
        <w:t>淮北市相山区民政</w:t>
      </w:r>
      <w:r>
        <w:rPr>
          <w:rFonts w:hint="eastAsia" w:ascii="仿宋_GB2312" w:hAnsi="仿宋"/>
          <w:szCs w:val="32"/>
        </w:rPr>
        <w:t>局开支财政拨款的公务用车保有量为</w:t>
      </w:r>
      <w:r>
        <w:rPr>
          <w:rFonts w:hint="eastAsia" w:ascii="仿宋_GB2312" w:hAnsi="仿宋"/>
          <w:szCs w:val="32"/>
          <w:lang w:val="en-US" w:eastAsia="zh-CN"/>
        </w:rPr>
        <w:t>0</w:t>
      </w:r>
      <w:r>
        <w:rPr>
          <w:rFonts w:hint="eastAsia" w:ascii="仿宋_GB2312" w:hAnsi="仿宋"/>
          <w:szCs w:val="32"/>
        </w:rPr>
        <w:t>辆。</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2154" w:right="1587" w:bottom="158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YyM2NkZGRkZjMxODIyOTA1NWFjZGZhNzllMzI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91C98"/>
    <w:rsid w:val="00C9289D"/>
    <w:rsid w:val="00CE25D9"/>
    <w:rsid w:val="00D2629D"/>
    <w:rsid w:val="00D303BC"/>
    <w:rsid w:val="00D9784E"/>
    <w:rsid w:val="00DB321D"/>
    <w:rsid w:val="00E02B6D"/>
    <w:rsid w:val="00FC29F2"/>
    <w:rsid w:val="04431A10"/>
    <w:rsid w:val="05A1203D"/>
    <w:rsid w:val="07D53EDF"/>
    <w:rsid w:val="0C2E16AE"/>
    <w:rsid w:val="0E715E49"/>
    <w:rsid w:val="0FA45F2A"/>
    <w:rsid w:val="10F859AE"/>
    <w:rsid w:val="1776002C"/>
    <w:rsid w:val="18946F21"/>
    <w:rsid w:val="1D7869D0"/>
    <w:rsid w:val="1ED07CB1"/>
    <w:rsid w:val="1F4D4072"/>
    <w:rsid w:val="1F707A57"/>
    <w:rsid w:val="1F9B7667"/>
    <w:rsid w:val="21F15A7C"/>
    <w:rsid w:val="22D77793"/>
    <w:rsid w:val="23566F63"/>
    <w:rsid w:val="23C169D0"/>
    <w:rsid w:val="258B6B44"/>
    <w:rsid w:val="25D86356"/>
    <w:rsid w:val="2C3123B3"/>
    <w:rsid w:val="2EB273F9"/>
    <w:rsid w:val="32133114"/>
    <w:rsid w:val="33D44198"/>
    <w:rsid w:val="36010F68"/>
    <w:rsid w:val="38921187"/>
    <w:rsid w:val="3AF44DF9"/>
    <w:rsid w:val="3CBC3285"/>
    <w:rsid w:val="41136220"/>
    <w:rsid w:val="43284021"/>
    <w:rsid w:val="47F44758"/>
    <w:rsid w:val="48071E73"/>
    <w:rsid w:val="4A0A0924"/>
    <w:rsid w:val="4A965D14"/>
    <w:rsid w:val="4B5660CA"/>
    <w:rsid w:val="4B5E0F27"/>
    <w:rsid w:val="4B790080"/>
    <w:rsid w:val="4F5B38AC"/>
    <w:rsid w:val="50AF0AD8"/>
    <w:rsid w:val="51B573C7"/>
    <w:rsid w:val="51EE4687"/>
    <w:rsid w:val="536C301F"/>
    <w:rsid w:val="54C7634A"/>
    <w:rsid w:val="56294B33"/>
    <w:rsid w:val="565332B6"/>
    <w:rsid w:val="56C97471"/>
    <w:rsid w:val="577A0C45"/>
    <w:rsid w:val="58F62E27"/>
    <w:rsid w:val="5B223548"/>
    <w:rsid w:val="5C142F3C"/>
    <w:rsid w:val="5C440468"/>
    <w:rsid w:val="5C8B1154"/>
    <w:rsid w:val="608819F7"/>
    <w:rsid w:val="627C5F72"/>
    <w:rsid w:val="63CA4BF4"/>
    <w:rsid w:val="63E678B4"/>
    <w:rsid w:val="67896051"/>
    <w:rsid w:val="69B57ED6"/>
    <w:rsid w:val="6CF44DF0"/>
    <w:rsid w:val="70082001"/>
    <w:rsid w:val="720225D2"/>
    <w:rsid w:val="720F395F"/>
    <w:rsid w:val="76650C18"/>
    <w:rsid w:val="7EEF6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Char"/>
    <w:basedOn w:val="5"/>
    <w:link w:val="2"/>
    <w:autoRedefine/>
    <w:semiHidden/>
    <w:qFormat/>
    <w:uiPriority w:val="99"/>
    <w:rPr>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1096</Words>
  <Characters>1196</Characters>
  <Lines>8</Lines>
  <Paragraphs>2</Paragraphs>
  <TotalTime>4</TotalTime>
  <ScaleCrop>false</ScaleCrop>
  <LinksUpToDate>false</LinksUpToDate>
  <CharactersWithSpaces>1274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Administrator</cp:lastModifiedBy>
  <cp:lastPrinted>2020-09-14T08:17:00Z</cp:lastPrinted>
  <dcterms:modified xsi:type="dcterms:W3CDTF">2024-03-28T02:50:19Z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BCF08CF2CF4D4BBF9E801A2FB895B36E_13</vt:lpwstr>
  </property>
</Properties>
</file>