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NewRoman" w:hAnsi="TimesNewRoman" w:eastAsia="黑体" w:cs="TimesNewRoman"/>
          <w:szCs w:val="32"/>
        </w:rPr>
      </w:pPr>
    </w:p>
    <w:p>
      <w:pPr>
        <w:spacing w:line="560" w:lineRule="exact"/>
        <w:rPr>
          <w:rFonts w:hint="eastAsia" w:ascii="TimesNewRoman" w:hAnsi="TimesNewRoman" w:eastAsia="黑体" w:cs="TimesNewRoman"/>
          <w:szCs w:val="32"/>
        </w:rPr>
      </w:pPr>
    </w:p>
    <w:p>
      <w:pPr>
        <w:spacing w:line="560" w:lineRule="exact"/>
        <w:rPr>
          <w:rFonts w:hint="eastAsia" w:ascii="黑体" w:hAnsi="黑体" w:eastAsia="黑体" w:cs="TimesNewRoman"/>
          <w:szCs w:val="32"/>
        </w:rPr>
      </w:pPr>
    </w:p>
    <w:p>
      <w:pPr>
        <w:spacing w:line="560" w:lineRule="exact"/>
        <w:jc w:val="center"/>
        <w:rPr>
          <w:rFonts w:ascii="黑体" w:hAnsi="黑体" w:eastAsia="黑体" w:cs="TimesNewRoman"/>
          <w:b/>
          <w:sz w:val="44"/>
          <w:szCs w:val="44"/>
        </w:rPr>
      </w:pPr>
      <w:r>
        <w:rPr>
          <w:rFonts w:hint="eastAsia" w:ascii="黑体" w:hAnsi="黑体" w:eastAsia="黑体" w:cs="TimesNewRoman"/>
          <w:b/>
          <w:sz w:val="44"/>
          <w:szCs w:val="44"/>
        </w:rPr>
        <w:t>安徽省淮北市</w:t>
      </w:r>
      <w:r>
        <w:rPr>
          <w:rFonts w:ascii="黑体" w:hAnsi="黑体" w:eastAsia="黑体" w:cs="TimesNewRoman"/>
          <w:b/>
          <w:sz w:val="44"/>
          <w:szCs w:val="44"/>
        </w:rPr>
        <w:t>相山区</w:t>
      </w:r>
      <w:r>
        <w:rPr>
          <w:rFonts w:hint="eastAsia" w:ascii="黑体" w:hAnsi="黑体" w:eastAsia="黑体" w:cs="TimesNewRoman"/>
          <w:b/>
          <w:sz w:val="44"/>
          <w:szCs w:val="44"/>
          <w:lang w:eastAsia="zh-CN"/>
        </w:rPr>
        <w:t>民政局</w:t>
      </w:r>
      <w:r>
        <w:rPr>
          <w:rFonts w:ascii="黑体" w:hAnsi="黑体" w:eastAsia="黑体" w:cs="TimesNewRoman"/>
          <w:b/>
          <w:sz w:val="44"/>
          <w:szCs w:val="44"/>
        </w:rPr>
        <w:t>202</w:t>
      </w:r>
      <w:r>
        <w:rPr>
          <w:rFonts w:hint="eastAsia" w:ascii="黑体" w:hAnsi="黑体" w:eastAsia="黑体" w:cs="TimesNewRoman"/>
          <w:b/>
          <w:sz w:val="44"/>
          <w:szCs w:val="44"/>
        </w:rPr>
        <w:t>4</w:t>
      </w:r>
      <w:r>
        <w:rPr>
          <w:rFonts w:ascii="黑体" w:hAnsi="黑体" w:eastAsia="黑体" w:cs="TimesNewRoman"/>
          <w:b/>
          <w:sz w:val="44"/>
          <w:szCs w:val="44"/>
        </w:rPr>
        <w:t>年</w:t>
      </w:r>
    </w:p>
    <w:p>
      <w:pPr>
        <w:spacing w:line="560" w:lineRule="exact"/>
        <w:jc w:val="center"/>
        <w:rPr>
          <w:rFonts w:ascii="黑体" w:hAnsi="黑体" w:eastAsia="黑体" w:cs="TimesNewRoman"/>
          <w:b/>
          <w:sz w:val="44"/>
          <w:szCs w:val="44"/>
        </w:rPr>
      </w:pPr>
      <w:r>
        <w:rPr>
          <w:rFonts w:ascii="黑体" w:hAnsi="黑体" w:eastAsia="黑体" w:cs="TimesNewRoman"/>
          <w:b/>
          <w:sz w:val="44"/>
          <w:szCs w:val="44"/>
        </w:rPr>
        <w:t>部门预算</w:t>
      </w:r>
    </w:p>
    <w:p>
      <w:pPr>
        <w:pStyle w:val="10"/>
        <w:adjustRightInd w:val="0"/>
        <w:snapToGrid w:val="0"/>
        <w:spacing w:line="560" w:lineRule="exact"/>
        <w:jc w:val="center"/>
        <w:outlineLvl w:val="0"/>
        <w:rPr>
          <w:rFonts w:ascii="黑体" w:hAnsi="黑体" w:eastAsia="黑体" w:cs="TimesNewRoman"/>
          <w:sz w:val="32"/>
          <w:szCs w:val="32"/>
        </w:rPr>
      </w:pPr>
    </w:p>
    <w:p>
      <w:pPr>
        <w:pStyle w:val="10"/>
        <w:adjustRightInd w:val="0"/>
        <w:snapToGrid w:val="0"/>
        <w:spacing w:line="560" w:lineRule="exact"/>
        <w:jc w:val="center"/>
        <w:rPr>
          <w:rFonts w:ascii="TimesNewRoman" w:hAnsi="TimesNewRoman" w:eastAsia="黑体" w:cs="TimesNewRoman"/>
          <w:bCs/>
          <w:sz w:val="36"/>
          <w:szCs w:val="36"/>
        </w:rPr>
      </w:pPr>
    </w:p>
    <w:p>
      <w:pPr>
        <w:pStyle w:val="10"/>
        <w:adjustRightInd w:val="0"/>
        <w:snapToGrid w:val="0"/>
        <w:spacing w:line="560" w:lineRule="exact"/>
        <w:jc w:val="center"/>
        <w:rPr>
          <w:rFonts w:ascii="TimesNewRoman" w:hAnsi="TimesNewRoman" w:eastAsia="黑体" w:cs="TimesNewRoman"/>
          <w:bCs/>
          <w:sz w:val="36"/>
          <w:szCs w:val="36"/>
        </w:rPr>
      </w:pPr>
    </w:p>
    <w:p>
      <w:pPr>
        <w:pStyle w:val="10"/>
        <w:adjustRightInd w:val="0"/>
        <w:snapToGrid w:val="0"/>
        <w:spacing w:line="560" w:lineRule="exact"/>
        <w:jc w:val="both"/>
        <w:rPr>
          <w:rFonts w:ascii="TimesNewRoman" w:hAnsi="TimesNewRoman" w:eastAsia="黑体" w:cs="TimesNewRoman"/>
          <w:bCs/>
          <w:sz w:val="36"/>
          <w:szCs w:val="36"/>
        </w:rPr>
      </w:pPr>
    </w:p>
    <w:p>
      <w:pPr>
        <w:pStyle w:val="10"/>
        <w:adjustRightInd w:val="0"/>
        <w:snapToGrid w:val="0"/>
        <w:spacing w:line="560" w:lineRule="exact"/>
        <w:jc w:val="center"/>
        <w:rPr>
          <w:rFonts w:ascii="TimesNewRoman" w:hAnsi="TimesNewRoman" w:eastAsia="黑体" w:cs="TimesNewRoman"/>
          <w:bCs/>
          <w:sz w:val="36"/>
          <w:szCs w:val="36"/>
        </w:rPr>
      </w:pPr>
    </w:p>
    <w:p>
      <w:pPr>
        <w:pStyle w:val="10"/>
        <w:adjustRightInd w:val="0"/>
        <w:snapToGrid w:val="0"/>
        <w:spacing w:line="560" w:lineRule="exact"/>
        <w:jc w:val="center"/>
        <w:rPr>
          <w:rFonts w:ascii="TimesNewRoman" w:hAnsi="TimesNewRoman" w:eastAsia="黑体" w:cs="TimesNewRoman"/>
          <w:bCs/>
          <w:sz w:val="36"/>
          <w:szCs w:val="36"/>
        </w:rPr>
      </w:pPr>
    </w:p>
    <w:p>
      <w:pPr>
        <w:pStyle w:val="10"/>
        <w:adjustRightInd w:val="0"/>
        <w:snapToGrid w:val="0"/>
        <w:spacing w:line="560" w:lineRule="exact"/>
        <w:jc w:val="center"/>
        <w:rPr>
          <w:rFonts w:ascii="TimesNewRoman" w:hAnsi="TimesNewRoman" w:eastAsia="黑体" w:cs="TimesNewRoman"/>
          <w:bCs/>
          <w:sz w:val="36"/>
          <w:szCs w:val="36"/>
        </w:rPr>
      </w:pPr>
    </w:p>
    <w:p>
      <w:pPr>
        <w:pStyle w:val="10"/>
        <w:adjustRightInd w:val="0"/>
        <w:snapToGrid w:val="0"/>
        <w:spacing w:line="560" w:lineRule="exact"/>
        <w:jc w:val="center"/>
        <w:rPr>
          <w:rFonts w:ascii="TimesNewRoman" w:hAnsi="TimesNewRoman" w:eastAsia="黑体" w:cs="TimesNewRoman"/>
          <w:bCs/>
          <w:sz w:val="36"/>
          <w:szCs w:val="36"/>
        </w:rPr>
      </w:pPr>
    </w:p>
    <w:p>
      <w:pPr>
        <w:pStyle w:val="10"/>
        <w:adjustRightInd w:val="0"/>
        <w:snapToGrid w:val="0"/>
        <w:spacing w:line="560" w:lineRule="exact"/>
        <w:jc w:val="center"/>
        <w:rPr>
          <w:rFonts w:ascii="TimesNewRoman" w:hAnsi="TimesNewRoman" w:eastAsia="黑体" w:cs="TimesNewRoman"/>
          <w:bCs/>
          <w:sz w:val="36"/>
          <w:szCs w:val="36"/>
        </w:rPr>
      </w:pPr>
    </w:p>
    <w:p>
      <w:pPr>
        <w:pStyle w:val="10"/>
        <w:adjustRightInd w:val="0"/>
        <w:snapToGrid w:val="0"/>
        <w:spacing w:line="560" w:lineRule="exact"/>
        <w:jc w:val="center"/>
        <w:rPr>
          <w:rFonts w:ascii="TimesNewRoman" w:hAnsi="TimesNewRoman" w:eastAsia="黑体" w:cs="TimesNewRoman"/>
          <w:bCs/>
          <w:sz w:val="36"/>
          <w:szCs w:val="36"/>
        </w:rPr>
      </w:pPr>
    </w:p>
    <w:p>
      <w:pPr>
        <w:pStyle w:val="10"/>
        <w:adjustRightInd w:val="0"/>
        <w:snapToGrid w:val="0"/>
        <w:spacing w:line="560" w:lineRule="exact"/>
        <w:jc w:val="center"/>
        <w:rPr>
          <w:rFonts w:ascii="TimesNewRoman" w:hAnsi="TimesNewRoman" w:eastAsia="黑体" w:cs="TimesNewRoman"/>
          <w:bCs/>
          <w:sz w:val="36"/>
          <w:szCs w:val="36"/>
        </w:rPr>
      </w:pPr>
    </w:p>
    <w:p>
      <w:pPr>
        <w:pStyle w:val="10"/>
        <w:adjustRightInd w:val="0"/>
        <w:snapToGrid w:val="0"/>
        <w:spacing w:line="560" w:lineRule="exact"/>
        <w:jc w:val="center"/>
        <w:rPr>
          <w:rFonts w:ascii="TimesNewRoman" w:hAnsi="TimesNewRoman" w:eastAsia="黑体" w:cs="TimesNewRoman"/>
          <w:bCs/>
          <w:sz w:val="36"/>
          <w:szCs w:val="36"/>
        </w:rPr>
      </w:pPr>
    </w:p>
    <w:p>
      <w:pPr>
        <w:pStyle w:val="10"/>
        <w:adjustRightInd w:val="0"/>
        <w:snapToGrid w:val="0"/>
        <w:spacing w:line="560" w:lineRule="exact"/>
        <w:jc w:val="center"/>
        <w:rPr>
          <w:rFonts w:ascii="TimesNewRoman" w:hAnsi="TimesNewRoman" w:eastAsia="黑体" w:cs="TimesNewRoman"/>
          <w:bCs/>
          <w:sz w:val="36"/>
          <w:szCs w:val="36"/>
        </w:rPr>
      </w:pPr>
    </w:p>
    <w:p>
      <w:pPr>
        <w:pStyle w:val="10"/>
        <w:adjustRightInd w:val="0"/>
        <w:snapToGrid w:val="0"/>
        <w:spacing w:line="560" w:lineRule="exact"/>
        <w:jc w:val="center"/>
        <w:rPr>
          <w:rFonts w:ascii="TimesNewRoman" w:hAnsi="TimesNewRoman" w:eastAsia="黑体" w:cs="TimesNewRoman"/>
          <w:bCs/>
          <w:sz w:val="36"/>
          <w:szCs w:val="36"/>
        </w:rPr>
      </w:pPr>
    </w:p>
    <w:p>
      <w:pPr>
        <w:pStyle w:val="10"/>
        <w:adjustRightInd w:val="0"/>
        <w:snapToGrid w:val="0"/>
        <w:spacing w:line="560" w:lineRule="exact"/>
        <w:jc w:val="center"/>
        <w:rPr>
          <w:rFonts w:ascii="TimesNewRoman" w:hAnsi="TimesNewRoman" w:eastAsia="黑体" w:cs="TimesNewRoman"/>
          <w:bCs/>
          <w:sz w:val="36"/>
          <w:szCs w:val="36"/>
        </w:rPr>
      </w:pPr>
    </w:p>
    <w:p>
      <w:pPr>
        <w:pStyle w:val="10"/>
        <w:adjustRightInd w:val="0"/>
        <w:snapToGrid w:val="0"/>
        <w:spacing w:line="560" w:lineRule="exact"/>
        <w:jc w:val="center"/>
        <w:rPr>
          <w:rFonts w:ascii="TimesNewRoman" w:hAnsi="TimesNewRoman" w:eastAsia="方正楷体_GBK" w:cs="TimesNewRoman"/>
          <w:bCs/>
          <w:sz w:val="44"/>
          <w:szCs w:val="44"/>
        </w:rPr>
      </w:pPr>
      <w:r>
        <w:rPr>
          <w:rFonts w:ascii="TimesNewRoman" w:hAnsi="TimesNewRoman" w:eastAsia="方正楷体_GBK" w:cs="TimesNewRoman"/>
          <w:bCs/>
          <w:sz w:val="44"/>
          <w:szCs w:val="44"/>
        </w:rPr>
        <w:t>2024年</w:t>
      </w:r>
      <w:r>
        <w:rPr>
          <w:rFonts w:hint="eastAsia" w:ascii="TimesNewRoman" w:hAnsi="TimesNewRoman" w:eastAsia="方正楷体_GBK" w:cs="TimesNewRoman"/>
          <w:bCs/>
          <w:sz w:val="44"/>
          <w:szCs w:val="44"/>
          <w:lang w:val="en-US" w:eastAsia="zh-CN"/>
        </w:rPr>
        <w:t>2</w:t>
      </w:r>
      <w:r>
        <w:rPr>
          <w:rFonts w:ascii="TimesNewRoman" w:hAnsi="TimesNewRoman" w:eastAsia="方正楷体_GBK" w:cs="TimesNewRoman"/>
          <w:bCs/>
          <w:sz w:val="44"/>
          <w:szCs w:val="44"/>
        </w:rPr>
        <w:t>月</w:t>
      </w:r>
    </w:p>
    <w:p>
      <w:pPr>
        <w:pStyle w:val="10"/>
        <w:adjustRightInd w:val="0"/>
        <w:snapToGrid w:val="0"/>
        <w:spacing w:line="560" w:lineRule="exact"/>
        <w:jc w:val="center"/>
        <w:rPr>
          <w:rFonts w:ascii="TimesNewRoman" w:hAnsi="TimesNewRoman" w:eastAsia="黑体" w:cs="TimesNewRoman"/>
          <w:bCs/>
          <w:sz w:val="36"/>
          <w:szCs w:val="36"/>
        </w:rPr>
      </w:pPr>
    </w:p>
    <w:p>
      <w:pPr>
        <w:pStyle w:val="10"/>
        <w:adjustRightInd w:val="0"/>
        <w:snapToGrid w:val="0"/>
        <w:spacing w:line="560" w:lineRule="exact"/>
        <w:jc w:val="center"/>
        <w:rPr>
          <w:rFonts w:ascii="TimesNewRoman" w:hAnsi="TimesNewRoman" w:eastAsia="黑体" w:cs="TimesNewRoman"/>
          <w:bCs/>
          <w:sz w:val="36"/>
          <w:szCs w:val="36"/>
        </w:rPr>
      </w:pPr>
    </w:p>
    <w:p>
      <w:pPr>
        <w:pStyle w:val="10"/>
        <w:adjustRightInd w:val="0"/>
        <w:snapToGrid w:val="0"/>
        <w:spacing w:line="560" w:lineRule="exact"/>
        <w:jc w:val="center"/>
        <w:rPr>
          <w:rFonts w:ascii="TimesNewRoman" w:hAnsi="TimesNewRoman" w:eastAsia="黑体" w:cs="TimesNewRoman"/>
          <w:bCs/>
          <w:sz w:val="36"/>
          <w:szCs w:val="36"/>
        </w:rPr>
      </w:pPr>
    </w:p>
    <w:p>
      <w:pPr>
        <w:pStyle w:val="10"/>
        <w:adjustRightInd w:val="0"/>
        <w:snapToGrid w:val="0"/>
        <w:spacing w:line="560" w:lineRule="exact"/>
        <w:jc w:val="center"/>
        <w:rPr>
          <w:rFonts w:ascii="TimesNewRoman" w:hAnsi="TimesNewRoman" w:eastAsia="黑体" w:cs="TimesNewRoman"/>
          <w:bCs/>
          <w:sz w:val="44"/>
          <w:szCs w:val="44"/>
        </w:rPr>
      </w:pPr>
    </w:p>
    <w:p>
      <w:pPr>
        <w:pStyle w:val="10"/>
        <w:adjustRightInd w:val="0"/>
        <w:snapToGrid w:val="0"/>
        <w:spacing w:line="560" w:lineRule="exact"/>
        <w:jc w:val="center"/>
        <w:rPr>
          <w:rFonts w:ascii="TimesNewRoman" w:hAnsi="TimesNewRoman" w:eastAsia="黑体" w:cs="TimesNewRoman"/>
          <w:bCs/>
          <w:sz w:val="44"/>
          <w:szCs w:val="44"/>
        </w:rPr>
      </w:pPr>
      <w:r>
        <w:rPr>
          <w:rFonts w:ascii="TimesNewRoman" w:hAnsi="TimesNewRoman" w:eastAsia="黑体" w:cs="TimesNewRoman"/>
          <w:bCs/>
          <w:sz w:val="44"/>
          <w:szCs w:val="44"/>
        </w:rPr>
        <w:t xml:space="preserve">目 </w:t>
      </w:r>
      <w:r>
        <w:rPr>
          <w:rFonts w:hint="eastAsia" w:ascii="TimesNewRoman" w:hAnsi="TimesNewRoman" w:eastAsia="黑体" w:cs="TimesNewRoman"/>
          <w:bCs/>
          <w:sz w:val="44"/>
          <w:szCs w:val="44"/>
        </w:rPr>
        <w:t xml:space="preserve"> </w:t>
      </w:r>
      <w:r>
        <w:rPr>
          <w:rFonts w:ascii="TimesNewRoman" w:hAnsi="TimesNewRoman" w:eastAsia="黑体" w:cs="TimesNewRoman"/>
          <w:bCs/>
          <w:sz w:val="44"/>
          <w:szCs w:val="44"/>
        </w:rPr>
        <w:t>录</w:t>
      </w:r>
    </w:p>
    <w:p>
      <w:pPr>
        <w:pStyle w:val="10"/>
        <w:adjustRightInd w:val="0"/>
        <w:snapToGrid w:val="0"/>
        <w:spacing w:line="560" w:lineRule="exact"/>
        <w:ind w:firstLine="664" w:firstLineChars="200"/>
        <w:rPr>
          <w:rFonts w:ascii="TimesNewRoman" w:hAnsi="TimesNewRoman" w:eastAsia="仿宋_GB2312" w:cs="TimesNewRoman"/>
          <w:b/>
          <w:sz w:val="32"/>
          <w:szCs w:val="32"/>
        </w:rPr>
      </w:pPr>
    </w:p>
    <w:p>
      <w:pPr>
        <w:pStyle w:val="10"/>
        <w:adjustRightInd w:val="0"/>
        <w:snapToGrid w:val="0"/>
        <w:spacing w:line="560" w:lineRule="exact"/>
        <w:ind w:firstLine="664" w:firstLineChars="200"/>
        <w:rPr>
          <w:rFonts w:hint="eastAsia"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第一部分 部门概况</w:t>
      </w:r>
    </w:p>
    <w:p>
      <w:pPr>
        <w:pStyle w:val="10"/>
        <w:adjustRightInd w:val="0"/>
        <w:snapToGrid w:val="0"/>
        <w:spacing w:line="560" w:lineRule="exact"/>
        <w:ind w:firstLine="664" w:firstLineChars="200"/>
        <w:rPr>
          <w:rFonts w:ascii="TimesNewRoman" w:hAnsi="TimesNewRoman" w:eastAsia="仿宋_GB2312" w:cs="TimesNewRoman"/>
          <w:bCs/>
          <w:sz w:val="32"/>
          <w:szCs w:val="32"/>
        </w:rPr>
      </w:pPr>
      <w:r>
        <w:rPr>
          <w:rFonts w:ascii="TimesNewRoman" w:hAnsi="TimesNewRoman" w:eastAsia="仿宋_GB2312" w:cs="TimesNewRoman"/>
          <w:bCs/>
          <w:sz w:val="32"/>
          <w:szCs w:val="32"/>
        </w:rPr>
        <w:t>1.主要职责</w:t>
      </w:r>
    </w:p>
    <w:p>
      <w:pPr>
        <w:pStyle w:val="10"/>
        <w:adjustRightInd w:val="0"/>
        <w:snapToGrid w:val="0"/>
        <w:spacing w:line="560" w:lineRule="exact"/>
        <w:ind w:firstLine="664" w:firstLineChars="200"/>
        <w:rPr>
          <w:rFonts w:ascii="TimesNewRoman" w:hAnsi="TimesNewRoman" w:eastAsia="仿宋_GB2312" w:cs="TimesNewRoman"/>
          <w:bCs/>
          <w:sz w:val="32"/>
          <w:szCs w:val="32"/>
        </w:rPr>
      </w:pPr>
      <w:r>
        <w:rPr>
          <w:rFonts w:ascii="TimesNewRoman" w:hAnsi="TimesNewRoman" w:eastAsia="仿宋_GB2312" w:cs="TimesNewRoman"/>
          <w:bCs/>
          <w:sz w:val="32"/>
          <w:szCs w:val="32"/>
        </w:rPr>
        <w:t>2.部门预算构成</w:t>
      </w:r>
    </w:p>
    <w:p>
      <w:pPr>
        <w:pStyle w:val="10"/>
        <w:adjustRightInd w:val="0"/>
        <w:snapToGrid w:val="0"/>
        <w:spacing w:line="560" w:lineRule="exact"/>
        <w:ind w:firstLine="664" w:firstLineChars="200"/>
        <w:rPr>
          <w:rFonts w:ascii="TimesNewRoman" w:hAnsi="TimesNewRoman" w:eastAsia="仿宋_GB2312" w:cs="TimesNewRoman"/>
          <w:bCs/>
          <w:sz w:val="32"/>
          <w:szCs w:val="32"/>
        </w:rPr>
      </w:pPr>
      <w:r>
        <w:rPr>
          <w:rFonts w:ascii="TimesNewRoman" w:hAnsi="TimesNewRoman" w:eastAsia="仿宋_GB2312" w:cs="TimesNewRoman"/>
          <w:bCs/>
          <w:sz w:val="32"/>
          <w:szCs w:val="32"/>
        </w:rPr>
        <w:t>3.202</w:t>
      </w:r>
      <w:r>
        <w:rPr>
          <w:rFonts w:hint="eastAsia" w:ascii="TimesNewRoman" w:hAnsi="TimesNewRoman" w:eastAsia="仿宋_GB2312" w:cs="TimesNewRoman"/>
          <w:bCs/>
          <w:sz w:val="32"/>
          <w:szCs w:val="32"/>
        </w:rPr>
        <w:t>4</w:t>
      </w:r>
      <w:r>
        <w:rPr>
          <w:rFonts w:ascii="TimesNewRoman" w:hAnsi="TimesNewRoman" w:eastAsia="仿宋_GB2312" w:cs="TimesNewRoman"/>
          <w:bCs/>
          <w:sz w:val="32"/>
          <w:szCs w:val="32"/>
        </w:rPr>
        <w:t>年度主要工作任务</w:t>
      </w:r>
    </w:p>
    <w:p>
      <w:pPr>
        <w:pStyle w:val="10"/>
        <w:adjustRightInd w:val="0"/>
        <w:snapToGrid w:val="0"/>
        <w:spacing w:line="560" w:lineRule="exact"/>
        <w:ind w:firstLine="664" w:firstLineChars="200"/>
        <w:rPr>
          <w:rFonts w:ascii="TimesNewRoman" w:hAnsi="TimesNewRoman" w:eastAsia="方正黑体_GBK" w:cs="TimesNewRoman"/>
          <w:bCs/>
          <w:sz w:val="32"/>
          <w:szCs w:val="32"/>
        </w:rPr>
      </w:pPr>
      <w:r>
        <w:rPr>
          <w:rFonts w:ascii="TimesNewRoman" w:hAnsi="TimesNewRoman" w:eastAsia="方正黑体_GBK" w:cs="TimesNewRoman"/>
          <w:bCs/>
          <w:sz w:val="32"/>
          <w:szCs w:val="32"/>
        </w:rPr>
        <w:t>第二部分 2024年部门预算表</w:t>
      </w:r>
    </w:p>
    <w:p>
      <w:pPr>
        <w:pStyle w:val="10"/>
        <w:adjustRightInd w:val="0"/>
        <w:snapToGrid w:val="0"/>
        <w:spacing w:line="560" w:lineRule="exact"/>
        <w:ind w:firstLine="664" w:firstLineChars="200"/>
        <w:outlineLvl w:val="0"/>
        <w:rPr>
          <w:rFonts w:ascii="TimesNewRoman" w:hAnsi="TimesNewRoman" w:eastAsia="仿宋_GB2312" w:cs="TimesNewRoman"/>
          <w:bCs/>
          <w:sz w:val="32"/>
          <w:szCs w:val="32"/>
        </w:rPr>
      </w:pPr>
      <w:r>
        <w:rPr>
          <w:rFonts w:ascii="TimesNewRoman" w:hAnsi="TimesNewRoman" w:eastAsia="仿宋_GB2312" w:cs="TimesNewRoman"/>
          <w:bCs/>
          <w:sz w:val="32"/>
          <w:szCs w:val="32"/>
        </w:rPr>
        <w:t>1.相山区</w:t>
      </w:r>
      <w:r>
        <w:rPr>
          <w:rFonts w:hint="eastAsia" w:ascii="TimesNewRoman" w:hAnsi="TimesNewRoman" w:eastAsia="仿宋_GB2312" w:cs="TimesNewRoman"/>
          <w:bCs/>
          <w:sz w:val="32"/>
          <w:szCs w:val="32"/>
          <w:lang w:eastAsia="zh-CN"/>
        </w:rPr>
        <w:t>民政局</w:t>
      </w:r>
      <w:r>
        <w:rPr>
          <w:rFonts w:ascii="TimesNewRoman" w:hAnsi="TimesNewRoman" w:eastAsia="仿宋_GB2312" w:cs="TimesNewRoman"/>
          <w:bCs/>
          <w:sz w:val="32"/>
          <w:szCs w:val="32"/>
        </w:rPr>
        <w:t>202</w:t>
      </w:r>
      <w:r>
        <w:rPr>
          <w:rFonts w:hint="eastAsia" w:ascii="TimesNewRoman" w:hAnsi="TimesNewRoman" w:eastAsia="仿宋_GB2312" w:cs="TimesNewRoman"/>
          <w:bCs/>
          <w:sz w:val="32"/>
          <w:szCs w:val="32"/>
        </w:rPr>
        <w:t>4</w:t>
      </w:r>
      <w:r>
        <w:rPr>
          <w:rFonts w:ascii="TimesNewRoman" w:hAnsi="TimesNewRoman" w:eastAsia="仿宋_GB2312" w:cs="TimesNewRoman"/>
          <w:bCs/>
          <w:sz w:val="32"/>
          <w:szCs w:val="32"/>
        </w:rPr>
        <w:t>年收支总表</w:t>
      </w:r>
    </w:p>
    <w:p>
      <w:pPr>
        <w:pStyle w:val="10"/>
        <w:adjustRightInd w:val="0"/>
        <w:snapToGrid w:val="0"/>
        <w:spacing w:line="560" w:lineRule="exact"/>
        <w:ind w:firstLine="664" w:firstLineChars="200"/>
        <w:rPr>
          <w:rFonts w:ascii="TimesNewRoman" w:hAnsi="TimesNewRoman" w:eastAsia="仿宋_GB2312" w:cs="TimesNewRoman"/>
          <w:bCs/>
          <w:sz w:val="32"/>
          <w:szCs w:val="32"/>
        </w:rPr>
      </w:pPr>
      <w:r>
        <w:rPr>
          <w:rFonts w:ascii="TimesNewRoman" w:hAnsi="TimesNewRoman" w:eastAsia="仿宋_GB2312" w:cs="TimesNewRoman"/>
          <w:bCs/>
          <w:sz w:val="32"/>
          <w:szCs w:val="32"/>
        </w:rPr>
        <w:t>2.相山区</w:t>
      </w:r>
      <w:r>
        <w:rPr>
          <w:rFonts w:hint="eastAsia" w:ascii="TimesNewRoman" w:hAnsi="TimesNewRoman" w:eastAsia="仿宋_GB2312" w:cs="TimesNewRoman"/>
          <w:bCs/>
          <w:sz w:val="32"/>
          <w:szCs w:val="32"/>
          <w:lang w:eastAsia="zh-CN"/>
        </w:rPr>
        <w:t>民政局</w:t>
      </w:r>
      <w:r>
        <w:rPr>
          <w:rFonts w:ascii="TimesNewRoman" w:hAnsi="TimesNewRoman" w:eastAsia="仿宋_GB2312" w:cs="TimesNewRoman"/>
          <w:bCs/>
          <w:sz w:val="32"/>
          <w:szCs w:val="32"/>
          <w:lang w:val="en"/>
        </w:rPr>
        <w:t>2024</w:t>
      </w:r>
      <w:r>
        <w:rPr>
          <w:rFonts w:ascii="TimesNewRoman" w:hAnsi="TimesNewRoman" w:eastAsia="仿宋_GB2312" w:cs="TimesNewRoman"/>
          <w:bCs/>
          <w:sz w:val="32"/>
          <w:szCs w:val="32"/>
        </w:rPr>
        <w:t>年收入总表</w:t>
      </w:r>
    </w:p>
    <w:p>
      <w:pPr>
        <w:pStyle w:val="10"/>
        <w:adjustRightInd w:val="0"/>
        <w:snapToGrid w:val="0"/>
        <w:spacing w:line="560" w:lineRule="exact"/>
        <w:ind w:firstLine="664" w:firstLineChars="200"/>
        <w:outlineLvl w:val="0"/>
        <w:rPr>
          <w:rFonts w:ascii="TimesNewRoman" w:hAnsi="TimesNewRoman" w:eastAsia="仿宋_GB2312" w:cs="TimesNewRoman"/>
          <w:bCs/>
          <w:sz w:val="32"/>
          <w:szCs w:val="32"/>
        </w:rPr>
      </w:pPr>
      <w:r>
        <w:rPr>
          <w:rFonts w:ascii="TimesNewRoman" w:hAnsi="TimesNewRoman" w:eastAsia="仿宋_GB2312" w:cs="TimesNewRoman"/>
          <w:bCs/>
          <w:sz w:val="32"/>
          <w:szCs w:val="32"/>
        </w:rPr>
        <w:t>3.相山区</w:t>
      </w:r>
      <w:r>
        <w:rPr>
          <w:rFonts w:hint="eastAsia" w:ascii="TimesNewRoman" w:hAnsi="TimesNewRoman" w:eastAsia="仿宋_GB2312" w:cs="TimesNewRoman"/>
          <w:bCs/>
          <w:sz w:val="32"/>
          <w:szCs w:val="32"/>
          <w:lang w:eastAsia="zh-CN"/>
        </w:rPr>
        <w:t>民政局</w:t>
      </w:r>
      <w:r>
        <w:rPr>
          <w:rFonts w:ascii="TimesNewRoman" w:hAnsi="TimesNewRoman" w:eastAsia="仿宋_GB2312" w:cs="TimesNewRoman"/>
          <w:bCs/>
          <w:sz w:val="32"/>
          <w:szCs w:val="32"/>
          <w:lang w:val="en"/>
        </w:rPr>
        <w:t>2024</w:t>
      </w:r>
      <w:r>
        <w:rPr>
          <w:rFonts w:ascii="TimesNewRoman" w:hAnsi="TimesNewRoman" w:eastAsia="仿宋_GB2312" w:cs="TimesNewRoman"/>
          <w:bCs/>
          <w:sz w:val="32"/>
          <w:szCs w:val="32"/>
        </w:rPr>
        <w:t>年支出总表</w:t>
      </w:r>
    </w:p>
    <w:p>
      <w:pPr>
        <w:pStyle w:val="10"/>
        <w:adjustRightInd w:val="0"/>
        <w:snapToGrid w:val="0"/>
        <w:spacing w:line="560" w:lineRule="exact"/>
        <w:ind w:firstLine="664" w:firstLineChars="200"/>
        <w:rPr>
          <w:rFonts w:ascii="TimesNewRoman" w:hAnsi="TimesNewRoman" w:eastAsia="仿宋_GB2312" w:cs="TimesNewRoman"/>
          <w:bCs/>
          <w:sz w:val="32"/>
          <w:szCs w:val="32"/>
        </w:rPr>
      </w:pPr>
      <w:r>
        <w:rPr>
          <w:rFonts w:ascii="TimesNewRoman" w:hAnsi="TimesNewRoman" w:eastAsia="仿宋_GB2312" w:cs="TimesNewRoman"/>
          <w:bCs/>
          <w:sz w:val="32"/>
          <w:szCs w:val="32"/>
        </w:rPr>
        <w:t>4.相山区</w:t>
      </w:r>
      <w:r>
        <w:rPr>
          <w:rFonts w:hint="eastAsia" w:ascii="TimesNewRoman" w:hAnsi="TimesNewRoman" w:eastAsia="仿宋_GB2312" w:cs="TimesNewRoman"/>
          <w:bCs/>
          <w:sz w:val="32"/>
          <w:szCs w:val="32"/>
          <w:lang w:eastAsia="zh-CN"/>
        </w:rPr>
        <w:t>民政局</w:t>
      </w:r>
      <w:r>
        <w:rPr>
          <w:rFonts w:ascii="TimesNewRoman" w:hAnsi="TimesNewRoman" w:eastAsia="仿宋_GB2312" w:cs="TimesNewRoman"/>
          <w:bCs/>
          <w:sz w:val="32"/>
          <w:szCs w:val="32"/>
          <w:lang w:val="en"/>
        </w:rPr>
        <w:t>2024</w:t>
      </w:r>
      <w:r>
        <w:rPr>
          <w:rFonts w:ascii="TimesNewRoman" w:hAnsi="TimesNewRoman" w:eastAsia="仿宋_GB2312" w:cs="TimesNewRoman"/>
          <w:bCs/>
          <w:sz w:val="32"/>
          <w:szCs w:val="32"/>
        </w:rPr>
        <w:t>年财政拨款收支总表</w:t>
      </w:r>
    </w:p>
    <w:p>
      <w:pPr>
        <w:pStyle w:val="10"/>
        <w:adjustRightInd w:val="0"/>
        <w:snapToGrid w:val="0"/>
        <w:spacing w:line="560" w:lineRule="exact"/>
        <w:ind w:firstLine="664" w:firstLineChars="200"/>
        <w:outlineLvl w:val="0"/>
        <w:rPr>
          <w:rFonts w:ascii="TimesNewRoman" w:hAnsi="TimesNewRoman" w:eastAsia="仿宋_GB2312" w:cs="TimesNewRoman"/>
          <w:bCs/>
          <w:sz w:val="32"/>
          <w:szCs w:val="32"/>
        </w:rPr>
      </w:pPr>
      <w:r>
        <w:rPr>
          <w:rFonts w:ascii="TimesNewRoman" w:hAnsi="TimesNewRoman" w:eastAsia="仿宋_GB2312" w:cs="TimesNewRoman"/>
          <w:bCs/>
          <w:sz w:val="32"/>
          <w:szCs w:val="32"/>
        </w:rPr>
        <w:t>5.相山区</w:t>
      </w:r>
      <w:r>
        <w:rPr>
          <w:rFonts w:hint="eastAsia" w:ascii="TimesNewRoman" w:hAnsi="TimesNewRoman" w:eastAsia="仿宋_GB2312" w:cs="TimesNewRoman"/>
          <w:bCs/>
          <w:sz w:val="32"/>
          <w:szCs w:val="32"/>
          <w:lang w:eastAsia="zh-CN"/>
        </w:rPr>
        <w:t>民政局</w:t>
      </w:r>
      <w:r>
        <w:rPr>
          <w:rFonts w:ascii="TimesNewRoman" w:hAnsi="TimesNewRoman" w:eastAsia="仿宋_GB2312" w:cs="TimesNewRoman"/>
          <w:bCs/>
          <w:sz w:val="32"/>
          <w:szCs w:val="32"/>
          <w:lang w:val="en"/>
        </w:rPr>
        <w:t>2024</w:t>
      </w:r>
      <w:r>
        <w:rPr>
          <w:rFonts w:ascii="TimesNewRoman" w:hAnsi="TimesNewRoman" w:eastAsia="仿宋_GB2312" w:cs="TimesNewRoman"/>
          <w:bCs/>
          <w:sz w:val="32"/>
          <w:szCs w:val="32"/>
        </w:rPr>
        <w:t>年一般公共预算支出表</w:t>
      </w:r>
    </w:p>
    <w:p>
      <w:pPr>
        <w:pStyle w:val="10"/>
        <w:adjustRightInd w:val="0"/>
        <w:snapToGrid w:val="0"/>
        <w:spacing w:line="560" w:lineRule="exact"/>
        <w:ind w:firstLine="664" w:firstLineChars="200"/>
        <w:rPr>
          <w:rFonts w:ascii="TimesNewRoman" w:hAnsi="TimesNewRoman" w:eastAsia="仿宋_GB2312" w:cs="TimesNewRoman"/>
          <w:bCs/>
          <w:sz w:val="32"/>
          <w:szCs w:val="32"/>
        </w:rPr>
      </w:pPr>
      <w:r>
        <w:rPr>
          <w:rFonts w:ascii="TimesNewRoman" w:hAnsi="TimesNewRoman" w:eastAsia="仿宋_GB2312" w:cs="TimesNewRoman"/>
          <w:bCs/>
          <w:sz w:val="32"/>
          <w:szCs w:val="32"/>
        </w:rPr>
        <w:t>6.相山区</w:t>
      </w:r>
      <w:r>
        <w:rPr>
          <w:rFonts w:hint="eastAsia" w:ascii="TimesNewRoman" w:hAnsi="TimesNewRoman" w:eastAsia="仿宋_GB2312" w:cs="TimesNewRoman"/>
          <w:bCs/>
          <w:sz w:val="32"/>
          <w:szCs w:val="32"/>
          <w:lang w:eastAsia="zh-CN"/>
        </w:rPr>
        <w:t>民政局</w:t>
      </w:r>
      <w:r>
        <w:rPr>
          <w:rFonts w:ascii="TimesNewRoman" w:hAnsi="TimesNewRoman" w:eastAsia="仿宋_GB2312" w:cs="TimesNewRoman"/>
          <w:bCs/>
          <w:sz w:val="32"/>
          <w:szCs w:val="32"/>
          <w:lang w:val="en"/>
        </w:rPr>
        <w:t>2024</w:t>
      </w:r>
      <w:r>
        <w:rPr>
          <w:rFonts w:ascii="TimesNewRoman" w:hAnsi="TimesNewRoman" w:eastAsia="仿宋_GB2312" w:cs="TimesNewRoman"/>
          <w:bCs/>
          <w:sz w:val="32"/>
          <w:szCs w:val="32"/>
        </w:rPr>
        <w:t>年一般公共预算基本支出表</w:t>
      </w:r>
    </w:p>
    <w:p>
      <w:pPr>
        <w:pStyle w:val="10"/>
        <w:adjustRightInd w:val="0"/>
        <w:snapToGrid w:val="0"/>
        <w:spacing w:line="560" w:lineRule="exact"/>
        <w:ind w:firstLine="664" w:firstLineChars="200"/>
        <w:rPr>
          <w:rFonts w:ascii="TimesNewRoman" w:hAnsi="TimesNewRoman" w:eastAsia="仿宋_GB2312" w:cs="TimesNewRoman"/>
          <w:bCs/>
          <w:sz w:val="32"/>
          <w:szCs w:val="32"/>
        </w:rPr>
      </w:pPr>
      <w:r>
        <w:rPr>
          <w:rFonts w:ascii="TimesNewRoman" w:hAnsi="TimesNewRoman" w:eastAsia="仿宋_GB2312" w:cs="TimesNewRoman"/>
          <w:bCs/>
          <w:sz w:val="32"/>
          <w:szCs w:val="32"/>
        </w:rPr>
        <w:t>7.相山区</w:t>
      </w:r>
      <w:r>
        <w:rPr>
          <w:rFonts w:hint="eastAsia" w:ascii="TimesNewRoman" w:hAnsi="TimesNewRoman" w:eastAsia="仿宋_GB2312" w:cs="TimesNewRoman"/>
          <w:bCs/>
          <w:sz w:val="32"/>
          <w:szCs w:val="32"/>
          <w:lang w:eastAsia="zh-CN"/>
        </w:rPr>
        <w:t>民政局</w:t>
      </w:r>
      <w:r>
        <w:rPr>
          <w:rFonts w:ascii="TimesNewRoman" w:hAnsi="TimesNewRoman" w:eastAsia="仿宋_GB2312" w:cs="TimesNewRoman"/>
          <w:bCs/>
          <w:sz w:val="32"/>
          <w:szCs w:val="32"/>
          <w:lang w:val="en"/>
        </w:rPr>
        <w:t>2024</w:t>
      </w:r>
      <w:r>
        <w:rPr>
          <w:rFonts w:ascii="TimesNewRoman" w:hAnsi="TimesNewRoman" w:eastAsia="仿宋_GB2312" w:cs="TimesNewRoman"/>
          <w:bCs/>
          <w:sz w:val="32"/>
          <w:szCs w:val="32"/>
        </w:rPr>
        <w:t>年政府性基金预算支出表</w:t>
      </w:r>
    </w:p>
    <w:p>
      <w:pPr>
        <w:pStyle w:val="10"/>
        <w:adjustRightInd w:val="0"/>
        <w:snapToGrid w:val="0"/>
        <w:spacing w:line="560" w:lineRule="exact"/>
        <w:ind w:firstLine="664" w:firstLineChars="200"/>
        <w:rPr>
          <w:rFonts w:ascii="TimesNewRoman" w:hAnsi="TimesNewRoman" w:eastAsia="仿宋_GB2312" w:cs="TimesNewRoman"/>
          <w:bCs/>
          <w:sz w:val="32"/>
          <w:szCs w:val="32"/>
        </w:rPr>
      </w:pPr>
      <w:r>
        <w:rPr>
          <w:rFonts w:ascii="TimesNewRoman" w:hAnsi="TimesNewRoman" w:eastAsia="仿宋_GB2312" w:cs="TimesNewRoman"/>
          <w:bCs/>
          <w:sz w:val="32"/>
          <w:szCs w:val="32"/>
        </w:rPr>
        <w:t>8.相山区</w:t>
      </w:r>
      <w:r>
        <w:rPr>
          <w:rFonts w:hint="eastAsia" w:ascii="TimesNewRoman" w:hAnsi="TimesNewRoman" w:eastAsia="仿宋_GB2312" w:cs="TimesNewRoman"/>
          <w:bCs/>
          <w:sz w:val="32"/>
          <w:szCs w:val="32"/>
          <w:lang w:eastAsia="zh-CN"/>
        </w:rPr>
        <w:t>民政局</w:t>
      </w:r>
      <w:r>
        <w:rPr>
          <w:rFonts w:ascii="TimesNewRoman" w:hAnsi="TimesNewRoman" w:eastAsia="仿宋_GB2312" w:cs="TimesNewRoman"/>
          <w:bCs/>
          <w:sz w:val="32"/>
          <w:szCs w:val="32"/>
          <w:lang w:val="en"/>
        </w:rPr>
        <w:t>2024</w:t>
      </w:r>
      <w:r>
        <w:rPr>
          <w:rFonts w:ascii="TimesNewRoman" w:hAnsi="TimesNewRoman" w:eastAsia="仿宋_GB2312" w:cs="TimesNewRoman"/>
          <w:bCs/>
          <w:sz w:val="32"/>
          <w:szCs w:val="32"/>
        </w:rPr>
        <w:t>年国有资本经营预算支出表</w:t>
      </w:r>
    </w:p>
    <w:p>
      <w:pPr>
        <w:pStyle w:val="10"/>
        <w:adjustRightInd w:val="0"/>
        <w:snapToGrid w:val="0"/>
        <w:spacing w:line="560" w:lineRule="exact"/>
        <w:ind w:firstLine="664" w:firstLineChars="200"/>
        <w:rPr>
          <w:rFonts w:ascii="TimesNewRoman" w:hAnsi="TimesNewRoman" w:eastAsia="仿宋_GB2312" w:cs="TimesNewRoman"/>
          <w:bCs/>
          <w:sz w:val="32"/>
          <w:szCs w:val="32"/>
        </w:rPr>
      </w:pPr>
      <w:r>
        <w:rPr>
          <w:rFonts w:ascii="TimesNewRoman" w:hAnsi="TimesNewRoman" w:eastAsia="仿宋_GB2312" w:cs="TimesNewRoman"/>
          <w:bCs/>
          <w:sz w:val="32"/>
          <w:szCs w:val="32"/>
        </w:rPr>
        <w:t>9.相山区</w:t>
      </w:r>
      <w:r>
        <w:rPr>
          <w:rFonts w:hint="eastAsia" w:ascii="TimesNewRoman" w:hAnsi="TimesNewRoman" w:eastAsia="仿宋_GB2312" w:cs="TimesNewRoman"/>
          <w:bCs/>
          <w:sz w:val="32"/>
          <w:szCs w:val="32"/>
          <w:lang w:eastAsia="zh-CN"/>
        </w:rPr>
        <w:t>民政局</w:t>
      </w:r>
      <w:r>
        <w:rPr>
          <w:rFonts w:ascii="TimesNewRoman" w:hAnsi="TimesNewRoman" w:eastAsia="仿宋_GB2312" w:cs="TimesNewRoman"/>
          <w:bCs/>
          <w:sz w:val="32"/>
          <w:szCs w:val="32"/>
          <w:lang w:val="en"/>
        </w:rPr>
        <w:t>2024</w:t>
      </w:r>
      <w:r>
        <w:rPr>
          <w:rFonts w:ascii="TimesNewRoman" w:hAnsi="TimesNewRoman" w:eastAsia="仿宋_GB2312" w:cs="TimesNewRoman"/>
          <w:bCs/>
          <w:sz w:val="32"/>
          <w:szCs w:val="32"/>
        </w:rPr>
        <w:t>年项目支出表</w:t>
      </w:r>
    </w:p>
    <w:p>
      <w:pPr>
        <w:pStyle w:val="10"/>
        <w:adjustRightInd w:val="0"/>
        <w:snapToGrid w:val="0"/>
        <w:spacing w:line="560" w:lineRule="exact"/>
        <w:ind w:firstLine="664" w:firstLineChars="200"/>
        <w:rPr>
          <w:rFonts w:ascii="TimesNewRoman" w:hAnsi="TimesNewRoman" w:eastAsia="仿宋_GB2312" w:cs="TimesNewRoman"/>
          <w:bCs/>
          <w:sz w:val="32"/>
          <w:szCs w:val="32"/>
        </w:rPr>
      </w:pPr>
      <w:r>
        <w:rPr>
          <w:rFonts w:ascii="TimesNewRoman" w:hAnsi="TimesNewRoman" w:eastAsia="仿宋_GB2312" w:cs="TimesNewRoman"/>
          <w:bCs/>
          <w:sz w:val="32"/>
          <w:szCs w:val="32"/>
        </w:rPr>
        <w:t>10.相山区</w:t>
      </w:r>
      <w:r>
        <w:rPr>
          <w:rFonts w:hint="eastAsia" w:ascii="TimesNewRoman" w:hAnsi="TimesNewRoman" w:eastAsia="仿宋_GB2312" w:cs="TimesNewRoman"/>
          <w:bCs/>
          <w:sz w:val="32"/>
          <w:szCs w:val="32"/>
          <w:lang w:eastAsia="zh-CN"/>
        </w:rPr>
        <w:t>民政局</w:t>
      </w:r>
      <w:r>
        <w:rPr>
          <w:rFonts w:ascii="TimesNewRoman" w:hAnsi="TimesNewRoman" w:eastAsia="仿宋_GB2312" w:cs="TimesNewRoman"/>
          <w:bCs/>
          <w:sz w:val="32"/>
          <w:szCs w:val="32"/>
          <w:lang w:val="en"/>
        </w:rPr>
        <w:t>2024</w:t>
      </w:r>
      <w:r>
        <w:rPr>
          <w:rFonts w:ascii="TimesNewRoman" w:hAnsi="TimesNewRoman" w:eastAsia="仿宋_GB2312" w:cs="TimesNewRoman"/>
          <w:bCs/>
          <w:sz w:val="32"/>
          <w:szCs w:val="32"/>
        </w:rPr>
        <w:t>年政府采购支出表</w:t>
      </w:r>
    </w:p>
    <w:p>
      <w:pPr>
        <w:pStyle w:val="10"/>
        <w:adjustRightInd w:val="0"/>
        <w:snapToGrid w:val="0"/>
        <w:spacing w:line="560" w:lineRule="exact"/>
        <w:ind w:firstLine="664" w:firstLineChars="200"/>
        <w:rPr>
          <w:rFonts w:ascii="TimesNewRoman" w:hAnsi="TimesNewRoman" w:eastAsia="仿宋_GB2312" w:cs="TimesNewRoman"/>
          <w:bCs/>
          <w:sz w:val="32"/>
          <w:szCs w:val="32"/>
        </w:rPr>
      </w:pPr>
      <w:r>
        <w:rPr>
          <w:rFonts w:ascii="TimesNewRoman" w:hAnsi="TimesNewRoman" w:eastAsia="仿宋_GB2312" w:cs="TimesNewRoman"/>
          <w:bCs/>
          <w:sz w:val="32"/>
          <w:szCs w:val="32"/>
        </w:rPr>
        <w:t>11.相山区</w:t>
      </w:r>
      <w:r>
        <w:rPr>
          <w:rFonts w:hint="eastAsia" w:ascii="TimesNewRoman" w:hAnsi="TimesNewRoman" w:eastAsia="仿宋_GB2312" w:cs="TimesNewRoman"/>
          <w:bCs/>
          <w:sz w:val="32"/>
          <w:szCs w:val="32"/>
          <w:lang w:eastAsia="zh-CN"/>
        </w:rPr>
        <w:t>民政局</w:t>
      </w:r>
      <w:r>
        <w:rPr>
          <w:rFonts w:ascii="TimesNewRoman" w:hAnsi="TimesNewRoman" w:eastAsia="仿宋_GB2312" w:cs="TimesNewRoman"/>
          <w:bCs/>
          <w:sz w:val="32"/>
          <w:szCs w:val="32"/>
          <w:lang w:val="en"/>
        </w:rPr>
        <w:t>2024</w:t>
      </w:r>
      <w:r>
        <w:rPr>
          <w:rFonts w:ascii="TimesNewRoman" w:hAnsi="TimesNewRoman" w:eastAsia="仿宋_GB2312" w:cs="TimesNewRoman"/>
          <w:bCs/>
          <w:sz w:val="32"/>
          <w:szCs w:val="32"/>
        </w:rPr>
        <w:t>年政府购买服务支出表</w:t>
      </w:r>
    </w:p>
    <w:p>
      <w:pPr>
        <w:pStyle w:val="10"/>
        <w:adjustRightInd w:val="0"/>
        <w:snapToGrid w:val="0"/>
        <w:spacing w:line="560" w:lineRule="exact"/>
        <w:ind w:firstLine="664" w:firstLineChars="200"/>
        <w:rPr>
          <w:rFonts w:hint="default" w:ascii="TimesNewRoman" w:hAnsi="TimesNewRoman" w:eastAsia="仿宋_GB2312" w:cs="TimesNewRoman"/>
          <w:bCs/>
          <w:sz w:val="32"/>
          <w:szCs w:val="32"/>
          <w:lang w:val="en-US" w:eastAsia="zh-CN"/>
        </w:rPr>
      </w:pPr>
      <w:r>
        <w:rPr>
          <w:rFonts w:hint="eastAsia" w:ascii="TimesNewRoman" w:hAnsi="TimesNewRoman" w:eastAsia="仿宋_GB2312" w:cs="TimesNewRoman"/>
          <w:bCs/>
          <w:sz w:val="32"/>
          <w:szCs w:val="32"/>
          <w:lang w:val="en-US" w:eastAsia="zh-CN"/>
        </w:rPr>
        <w:t>12.</w:t>
      </w:r>
      <w:r>
        <w:rPr>
          <w:rFonts w:ascii="TimesNewRoman" w:hAnsi="TimesNewRoman" w:eastAsia="仿宋_GB2312" w:cs="TimesNewRoman"/>
          <w:bCs/>
          <w:sz w:val="32"/>
          <w:szCs w:val="32"/>
        </w:rPr>
        <w:t>相山区</w:t>
      </w:r>
      <w:r>
        <w:rPr>
          <w:rFonts w:hint="eastAsia" w:ascii="TimesNewRoman" w:hAnsi="TimesNewRoman" w:eastAsia="仿宋_GB2312" w:cs="TimesNewRoman"/>
          <w:bCs/>
          <w:sz w:val="32"/>
          <w:szCs w:val="32"/>
          <w:lang w:eastAsia="zh-CN"/>
        </w:rPr>
        <w:t>民政局</w:t>
      </w:r>
      <w:r>
        <w:rPr>
          <w:rFonts w:ascii="TimesNewRoman" w:hAnsi="TimesNewRoman" w:eastAsia="仿宋_GB2312" w:cs="TimesNewRoman"/>
          <w:bCs/>
          <w:sz w:val="32"/>
          <w:szCs w:val="32"/>
          <w:lang w:val="en"/>
        </w:rPr>
        <w:t>2024</w:t>
      </w:r>
      <w:r>
        <w:rPr>
          <w:rFonts w:ascii="TimesNewRoman" w:hAnsi="TimesNewRoman" w:eastAsia="仿宋_GB2312" w:cs="TimesNewRoman"/>
          <w:bCs/>
          <w:sz w:val="32"/>
          <w:szCs w:val="32"/>
        </w:rPr>
        <w:t>年</w:t>
      </w:r>
      <w:r>
        <w:rPr>
          <w:rFonts w:hint="eastAsia" w:ascii="TimesNewRoman" w:hAnsi="TimesNewRoman" w:eastAsia="仿宋_GB2312" w:cs="TimesNewRoman"/>
          <w:bCs/>
          <w:sz w:val="32"/>
          <w:szCs w:val="32"/>
          <w:lang w:eastAsia="zh-CN"/>
        </w:rPr>
        <w:t>通用资产配置</w:t>
      </w:r>
      <w:r>
        <w:rPr>
          <w:rFonts w:ascii="TimesNewRoman" w:hAnsi="TimesNewRoman" w:eastAsia="仿宋_GB2312" w:cs="TimesNewRoman"/>
          <w:bCs/>
          <w:sz w:val="32"/>
          <w:szCs w:val="32"/>
        </w:rPr>
        <w:t>支出表</w:t>
      </w:r>
    </w:p>
    <w:p>
      <w:pPr>
        <w:pStyle w:val="10"/>
        <w:adjustRightInd w:val="0"/>
        <w:snapToGrid w:val="0"/>
        <w:spacing w:line="560" w:lineRule="exact"/>
        <w:ind w:firstLine="664" w:firstLineChars="200"/>
        <w:rPr>
          <w:rFonts w:ascii="TimesNewRoman" w:hAnsi="TimesNewRoman" w:eastAsia="方正黑体_GBK" w:cs="TimesNewRoman"/>
          <w:bCs/>
          <w:sz w:val="32"/>
          <w:szCs w:val="32"/>
        </w:rPr>
      </w:pPr>
      <w:r>
        <w:rPr>
          <w:rFonts w:ascii="TimesNewRoman" w:hAnsi="TimesNewRoman" w:eastAsia="方正黑体_GBK" w:cs="TimesNewRoman"/>
          <w:bCs/>
          <w:sz w:val="32"/>
          <w:szCs w:val="32"/>
        </w:rPr>
        <w:t xml:space="preserve">第三部分 </w:t>
      </w:r>
      <w:r>
        <w:rPr>
          <w:rFonts w:ascii="TimesNewRoman" w:hAnsi="TimesNewRoman" w:eastAsia="方正黑体_GBK" w:cs="TimesNewRoman"/>
          <w:bCs/>
          <w:sz w:val="32"/>
          <w:szCs w:val="32"/>
          <w:lang w:val="en"/>
        </w:rPr>
        <w:t>2024</w:t>
      </w:r>
      <w:r>
        <w:rPr>
          <w:rFonts w:ascii="TimesNewRoman" w:hAnsi="TimesNewRoman" w:eastAsia="方正黑体_GBK" w:cs="TimesNewRoman"/>
          <w:bCs/>
          <w:sz w:val="32"/>
          <w:szCs w:val="32"/>
        </w:rPr>
        <w:t>年部门预算情况说明</w:t>
      </w:r>
    </w:p>
    <w:p>
      <w:pPr>
        <w:pStyle w:val="10"/>
        <w:adjustRightInd w:val="0"/>
        <w:snapToGrid w:val="0"/>
        <w:spacing w:line="560" w:lineRule="exact"/>
        <w:ind w:firstLine="664" w:firstLineChars="200"/>
        <w:outlineLvl w:val="0"/>
        <w:rPr>
          <w:rFonts w:ascii="TimesNewRoman" w:hAnsi="TimesNewRoman" w:eastAsia="仿宋_GB2312" w:cs="TimesNewRoman"/>
          <w:bCs/>
          <w:sz w:val="32"/>
          <w:szCs w:val="32"/>
        </w:rPr>
      </w:pPr>
      <w:r>
        <w:rPr>
          <w:rFonts w:ascii="TimesNewRoman" w:hAnsi="TimesNewRoman" w:eastAsia="仿宋_GB2312" w:cs="TimesNewRoman"/>
          <w:bCs/>
          <w:sz w:val="32"/>
          <w:szCs w:val="32"/>
        </w:rPr>
        <w:t>1.关于</w:t>
      </w:r>
      <w:r>
        <w:rPr>
          <w:rFonts w:ascii="TimesNewRoman" w:hAnsi="TimesNewRoman" w:eastAsia="仿宋_GB2312" w:cs="TimesNewRoman"/>
          <w:bCs/>
          <w:sz w:val="32"/>
          <w:szCs w:val="32"/>
          <w:lang w:val="en"/>
        </w:rPr>
        <w:t>2024</w:t>
      </w:r>
      <w:r>
        <w:rPr>
          <w:rFonts w:ascii="TimesNewRoman" w:hAnsi="TimesNewRoman" w:eastAsia="仿宋_GB2312" w:cs="TimesNewRoman"/>
          <w:bCs/>
          <w:sz w:val="32"/>
          <w:szCs w:val="32"/>
        </w:rPr>
        <w:t>年收支总表的说明</w:t>
      </w:r>
    </w:p>
    <w:p>
      <w:pPr>
        <w:pStyle w:val="10"/>
        <w:adjustRightInd w:val="0"/>
        <w:snapToGrid w:val="0"/>
        <w:spacing w:line="560" w:lineRule="exact"/>
        <w:ind w:firstLine="664" w:firstLineChars="200"/>
        <w:rPr>
          <w:rFonts w:ascii="TimesNewRoman" w:hAnsi="TimesNewRoman" w:eastAsia="仿宋_GB2312" w:cs="TimesNewRoman"/>
          <w:bCs/>
          <w:sz w:val="32"/>
          <w:szCs w:val="32"/>
        </w:rPr>
      </w:pPr>
      <w:r>
        <w:rPr>
          <w:rFonts w:ascii="TimesNewRoman" w:hAnsi="TimesNewRoman" w:eastAsia="仿宋_GB2312" w:cs="TimesNewRoman"/>
          <w:bCs/>
          <w:sz w:val="32"/>
          <w:szCs w:val="32"/>
        </w:rPr>
        <w:t>2.关于</w:t>
      </w:r>
      <w:r>
        <w:rPr>
          <w:rFonts w:ascii="TimesNewRoman" w:hAnsi="TimesNewRoman" w:eastAsia="仿宋_GB2312" w:cs="TimesNewRoman"/>
          <w:bCs/>
          <w:sz w:val="32"/>
          <w:szCs w:val="32"/>
          <w:lang w:val="en"/>
        </w:rPr>
        <w:t>2024</w:t>
      </w:r>
      <w:r>
        <w:rPr>
          <w:rFonts w:ascii="TimesNewRoman" w:hAnsi="TimesNewRoman" w:eastAsia="仿宋_GB2312" w:cs="TimesNewRoman"/>
          <w:bCs/>
          <w:sz w:val="32"/>
          <w:szCs w:val="32"/>
        </w:rPr>
        <w:t>年收入总表的说明</w:t>
      </w:r>
    </w:p>
    <w:p>
      <w:pPr>
        <w:adjustRightInd w:val="0"/>
        <w:snapToGrid w:val="0"/>
        <w:spacing w:line="560" w:lineRule="exact"/>
        <w:ind w:firstLine="664" w:firstLineChars="200"/>
        <w:rPr>
          <w:rFonts w:ascii="TimesNewRoman" w:hAnsi="TimesNewRoman" w:cs="TimesNewRoman"/>
          <w:bCs/>
          <w:kern w:val="0"/>
          <w:szCs w:val="32"/>
        </w:rPr>
      </w:pPr>
      <w:r>
        <w:rPr>
          <w:rFonts w:ascii="TimesNewRoman" w:hAnsi="TimesNewRoman" w:cs="TimesNewRoman"/>
          <w:bCs/>
          <w:kern w:val="0"/>
          <w:szCs w:val="32"/>
        </w:rPr>
        <w:t>3.关于</w:t>
      </w:r>
      <w:r>
        <w:rPr>
          <w:rFonts w:ascii="TimesNewRoman" w:hAnsi="TimesNewRoman" w:cs="TimesNewRoman"/>
          <w:bCs/>
          <w:kern w:val="0"/>
          <w:szCs w:val="32"/>
          <w:lang w:val="en"/>
        </w:rPr>
        <w:t>2024</w:t>
      </w:r>
      <w:r>
        <w:rPr>
          <w:rFonts w:ascii="TimesNewRoman" w:hAnsi="TimesNewRoman" w:cs="TimesNewRoman"/>
          <w:bCs/>
          <w:kern w:val="0"/>
          <w:szCs w:val="32"/>
        </w:rPr>
        <w:t>年支出总表的说明</w:t>
      </w:r>
    </w:p>
    <w:p>
      <w:pPr>
        <w:pStyle w:val="10"/>
        <w:adjustRightInd w:val="0"/>
        <w:snapToGrid w:val="0"/>
        <w:spacing w:line="560" w:lineRule="exact"/>
        <w:ind w:firstLine="664" w:firstLineChars="200"/>
        <w:rPr>
          <w:rFonts w:ascii="TimesNewRoman" w:hAnsi="TimesNewRoman" w:eastAsia="仿宋_GB2312" w:cs="TimesNewRoman"/>
          <w:bCs/>
          <w:sz w:val="32"/>
          <w:szCs w:val="32"/>
        </w:rPr>
      </w:pPr>
      <w:r>
        <w:rPr>
          <w:rFonts w:ascii="TimesNewRoman" w:hAnsi="TimesNewRoman" w:eastAsia="仿宋_GB2312" w:cs="TimesNewRoman"/>
          <w:bCs/>
          <w:sz w:val="32"/>
          <w:szCs w:val="32"/>
        </w:rPr>
        <w:t>4.关于</w:t>
      </w:r>
      <w:r>
        <w:rPr>
          <w:rFonts w:ascii="TimesNewRoman" w:hAnsi="TimesNewRoman" w:eastAsia="仿宋_GB2312" w:cs="TimesNewRoman"/>
          <w:bCs/>
          <w:sz w:val="32"/>
          <w:szCs w:val="32"/>
          <w:lang w:val="en"/>
        </w:rPr>
        <w:t>2024</w:t>
      </w:r>
      <w:r>
        <w:rPr>
          <w:rFonts w:ascii="TimesNewRoman" w:hAnsi="TimesNewRoman" w:eastAsia="仿宋_GB2312" w:cs="TimesNewRoman"/>
          <w:bCs/>
          <w:sz w:val="32"/>
          <w:szCs w:val="32"/>
        </w:rPr>
        <w:t>年财政拨款收支总表的说明</w:t>
      </w:r>
    </w:p>
    <w:p>
      <w:pPr>
        <w:pStyle w:val="10"/>
        <w:adjustRightInd w:val="0"/>
        <w:snapToGrid w:val="0"/>
        <w:spacing w:line="560" w:lineRule="exact"/>
        <w:ind w:firstLine="664" w:firstLineChars="200"/>
        <w:rPr>
          <w:rFonts w:ascii="TimesNewRoman" w:hAnsi="TimesNewRoman" w:eastAsia="仿宋_GB2312" w:cs="TimesNewRoman"/>
          <w:bCs/>
          <w:sz w:val="32"/>
          <w:szCs w:val="32"/>
        </w:rPr>
      </w:pPr>
      <w:r>
        <w:rPr>
          <w:rFonts w:ascii="TimesNewRoman" w:hAnsi="TimesNewRoman" w:eastAsia="仿宋_GB2312" w:cs="TimesNewRoman"/>
          <w:bCs/>
          <w:sz w:val="32"/>
          <w:szCs w:val="32"/>
        </w:rPr>
        <w:t>5.关于</w:t>
      </w:r>
      <w:r>
        <w:rPr>
          <w:rFonts w:ascii="TimesNewRoman" w:hAnsi="TimesNewRoman" w:eastAsia="仿宋_GB2312" w:cs="TimesNewRoman"/>
          <w:bCs/>
          <w:sz w:val="32"/>
          <w:szCs w:val="32"/>
          <w:lang w:val="en"/>
        </w:rPr>
        <w:t>2024</w:t>
      </w:r>
      <w:r>
        <w:rPr>
          <w:rFonts w:ascii="TimesNewRoman" w:hAnsi="TimesNewRoman" w:eastAsia="仿宋_GB2312" w:cs="TimesNewRoman"/>
          <w:bCs/>
          <w:sz w:val="32"/>
          <w:szCs w:val="32"/>
        </w:rPr>
        <w:t>年一般公共预算支出表的说明</w:t>
      </w:r>
    </w:p>
    <w:p>
      <w:pPr>
        <w:pStyle w:val="10"/>
        <w:adjustRightInd w:val="0"/>
        <w:snapToGrid w:val="0"/>
        <w:spacing w:line="560" w:lineRule="exact"/>
        <w:ind w:firstLine="664" w:firstLineChars="200"/>
        <w:rPr>
          <w:rFonts w:ascii="TimesNewRoman" w:hAnsi="TimesNewRoman" w:eastAsia="仿宋_GB2312" w:cs="TimesNewRoman"/>
          <w:bCs/>
          <w:sz w:val="32"/>
          <w:szCs w:val="32"/>
        </w:rPr>
      </w:pPr>
      <w:r>
        <w:rPr>
          <w:rFonts w:ascii="TimesNewRoman" w:hAnsi="TimesNewRoman" w:eastAsia="仿宋_GB2312" w:cs="TimesNewRoman"/>
          <w:bCs/>
          <w:sz w:val="32"/>
          <w:szCs w:val="32"/>
        </w:rPr>
        <w:t>6.关于</w:t>
      </w:r>
      <w:r>
        <w:rPr>
          <w:rFonts w:ascii="TimesNewRoman" w:hAnsi="TimesNewRoman" w:eastAsia="仿宋_GB2312" w:cs="TimesNewRoman"/>
          <w:bCs/>
          <w:sz w:val="32"/>
          <w:szCs w:val="32"/>
          <w:lang w:val="en"/>
        </w:rPr>
        <w:t>2024</w:t>
      </w:r>
      <w:r>
        <w:rPr>
          <w:rFonts w:ascii="TimesNewRoman" w:hAnsi="TimesNewRoman" w:eastAsia="仿宋_GB2312" w:cs="TimesNewRoman"/>
          <w:bCs/>
          <w:sz w:val="32"/>
          <w:szCs w:val="32"/>
        </w:rPr>
        <w:t>年一般公共预算基本支出表的说明</w:t>
      </w:r>
    </w:p>
    <w:p>
      <w:pPr>
        <w:pStyle w:val="10"/>
        <w:adjustRightInd w:val="0"/>
        <w:snapToGrid w:val="0"/>
        <w:spacing w:line="560" w:lineRule="exact"/>
        <w:ind w:firstLine="664" w:firstLineChars="200"/>
        <w:rPr>
          <w:rFonts w:ascii="TimesNewRoman" w:hAnsi="TimesNewRoman" w:eastAsia="仿宋_GB2312" w:cs="TimesNewRoman"/>
          <w:bCs/>
          <w:sz w:val="32"/>
          <w:szCs w:val="32"/>
        </w:rPr>
      </w:pPr>
      <w:r>
        <w:rPr>
          <w:rFonts w:ascii="TimesNewRoman" w:hAnsi="TimesNewRoman" w:eastAsia="仿宋_GB2312" w:cs="TimesNewRoman"/>
          <w:bCs/>
          <w:sz w:val="32"/>
          <w:szCs w:val="32"/>
        </w:rPr>
        <w:t>7.关于</w:t>
      </w:r>
      <w:r>
        <w:rPr>
          <w:rFonts w:ascii="TimesNewRoman" w:hAnsi="TimesNewRoman" w:eastAsia="仿宋_GB2312" w:cs="TimesNewRoman"/>
          <w:bCs/>
          <w:sz w:val="32"/>
          <w:szCs w:val="32"/>
          <w:lang w:val="en"/>
        </w:rPr>
        <w:t>2024</w:t>
      </w:r>
      <w:r>
        <w:rPr>
          <w:rFonts w:ascii="TimesNewRoman" w:hAnsi="TimesNewRoman" w:eastAsia="仿宋_GB2312" w:cs="TimesNewRoman"/>
          <w:bCs/>
          <w:sz w:val="32"/>
          <w:szCs w:val="32"/>
        </w:rPr>
        <w:t>年政府性基金预算支出表的说明</w:t>
      </w:r>
    </w:p>
    <w:p>
      <w:pPr>
        <w:pStyle w:val="10"/>
        <w:adjustRightInd w:val="0"/>
        <w:snapToGrid w:val="0"/>
        <w:spacing w:line="560" w:lineRule="exact"/>
        <w:ind w:firstLine="664" w:firstLineChars="200"/>
        <w:rPr>
          <w:rFonts w:ascii="TimesNewRoman" w:hAnsi="TimesNewRoman" w:eastAsia="仿宋_GB2312" w:cs="TimesNewRoman"/>
          <w:bCs/>
          <w:sz w:val="32"/>
          <w:szCs w:val="32"/>
        </w:rPr>
      </w:pPr>
      <w:r>
        <w:rPr>
          <w:rFonts w:ascii="TimesNewRoman" w:hAnsi="TimesNewRoman" w:eastAsia="仿宋_GB2312" w:cs="TimesNewRoman"/>
          <w:bCs/>
          <w:sz w:val="32"/>
          <w:szCs w:val="32"/>
        </w:rPr>
        <w:t>8.关于</w:t>
      </w:r>
      <w:r>
        <w:rPr>
          <w:rFonts w:ascii="TimesNewRoman" w:hAnsi="TimesNewRoman" w:eastAsia="仿宋_GB2312" w:cs="TimesNewRoman"/>
          <w:bCs/>
          <w:sz w:val="32"/>
          <w:szCs w:val="32"/>
          <w:lang w:val="en"/>
        </w:rPr>
        <w:t>2024</w:t>
      </w:r>
      <w:r>
        <w:rPr>
          <w:rFonts w:ascii="TimesNewRoman" w:hAnsi="TimesNewRoman" w:eastAsia="仿宋_GB2312" w:cs="TimesNewRoman"/>
          <w:bCs/>
          <w:sz w:val="32"/>
          <w:szCs w:val="32"/>
        </w:rPr>
        <w:t>年国有资本经营预算支出表的说明</w:t>
      </w:r>
    </w:p>
    <w:p>
      <w:pPr>
        <w:pStyle w:val="10"/>
        <w:adjustRightInd w:val="0"/>
        <w:snapToGrid w:val="0"/>
        <w:spacing w:line="560" w:lineRule="exact"/>
        <w:ind w:firstLine="664" w:firstLineChars="200"/>
        <w:rPr>
          <w:rFonts w:ascii="TimesNewRoman" w:hAnsi="TimesNewRoman" w:eastAsia="仿宋_GB2312" w:cs="TimesNewRoman"/>
          <w:bCs/>
          <w:sz w:val="32"/>
          <w:szCs w:val="32"/>
        </w:rPr>
      </w:pPr>
      <w:r>
        <w:rPr>
          <w:rFonts w:ascii="TimesNewRoman" w:hAnsi="TimesNewRoman" w:eastAsia="仿宋_GB2312" w:cs="TimesNewRoman"/>
          <w:bCs/>
          <w:sz w:val="32"/>
          <w:szCs w:val="32"/>
        </w:rPr>
        <w:t>9.关于</w:t>
      </w:r>
      <w:r>
        <w:rPr>
          <w:rFonts w:ascii="TimesNewRoman" w:hAnsi="TimesNewRoman" w:eastAsia="仿宋_GB2312" w:cs="TimesNewRoman"/>
          <w:bCs/>
          <w:sz w:val="32"/>
          <w:szCs w:val="32"/>
          <w:lang w:val="en"/>
        </w:rPr>
        <w:t>2024</w:t>
      </w:r>
      <w:r>
        <w:rPr>
          <w:rFonts w:ascii="TimesNewRoman" w:hAnsi="TimesNewRoman" w:eastAsia="仿宋_GB2312" w:cs="TimesNewRoman"/>
          <w:bCs/>
          <w:sz w:val="32"/>
          <w:szCs w:val="32"/>
        </w:rPr>
        <w:t>年项目支出表的说明</w:t>
      </w:r>
    </w:p>
    <w:p>
      <w:pPr>
        <w:pStyle w:val="10"/>
        <w:adjustRightInd w:val="0"/>
        <w:snapToGrid w:val="0"/>
        <w:spacing w:line="560" w:lineRule="exact"/>
        <w:ind w:firstLine="664" w:firstLineChars="200"/>
        <w:rPr>
          <w:rFonts w:ascii="TimesNewRoman" w:hAnsi="TimesNewRoman" w:eastAsia="仿宋_GB2312" w:cs="TimesNewRoman"/>
          <w:bCs/>
          <w:sz w:val="32"/>
          <w:szCs w:val="32"/>
        </w:rPr>
      </w:pPr>
      <w:r>
        <w:rPr>
          <w:rFonts w:ascii="TimesNewRoman" w:hAnsi="TimesNewRoman" w:eastAsia="仿宋_GB2312" w:cs="TimesNewRoman"/>
          <w:bCs/>
          <w:sz w:val="32"/>
          <w:szCs w:val="32"/>
        </w:rPr>
        <w:t>10.关于</w:t>
      </w:r>
      <w:r>
        <w:rPr>
          <w:rFonts w:ascii="TimesNewRoman" w:hAnsi="TimesNewRoman" w:eastAsia="仿宋_GB2312" w:cs="TimesNewRoman"/>
          <w:bCs/>
          <w:sz w:val="32"/>
          <w:szCs w:val="32"/>
          <w:lang w:val="en"/>
        </w:rPr>
        <w:t>2024</w:t>
      </w:r>
      <w:r>
        <w:rPr>
          <w:rFonts w:ascii="TimesNewRoman" w:hAnsi="TimesNewRoman" w:eastAsia="仿宋_GB2312" w:cs="TimesNewRoman"/>
          <w:bCs/>
          <w:sz w:val="32"/>
          <w:szCs w:val="32"/>
        </w:rPr>
        <w:t>年政府采购支出表的说明</w:t>
      </w:r>
    </w:p>
    <w:p>
      <w:pPr>
        <w:pStyle w:val="10"/>
        <w:adjustRightInd w:val="0"/>
        <w:snapToGrid w:val="0"/>
        <w:spacing w:line="560" w:lineRule="exact"/>
        <w:ind w:firstLine="664" w:firstLineChars="200"/>
        <w:rPr>
          <w:rFonts w:ascii="TimesNewRoman" w:hAnsi="TimesNewRoman" w:eastAsia="仿宋_GB2312" w:cs="TimesNewRoman"/>
          <w:bCs/>
          <w:sz w:val="32"/>
          <w:szCs w:val="32"/>
        </w:rPr>
      </w:pPr>
      <w:r>
        <w:rPr>
          <w:rFonts w:ascii="TimesNewRoman" w:hAnsi="TimesNewRoman" w:eastAsia="仿宋_GB2312" w:cs="TimesNewRoman"/>
          <w:bCs/>
          <w:sz w:val="32"/>
          <w:szCs w:val="32"/>
        </w:rPr>
        <w:t>11.关于</w:t>
      </w:r>
      <w:r>
        <w:rPr>
          <w:rFonts w:ascii="TimesNewRoman" w:hAnsi="TimesNewRoman" w:eastAsia="仿宋_GB2312" w:cs="TimesNewRoman"/>
          <w:bCs/>
          <w:sz w:val="32"/>
          <w:szCs w:val="32"/>
          <w:lang w:val="en"/>
        </w:rPr>
        <w:t>2024</w:t>
      </w:r>
      <w:r>
        <w:rPr>
          <w:rFonts w:ascii="TimesNewRoman" w:hAnsi="TimesNewRoman" w:eastAsia="仿宋_GB2312" w:cs="TimesNewRoman"/>
          <w:bCs/>
          <w:sz w:val="32"/>
          <w:szCs w:val="32"/>
        </w:rPr>
        <w:t>年政府购买服务支出表的说明</w:t>
      </w:r>
    </w:p>
    <w:p>
      <w:pPr>
        <w:pStyle w:val="10"/>
        <w:adjustRightInd w:val="0"/>
        <w:snapToGrid w:val="0"/>
        <w:spacing w:line="560" w:lineRule="exact"/>
        <w:ind w:firstLine="664" w:firstLineChars="200"/>
        <w:rPr>
          <w:rFonts w:hint="default" w:ascii="TimesNewRoman" w:hAnsi="TimesNewRoman" w:eastAsia="仿宋_GB2312" w:cs="TimesNewRoman"/>
          <w:bCs/>
          <w:sz w:val="32"/>
          <w:szCs w:val="32"/>
          <w:lang w:val="en-US" w:eastAsia="zh-CN"/>
        </w:rPr>
      </w:pPr>
      <w:r>
        <w:rPr>
          <w:rFonts w:hint="eastAsia" w:ascii="TimesNewRoman" w:hAnsi="TimesNewRoman" w:eastAsia="仿宋_GB2312" w:cs="TimesNewRoman"/>
          <w:bCs/>
          <w:sz w:val="32"/>
          <w:szCs w:val="32"/>
          <w:lang w:val="en-US" w:eastAsia="zh-CN"/>
        </w:rPr>
        <w:t>12.</w:t>
      </w:r>
      <w:r>
        <w:rPr>
          <w:rFonts w:ascii="TimesNewRoman" w:hAnsi="TimesNewRoman" w:eastAsia="仿宋_GB2312" w:cs="TimesNewRoman"/>
          <w:bCs/>
          <w:sz w:val="32"/>
          <w:szCs w:val="32"/>
        </w:rPr>
        <w:t>关于</w:t>
      </w:r>
      <w:r>
        <w:rPr>
          <w:rFonts w:ascii="TimesNewRoman" w:hAnsi="TimesNewRoman" w:eastAsia="仿宋_GB2312" w:cs="TimesNewRoman"/>
          <w:bCs/>
          <w:sz w:val="32"/>
          <w:szCs w:val="32"/>
          <w:lang w:val="en"/>
        </w:rPr>
        <w:t>2024</w:t>
      </w:r>
      <w:r>
        <w:rPr>
          <w:rFonts w:ascii="TimesNewRoman" w:hAnsi="TimesNewRoman" w:eastAsia="仿宋_GB2312" w:cs="TimesNewRoman"/>
          <w:bCs/>
          <w:sz w:val="32"/>
          <w:szCs w:val="32"/>
        </w:rPr>
        <w:t>年</w:t>
      </w:r>
      <w:r>
        <w:rPr>
          <w:rFonts w:hint="eastAsia" w:ascii="TimesNewRoman" w:hAnsi="TimesNewRoman" w:eastAsia="仿宋_GB2312" w:cs="TimesNewRoman"/>
          <w:bCs/>
          <w:sz w:val="32"/>
          <w:szCs w:val="32"/>
          <w:lang w:eastAsia="zh-CN"/>
        </w:rPr>
        <w:t>通用资产配置</w:t>
      </w:r>
      <w:r>
        <w:rPr>
          <w:rFonts w:ascii="TimesNewRoman" w:hAnsi="TimesNewRoman" w:eastAsia="仿宋_GB2312" w:cs="TimesNewRoman"/>
          <w:bCs/>
          <w:sz w:val="32"/>
          <w:szCs w:val="32"/>
        </w:rPr>
        <w:t>支出表的说明</w:t>
      </w:r>
    </w:p>
    <w:p>
      <w:pPr>
        <w:pStyle w:val="10"/>
        <w:adjustRightInd w:val="0"/>
        <w:snapToGrid w:val="0"/>
        <w:spacing w:line="560" w:lineRule="exact"/>
        <w:ind w:firstLine="664" w:firstLineChars="200"/>
        <w:rPr>
          <w:rFonts w:ascii="TimesNewRoman" w:hAnsi="TimesNewRoman" w:eastAsia="仿宋_GB2312" w:cs="TimesNewRoman"/>
          <w:bCs/>
          <w:sz w:val="32"/>
          <w:szCs w:val="32"/>
        </w:rPr>
      </w:pPr>
      <w:r>
        <w:rPr>
          <w:rFonts w:ascii="TimesNewRoman" w:hAnsi="TimesNewRoman" w:eastAsia="仿宋_GB2312" w:cs="TimesNewRoman"/>
          <w:bCs/>
          <w:sz w:val="32"/>
          <w:szCs w:val="32"/>
        </w:rPr>
        <w:t>1</w:t>
      </w:r>
      <w:r>
        <w:rPr>
          <w:rFonts w:hint="eastAsia" w:ascii="TimesNewRoman" w:hAnsi="TimesNewRoman" w:eastAsia="仿宋_GB2312" w:cs="TimesNewRoman"/>
          <w:bCs/>
          <w:sz w:val="32"/>
          <w:szCs w:val="32"/>
          <w:lang w:val="en-US" w:eastAsia="zh-CN"/>
        </w:rPr>
        <w:t>3</w:t>
      </w:r>
      <w:bookmarkStart w:id="0" w:name="_GoBack"/>
      <w:bookmarkEnd w:id="0"/>
      <w:r>
        <w:rPr>
          <w:rFonts w:ascii="TimesNewRoman" w:hAnsi="TimesNewRoman" w:eastAsia="仿宋_GB2312" w:cs="TimesNewRoman"/>
          <w:bCs/>
          <w:sz w:val="32"/>
          <w:szCs w:val="32"/>
        </w:rPr>
        <w:t>.其他重要事项情况说明</w:t>
      </w:r>
    </w:p>
    <w:p>
      <w:pPr>
        <w:pStyle w:val="10"/>
        <w:adjustRightInd w:val="0"/>
        <w:snapToGrid w:val="0"/>
        <w:spacing w:line="560" w:lineRule="exact"/>
        <w:ind w:firstLine="664" w:firstLineChars="200"/>
        <w:rPr>
          <w:rFonts w:ascii="TimesNewRoman" w:hAnsi="TimesNewRoman" w:eastAsia="方正黑体_GBK" w:cs="TimesNewRoman"/>
          <w:bCs/>
          <w:sz w:val="32"/>
          <w:szCs w:val="32"/>
        </w:rPr>
      </w:pPr>
      <w:r>
        <w:rPr>
          <w:rFonts w:ascii="TimesNewRoman" w:hAnsi="TimesNewRoman" w:eastAsia="方正黑体_GBK" w:cs="TimesNewRoman"/>
          <w:bCs/>
          <w:sz w:val="32"/>
          <w:szCs w:val="32"/>
        </w:rPr>
        <w:t>第四部分 名词解释</w:t>
      </w:r>
    </w:p>
    <w:p>
      <w:pPr>
        <w:pStyle w:val="10"/>
        <w:adjustRightInd w:val="0"/>
        <w:snapToGrid w:val="0"/>
        <w:spacing w:line="560" w:lineRule="exact"/>
        <w:ind w:firstLine="664" w:firstLineChars="200"/>
        <w:rPr>
          <w:rFonts w:ascii="TimesNewRoman" w:hAnsi="TimesNewRoman" w:eastAsia="仿宋_GB2312" w:cs="TimesNewRoman"/>
          <w:b/>
          <w:sz w:val="32"/>
          <w:szCs w:val="32"/>
        </w:rPr>
      </w:pPr>
    </w:p>
    <w:p>
      <w:pPr>
        <w:pStyle w:val="10"/>
        <w:adjustRightInd w:val="0"/>
        <w:snapToGrid w:val="0"/>
        <w:spacing w:line="560" w:lineRule="exact"/>
        <w:ind w:firstLine="664" w:firstLineChars="200"/>
        <w:rPr>
          <w:rFonts w:ascii="TimesNewRoman" w:hAnsi="TimesNewRoman" w:eastAsia="仿宋_GB2312" w:cs="TimesNewRoman"/>
          <w:b/>
          <w:sz w:val="32"/>
          <w:szCs w:val="32"/>
        </w:rPr>
      </w:pPr>
    </w:p>
    <w:p>
      <w:pPr>
        <w:pStyle w:val="10"/>
        <w:adjustRightInd w:val="0"/>
        <w:snapToGrid w:val="0"/>
        <w:spacing w:line="560" w:lineRule="exact"/>
        <w:ind w:firstLine="664" w:firstLineChars="200"/>
        <w:rPr>
          <w:rFonts w:ascii="TimesNewRoman" w:hAnsi="TimesNewRoman" w:eastAsia="仿宋_GB2312" w:cs="TimesNewRoman"/>
          <w:b/>
          <w:sz w:val="32"/>
          <w:szCs w:val="32"/>
        </w:rPr>
      </w:pPr>
    </w:p>
    <w:p>
      <w:pPr>
        <w:pStyle w:val="10"/>
        <w:adjustRightInd w:val="0"/>
        <w:snapToGrid w:val="0"/>
        <w:spacing w:line="560" w:lineRule="exact"/>
        <w:ind w:firstLine="664" w:firstLineChars="200"/>
        <w:rPr>
          <w:rFonts w:ascii="TimesNewRoman" w:hAnsi="TimesNewRoman" w:eastAsia="仿宋_GB2312" w:cs="TimesNewRoman"/>
          <w:b/>
          <w:sz w:val="32"/>
          <w:szCs w:val="32"/>
        </w:rPr>
      </w:pPr>
    </w:p>
    <w:p>
      <w:pPr>
        <w:pStyle w:val="10"/>
        <w:adjustRightInd w:val="0"/>
        <w:snapToGrid w:val="0"/>
        <w:spacing w:line="560" w:lineRule="exact"/>
        <w:ind w:firstLine="664" w:firstLineChars="200"/>
        <w:rPr>
          <w:rFonts w:ascii="TimesNewRoman" w:hAnsi="TimesNewRoman" w:eastAsia="仿宋_GB2312" w:cs="TimesNewRoman"/>
          <w:b/>
          <w:sz w:val="32"/>
          <w:szCs w:val="32"/>
        </w:rPr>
      </w:pPr>
    </w:p>
    <w:p>
      <w:pPr>
        <w:pStyle w:val="10"/>
        <w:adjustRightInd w:val="0"/>
        <w:snapToGrid w:val="0"/>
        <w:spacing w:line="560" w:lineRule="exact"/>
        <w:ind w:firstLine="664" w:firstLineChars="200"/>
        <w:rPr>
          <w:rFonts w:ascii="TimesNewRoman" w:hAnsi="TimesNewRoman" w:eastAsia="仿宋_GB2312" w:cs="TimesNewRoman"/>
          <w:b/>
          <w:sz w:val="32"/>
          <w:szCs w:val="32"/>
        </w:rPr>
      </w:pPr>
    </w:p>
    <w:p>
      <w:pPr>
        <w:pStyle w:val="10"/>
        <w:adjustRightInd w:val="0"/>
        <w:snapToGrid w:val="0"/>
        <w:spacing w:line="560" w:lineRule="exact"/>
        <w:ind w:firstLine="664" w:firstLineChars="200"/>
        <w:rPr>
          <w:rFonts w:ascii="TimesNewRoman" w:hAnsi="TimesNewRoman" w:eastAsia="仿宋_GB2312" w:cs="TimesNewRoman"/>
          <w:b/>
          <w:sz w:val="32"/>
          <w:szCs w:val="32"/>
        </w:rPr>
      </w:pPr>
    </w:p>
    <w:p>
      <w:pPr>
        <w:pStyle w:val="10"/>
        <w:adjustRightInd w:val="0"/>
        <w:snapToGrid w:val="0"/>
        <w:spacing w:line="560" w:lineRule="exact"/>
        <w:jc w:val="center"/>
        <w:rPr>
          <w:rFonts w:ascii="TimesNewRoman" w:hAnsi="TimesNewRoman" w:eastAsia="黑体" w:cs="TimesNewRoman"/>
          <w:bCs/>
          <w:sz w:val="36"/>
          <w:szCs w:val="36"/>
        </w:rPr>
      </w:pPr>
    </w:p>
    <w:p>
      <w:pPr>
        <w:pStyle w:val="10"/>
        <w:adjustRightInd w:val="0"/>
        <w:snapToGrid w:val="0"/>
        <w:spacing w:line="560" w:lineRule="exact"/>
        <w:jc w:val="center"/>
        <w:rPr>
          <w:rFonts w:ascii="TimesNewRoman" w:hAnsi="TimesNewRoman" w:eastAsia="黑体" w:cs="TimesNewRoman"/>
          <w:bCs/>
          <w:sz w:val="36"/>
          <w:szCs w:val="36"/>
        </w:rPr>
      </w:pPr>
    </w:p>
    <w:p>
      <w:pPr>
        <w:pStyle w:val="10"/>
        <w:adjustRightInd w:val="0"/>
        <w:snapToGrid w:val="0"/>
        <w:spacing w:line="560" w:lineRule="exact"/>
        <w:jc w:val="center"/>
        <w:rPr>
          <w:rFonts w:ascii="TimesNewRoman" w:hAnsi="TimesNewRoman" w:eastAsia="黑体" w:cs="TimesNewRoman"/>
          <w:bCs/>
          <w:sz w:val="36"/>
          <w:szCs w:val="36"/>
        </w:rPr>
      </w:pPr>
    </w:p>
    <w:p>
      <w:pPr>
        <w:pStyle w:val="10"/>
        <w:adjustRightInd w:val="0"/>
        <w:snapToGrid w:val="0"/>
        <w:spacing w:line="560" w:lineRule="exact"/>
        <w:jc w:val="center"/>
        <w:rPr>
          <w:rFonts w:ascii="TimesNewRoman" w:hAnsi="TimesNewRoman" w:eastAsia="黑体" w:cs="TimesNewRoman"/>
          <w:bCs/>
          <w:sz w:val="36"/>
          <w:szCs w:val="36"/>
        </w:rPr>
      </w:pPr>
    </w:p>
    <w:p>
      <w:pPr>
        <w:pStyle w:val="10"/>
        <w:adjustRightInd w:val="0"/>
        <w:snapToGrid w:val="0"/>
        <w:spacing w:line="560" w:lineRule="exact"/>
        <w:jc w:val="center"/>
        <w:rPr>
          <w:rFonts w:ascii="TimesNewRoman" w:hAnsi="TimesNewRoman" w:eastAsia="黑体" w:cs="TimesNewRoman"/>
          <w:bCs/>
          <w:sz w:val="36"/>
          <w:szCs w:val="36"/>
        </w:rPr>
      </w:pPr>
    </w:p>
    <w:p>
      <w:pPr>
        <w:pStyle w:val="10"/>
        <w:adjustRightInd w:val="0"/>
        <w:snapToGrid w:val="0"/>
        <w:spacing w:line="560" w:lineRule="exact"/>
        <w:jc w:val="center"/>
        <w:rPr>
          <w:rFonts w:ascii="TimesNewRoman" w:hAnsi="TimesNewRoman" w:eastAsia="黑体" w:cs="TimesNewRoman"/>
          <w:bCs/>
          <w:sz w:val="36"/>
          <w:szCs w:val="36"/>
        </w:rPr>
      </w:pPr>
    </w:p>
    <w:p>
      <w:pPr>
        <w:pStyle w:val="10"/>
        <w:adjustRightInd w:val="0"/>
        <w:snapToGrid w:val="0"/>
        <w:spacing w:line="560" w:lineRule="exact"/>
        <w:jc w:val="center"/>
        <w:rPr>
          <w:rFonts w:ascii="TimesNewRoman" w:hAnsi="TimesNewRoman" w:eastAsia="黑体" w:cs="TimesNewRoman"/>
          <w:bCs/>
          <w:sz w:val="36"/>
          <w:szCs w:val="36"/>
        </w:rPr>
      </w:pPr>
    </w:p>
    <w:p>
      <w:pPr>
        <w:pStyle w:val="10"/>
        <w:adjustRightInd w:val="0"/>
        <w:snapToGrid w:val="0"/>
        <w:spacing w:line="560" w:lineRule="exact"/>
        <w:jc w:val="center"/>
        <w:rPr>
          <w:rFonts w:ascii="TimesNewRoman" w:hAnsi="TimesNewRoman" w:eastAsia="黑体" w:cs="TimesNewRoman"/>
          <w:bCs/>
          <w:sz w:val="36"/>
          <w:szCs w:val="36"/>
        </w:rPr>
      </w:pPr>
    </w:p>
    <w:p>
      <w:pPr>
        <w:pStyle w:val="10"/>
        <w:adjustRightInd w:val="0"/>
        <w:snapToGrid w:val="0"/>
        <w:spacing w:line="560" w:lineRule="exact"/>
        <w:jc w:val="center"/>
        <w:rPr>
          <w:rFonts w:ascii="TimesNewRoman" w:hAnsi="TimesNewRoman" w:eastAsia="黑体" w:cs="TimesNewRoman"/>
          <w:bCs/>
          <w:sz w:val="36"/>
          <w:szCs w:val="36"/>
        </w:rPr>
      </w:pPr>
      <w:r>
        <w:rPr>
          <w:rFonts w:ascii="TimesNewRoman" w:hAnsi="TimesNewRoman" w:eastAsia="黑体" w:cs="TimesNewRoman"/>
          <w:bCs/>
          <w:sz w:val="36"/>
          <w:szCs w:val="36"/>
        </w:rPr>
        <w:t>第一部分 部门概况</w:t>
      </w:r>
    </w:p>
    <w:p>
      <w:pPr>
        <w:pStyle w:val="10"/>
        <w:adjustRightInd w:val="0"/>
        <w:snapToGrid w:val="0"/>
        <w:spacing w:line="560" w:lineRule="exact"/>
        <w:ind w:firstLine="650" w:firstLineChars="196"/>
        <w:rPr>
          <w:rFonts w:ascii="TimesNewRoman" w:hAnsi="TimesNewRoman" w:eastAsia="黑体" w:cs="TimesNewRoman"/>
          <w:bCs/>
          <w:sz w:val="32"/>
          <w:szCs w:val="32"/>
        </w:rPr>
      </w:pPr>
    </w:p>
    <w:p>
      <w:pPr>
        <w:pStyle w:val="10"/>
        <w:adjustRightInd w:val="0"/>
        <w:snapToGrid w:val="0"/>
        <w:spacing w:line="560" w:lineRule="exact"/>
        <w:ind w:firstLine="650" w:firstLineChars="196"/>
        <w:rPr>
          <w:rFonts w:ascii="TimesNewRoman" w:hAnsi="TimesNewRoman" w:cs="TimesNewRoman"/>
        </w:rPr>
      </w:pPr>
      <w:r>
        <w:rPr>
          <w:rFonts w:ascii="TimesNewRoman" w:hAnsi="TimesNewRoman" w:eastAsia="黑体" w:cs="TimesNewRoman"/>
          <w:bCs/>
          <w:sz w:val="32"/>
          <w:szCs w:val="32"/>
        </w:rPr>
        <w:t>一、主要职责</w:t>
      </w:r>
    </w:p>
    <w:p>
      <w:pPr>
        <w:pStyle w:val="10"/>
        <w:adjustRightInd w:val="0"/>
        <w:snapToGrid w:val="0"/>
        <w:spacing w:line="560" w:lineRule="exact"/>
        <w:ind w:firstLine="813" w:firstLineChars="245"/>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（一）根据国民经济和社会发展规划，拟定全区民政事业发展战略，编制民政事业中、长期发展规划；制定年度工作计划，监督检查有关民政政策法规实施情况。</w:t>
      </w:r>
    </w:p>
    <w:p>
      <w:pPr>
        <w:pStyle w:val="10"/>
        <w:adjustRightInd w:val="0"/>
        <w:snapToGrid w:val="0"/>
        <w:spacing w:line="560" w:lineRule="exact"/>
        <w:ind w:firstLine="813" w:firstLineChars="245"/>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（二）负责全区城乡居民最低生活保障工作，解决低收入家庭的生活困难。</w:t>
      </w:r>
    </w:p>
    <w:p>
      <w:pPr>
        <w:pStyle w:val="10"/>
        <w:adjustRightInd w:val="0"/>
        <w:snapToGrid w:val="0"/>
        <w:spacing w:line="560" w:lineRule="exact"/>
        <w:ind w:firstLine="813" w:firstLineChars="245"/>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w:t>
      </w:r>
      <w:r>
        <w:rPr>
          <w:rFonts w:hint="eastAsia" w:ascii="TimesNewRoman" w:hAnsi="TimesNewRoman" w:eastAsia="仿宋_GB2312" w:cs="TimesNewRoman"/>
          <w:bCs/>
          <w:sz w:val="32"/>
          <w:szCs w:val="32"/>
          <w:lang w:eastAsia="zh-CN"/>
        </w:rPr>
        <w:t>三</w:t>
      </w:r>
      <w:r>
        <w:rPr>
          <w:rFonts w:hint="eastAsia" w:ascii="TimesNewRoman" w:hAnsi="TimesNewRoman" w:eastAsia="仿宋_GB2312" w:cs="TimesNewRoman"/>
          <w:bCs/>
          <w:sz w:val="32"/>
          <w:szCs w:val="32"/>
        </w:rPr>
        <w:t>）负责全区农村五保供养工作，做好五保供养机构建设工作并做好监督与管理。</w:t>
      </w:r>
    </w:p>
    <w:p>
      <w:pPr>
        <w:pStyle w:val="10"/>
        <w:adjustRightInd w:val="0"/>
        <w:snapToGrid w:val="0"/>
        <w:spacing w:line="560" w:lineRule="exact"/>
        <w:ind w:firstLine="813" w:firstLineChars="245"/>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w:t>
      </w:r>
      <w:r>
        <w:rPr>
          <w:rFonts w:hint="eastAsia" w:ascii="TimesNewRoman" w:hAnsi="TimesNewRoman" w:eastAsia="仿宋_GB2312" w:cs="TimesNewRoman"/>
          <w:bCs/>
          <w:sz w:val="32"/>
          <w:szCs w:val="32"/>
          <w:lang w:eastAsia="zh-CN"/>
        </w:rPr>
        <w:t>四</w:t>
      </w:r>
      <w:r>
        <w:rPr>
          <w:rFonts w:hint="eastAsia" w:ascii="TimesNewRoman" w:hAnsi="TimesNewRoman" w:eastAsia="仿宋_GB2312" w:cs="TimesNewRoman"/>
          <w:bCs/>
          <w:sz w:val="32"/>
          <w:szCs w:val="32"/>
        </w:rPr>
        <w:t>）承担全区基层政权建设日常工作。拟定社区建设发展规划，组织协调区直机关和街道、社区开展社区建设工作；指导全区基层政权和基层群众自治组织建设，推动农村开展村民自治活动；负责社区居委会的建设与管理，居委会干部的选举、培训，指导社区共建与管理工作，指导完成社区居委会换届改选工作；协调整合社区服务和社区活动的场地及设施建设工作；指导社区居委会开展社区服务工作，推进社区服务产业化。</w:t>
      </w:r>
    </w:p>
    <w:p>
      <w:pPr>
        <w:pStyle w:val="10"/>
        <w:adjustRightInd w:val="0"/>
        <w:snapToGrid w:val="0"/>
        <w:spacing w:line="560" w:lineRule="exact"/>
        <w:ind w:firstLine="813" w:firstLineChars="245"/>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w:t>
      </w:r>
      <w:r>
        <w:rPr>
          <w:rFonts w:hint="eastAsia" w:ascii="TimesNewRoman" w:hAnsi="TimesNewRoman" w:eastAsia="仿宋_GB2312" w:cs="TimesNewRoman"/>
          <w:bCs/>
          <w:sz w:val="32"/>
          <w:szCs w:val="32"/>
          <w:lang w:eastAsia="zh-CN"/>
        </w:rPr>
        <w:t>五</w:t>
      </w:r>
      <w:r>
        <w:rPr>
          <w:rFonts w:hint="eastAsia" w:ascii="TimesNewRoman" w:hAnsi="TimesNewRoman" w:eastAsia="仿宋_GB2312" w:cs="TimesNewRoman"/>
          <w:bCs/>
          <w:sz w:val="32"/>
          <w:szCs w:val="32"/>
        </w:rPr>
        <w:t>）负责全区镇（街道）、村（社区）的设立、撤销、调整和行政区域界线变更的审核报批；研究和修订行政区域规划；组织行政区域界线的勘定。</w:t>
      </w:r>
    </w:p>
    <w:p>
      <w:pPr>
        <w:pStyle w:val="10"/>
        <w:adjustRightInd w:val="0"/>
        <w:snapToGrid w:val="0"/>
        <w:spacing w:line="560" w:lineRule="exact"/>
        <w:ind w:firstLine="813" w:firstLineChars="245"/>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w:t>
      </w:r>
      <w:r>
        <w:rPr>
          <w:rFonts w:hint="eastAsia" w:ascii="TimesNewRoman" w:hAnsi="TimesNewRoman" w:eastAsia="仿宋_GB2312" w:cs="TimesNewRoman"/>
          <w:bCs/>
          <w:sz w:val="32"/>
          <w:szCs w:val="32"/>
          <w:lang w:eastAsia="zh-CN"/>
        </w:rPr>
        <w:t>六</w:t>
      </w:r>
      <w:r>
        <w:rPr>
          <w:rFonts w:hint="eastAsia" w:ascii="TimesNewRoman" w:hAnsi="TimesNewRoman" w:eastAsia="仿宋_GB2312" w:cs="TimesNewRoman"/>
          <w:bCs/>
          <w:sz w:val="32"/>
          <w:szCs w:val="32"/>
        </w:rPr>
        <w:t>）负责全区的生活无着人员社会救助工作，负责全区孤儿生活救助及资金发放工作。</w:t>
      </w:r>
    </w:p>
    <w:p>
      <w:pPr>
        <w:pStyle w:val="10"/>
        <w:adjustRightInd w:val="0"/>
        <w:snapToGrid w:val="0"/>
        <w:spacing w:line="560" w:lineRule="exact"/>
        <w:ind w:firstLine="813" w:firstLineChars="245"/>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w:t>
      </w:r>
      <w:r>
        <w:rPr>
          <w:rFonts w:hint="eastAsia" w:ascii="TimesNewRoman" w:hAnsi="TimesNewRoman" w:eastAsia="仿宋_GB2312" w:cs="TimesNewRoman"/>
          <w:bCs/>
          <w:sz w:val="32"/>
          <w:szCs w:val="32"/>
          <w:lang w:eastAsia="zh-CN"/>
        </w:rPr>
        <w:t>七</w:t>
      </w:r>
      <w:r>
        <w:rPr>
          <w:rFonts w:hint="eastAsia" w:ascii="TimesNewRoman" w:hAnsi="TimesNewRoman" w:eastAsia="仿宋_GB2312" w:cs="TimesNewRoman"/>
          <w:bCs/>
          <w:sz w:val="32"/>
          <w:szCs w:val="32"/>
        </w:rPr>
        <w:t>）负责全区的慈善宣传和慈善捐赠的接收、统计、上报工作。</w:t>
      </w:r>
    </w:p>
    <w:p>
      <w:pPr>
        <w:pStyle w:val="10"/>
        <w:adjustRightInd w:val="0"/>
        <w:snapToGrid w:val="0"/>
        <w:spacing w:line="560" w:lineRule="exact"/>
        <w:ind w:firstLine="813" w:firstLineChars="245"/>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w:t>
      </w:r>
      <w:r>
        <w:rPr>
          <w:rFonts w:hint="eastAsia" w:ascii="TimesNewRoman" w:hAnsi="TimesNewRoman" w:eastAsia="仿宋_GB2312" w:cs="TimesNewRoman"/>
          <w:bCs/>
          <w:sz w:val="32"/>
          <w:szCs w:val="32"/>
          <w:lang w:eastAsia="zh-CN"/>
        </w:rPr>
        <w:t>八</w:t>
      </w:r>
      <w:r>
        <w:rPr>
          <w:rFonts w:hint="eastAsia" w:ascii="TimesNewRoman" w:hAnsi="TimesNewRoman" w:eastAsia="仿宋_GB2312" w:cs="TimesNewRoman"/>
          <w:bCs/>
          <w:sz w:val="32"/>
          <w:szCs w:val="32"/>
        </w:rPr>
        <w:t>）负责全区临时救助工作，解决暂时性家庭困难。</w:t>
      </w:r>
    </w:p>
    <w:p>
      <w:pPr>
        <w:pStyle w:val="10"/>
        <w:adjustRightInd w:val="0"/>
        <w:snapToGrid w:val="0"/>
        <w:spacing w:line="560" w:lineRule="exact"/>
        <w:ind w:firstLine="813" w:firstLineChars="245"/>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w:t>
      </w:r>
      <w:r>
        <w:rPr>
          <w:rFonts w:hint="eastAsia" w:ascii="TimesNewRoman" w:hAnsi="TimesNewRoman" w:eastAsia="仿宋_GB2312" w:cs="TimesNewRoman"/>
          <w:bCs/>
          <w:sz w:val="32"/>
          <w:szCs w:val="32"/>
          <w:lang w:eastAsia="zh-CN"/>
        </w:rPr>
        <w:t>九</w:t>
      </w:r>
      <w:r>
        <w:rPr>
          <w:rFonts w:hint="eastAsia" w:ascii="TimesNewRoman" w:hAnsi="TimesNewRoman" w:eastAsia="仿宋_GB2312" w:cs="TimesNewRoman"/>
          <w:bCs/>
          <w:sz w:val="32"/>
          <w:szCs w:val="32"/>
        </w:rPr>
        <w:t>）负责全区社会团体和民办非企业单位的登记管理和年度检查；指导和监督全区社团和民办非企业单位依法开展活动。</w:t>
      </w:r>
    </w:p>
    <w:p>
      <w:pPr>
        <w:pStyle w:val="10"/>
        <w:adjustRightInd w:val="0"/>
        <w:snapToGrid w:val="0"/>
        <w:spacing w:line="560" w:lineRule="exact"/>
        <w:ind w:firstLine="813" w:firstLineChars="245"/>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十)负责全区婚姻登记和管理工作，依法实施婚姻登记管理。负责办理结婚登记、离婚登记；补发结、离婚登记；出具婚姻登记记录证明；处理违法婚姻行为；负责婚姻登记材料收集、整理、归档、管理，确保其完整，维护婚姻当事人的合法权益；配合卫生、计生部门做好婚前体检、优生优育等宣传教育活动。</w:t>
      </w:r>
    </w:p>
    <w:p>
      <w:pPr>
        <w:pStyle w:val="10"/>
        <w:adjustRightInd w:val="0"/>
        <w:snapToGrid w:val="0"/>
        <w:spacing w:line="560" w:lineRule="exact"/>
        <w:ind w:firstLine="813" w:firstLineChars="245"/>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(十</w:t>
      </w:r>
      <w:r>
        <w:rPr>
          <w:rFonts w:hint="eastAsia" w:ascii="TimesNewRoman" w:hAnsi="TimesNewRoman" w:eastAsia="仿宋_GB2312" w:cs="TimesNewRoman"/>
          <w:bCs/>
          <w:sz w:val="32"/>
          <w:szCs w:val="32"/>
          <w:lang w:eastAsia="zh-CN"/>
        </w:rPr>
        <w:t>一</w:t>
      </w:r>
      <w:r>
        <w:rPr>
          <w:rFonts w:hint="eastAsia" w:ascii="TimesNewRoman" w:hAnsi="TimesNewRoman" w:eastAsia="仿宋_GB2312" w:cs="TimesNewRoman"/>
          <w:bCs/>
          <w:sz w:val="32"/>
          <w:szCs w:val="32"/>
        </w:rPr>
        <w:t>)负责全区艾滋病人生活救助金的审批发放工作。</w:t>
      </w:r>
    </w:p>
    <w:p>
      <w:pPr>
        <w:pStyle w:val="10"/>
        <w:adjustRightInd w:val="0"/>
        <w:snapToGrid w:val="0"/>
        <w:spacing w:line="560" w:lineRule="exact"/>
        <w:ind w:firstLine="813" w:firstLineChars="245"/>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(十</w:t>
      </w:r>
      <w:r>
        <w:rPr>
          <w:rFonts w:hint="eastAsia" w:ascii="TimesNewRoman" w:hAnsi="TimesNewRoman" w:eastAsia="仿宋_GB2312" w:cs="TimesNewRoman"/>
          <w:bCs/>
          <w:sz w:val="32"/>
          <w:szCs w:val="32"/>
          <w:lang w:eastAsia="zh-CN"/>
        </w:rPr>
        <w:t>二</w:t>
      </w:r>
      <w:r>
        <w:rPr>
          <w:rFonts w:hint="eastAsia" w:ascii="TimesNewRoman" w:hAnsi="TimesNewRoman" w:eastAsia="仿宋_GB2312" w:cs="TimesNewRoman"/>
          <w:bCs/>
          <w:sz w:val="32"/>
          <w:szCs w:val="32"/>
        </w:rPr>
        <w:t>)研究拟定全区社区服务业发展规划，建立完善社区服务管理体系及基础设施。</w:t>
      </w:r>
    </w:p>
    <w:p>
      <w:pPr>
        <w:pStyle w:val="10"/>
        <w:adjustRightInd w:val="0"/>
        <w:snapToGrid w:val="0"/>
        <w:spacing w:line="560" w:lineRule="exact"/>
        <w:ind w:firstLine="813" w:firstLineChars="245"/>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(十</w:t>
      </w:r>
      <w:r>
        <w:rPr>
          <w:rFonts w:hint="eastAsia" w:ascii="TimesNewRoman" w:hAnsi="TimesNewRoman" w:eastAsia="仿宋_GB2312" w:cs="TimesNewRoman"/>
          <w:bCs/>
          <w:sz w:val="32"/>
          <w:szCs w:val="32"/>
          <w:lang w:eastAsia="zh-CN"/>
        </w:rPr>
        <w:t>三</w:t>
      </w:r>
      <w:r>
        <w:rPr>
          <w:rFonts w:hint="eastAsia" w:ascii="TimesNewRoman" w:hAnsi="TimesNewRoman" w:eastAsia="仿宋_GB2312" w:cs="TimesNewRoman"/>
          <w:bCs/>
          <w:sz w:val="32"/>
          <w:szCs w:val="32"/>
        </w:rPr>
        <w:t>)负责全区殡葬管理和全区殡葬企事业单位的监督指导工作。</w:t>
      </w:r>
    </w:p>
    <w:p>
      <w:pPr>
        <w:pStyle w:val="10"/>
        <w:adjustRightInd w:val="0"/>
        <w:snapToGrid w:val="0"/>
        <w:spacing w:line="560" w:lineRule="exact"/>
        <w:ind w:firstLine="813" w:firstLineChars="245"/>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(十</w:t>
      </w:r>
      <w:r>
        <w:rPr>
          <w:rFonts w:hint="eastAsia" w:ascii="TimesNewRoman" w:hAnsi="TimesNewRoman" w:eastAsia="仿宋_GB2312" w:cs="TimesNewRoman"/>
          <w:bCs/>
          <w:sz w:val="32"/>
          <w:szCs w:val="32"/>
          <w:lang w:eastAsia="zh-CN"/>
        </w:rPr>
        <w:t>四</w:t>
      </w:r>
      <w:r>
        <w:rPr>
          <w:rFonts w:hint="eastAsia" w:ascii="TimesNewRoman" w:hAnsi="TimesNewRoman" w:eastAsia="仿宋_GB2312" w:cs="TimesNewRoman"/>
          <w:bCs/>
          <w:sz w:val="32"/>
          <w:szCs w:val="32"/>
        </w:rPr>
        <w:t>)负责全区民政事业计划财务工作，指导监督民政事业经费的使用和管理，负责编制民政事业经费预算和各类民政统计报表上报工作。</w:t>
      </w:r>
    </w:p>
    <w:p>
      <w:pPr>
        <w:pStyle w:val="10"/>
        <w:adjustRightInd w:val="0"/>
        <w:snapToGrid w:val="0"/>
        <w:spacing w:line="560" w:lineRule="exact"/>
        <w:ind w:firstLine="813" w:firstLineChars="245"/>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(十</w:t>
      </w:r>
      <w:r>
        <w:rPr>
          <w:rFonts w:hint="eastAsia" w:ascii="TimesNewRoman" w:hAnsi="TimesNewRoman" w:eastAsia="仿宋_GB2312" w:cs="TimesNewRoman"/>
          <w:bCs/>
          <w:sz w:val="32"/>
          <w:szCs w:val="32"/>
          <w:lang w:eastAsia="zh-CN"/>
        </w:rPr>
        <w:t>五</w:t>
      </w:r>
      <w:r>
        <w:rPr>
          <w:rFonts w:hint="eastAsia" w:ascii="TimesNewRoman" w:hAnsi="TimesNewRoman" w:eastAsia="仿宋_GB2312" w:cs="TimesNewRoman"/>
          <w:bCs/>
          <w:sz w:val="32"/>
          <w:szCs w:val="32"/>
        </w:rPr>
        <w:t>)认真做好民政信访工作</w:t>
      </w:r>
    </w:p>
    <w:p>
      <w:pPr>
        <w:pStyle w:val="10"/>
        <w:widowControl/>
        <w:numPr>
          <w:ilvl w:val="0"/>
          <w:numId w:val="1"/>
        </w:numPr>
        <w:adjustRightInd w:val="0"/>
        <w:snapToGrid w:val="0"/>
        <w:spacing w:line="560" w:lineRule="exact"/>
        <w:ind w:firstLine="650" w:firstLineChars="196"/>
        <w:rPr>
          <w:rFonts w:ascii="TimesNewRoman" w:hAnsi="TimesNewRoman" w:eastAsia="黑体" w:cs="TimesNewRoman"/>
          <w:bCs/>
          <w:sz w:val="32"/>
          <w:szCs w:val="32"/>
        </w:rPr>
      </w:pPr>
      <w:r>
        <w:rPr>
          <w:rFonts w:ascii="TimesNewRoman" w:hAnsi="TimesNewRoman" w:eastAsia="黑体" w:cs="TimesNewRoman"/>
          <w:bCs/>
          <w:sz w:val="32"/>
          <w:szCs w:val="32"/>
        </w:rPr>
        <w:t>部门预算构成</w:t>
      </w:r>
    </w:p>
    <w:p>
      <w:pPr>
        <w:pStyle w:val="10"/>
        <w:adjustRightInd w:val="0"/>
        <w:snapToGrid w:val="0"/>
        <w:spacing w:line="560" w:lineRule="exact"/>
        <w:ind w:firstLine="498" w:firstLineChars="150"/>
        <w:outlineLvl w:val="0"/>
        <w:rPr>
          <w:rFonts w:ascii="TimesNewRoman" w:hAnsi="TimesNewRoman" w:eastAsia="仿宋_GB2312" w:cs="TimesNewRoman"/>
          <w:sz w:val="32"/>
          <w:szCs w:val="32"/>
        </w:rPr>
      </w:pPr>
      <w:r>
        <w:rPr>
          <w:rFonts w:ascii="TimesNewRoman" w:hAnsi="TimesNewRoman" w:eastAsia="仿宋_GB2312" w:cs="TimesNewRoman"/>
          <w:sz w:val="32"/>
          <w:szCs w:val="32"/>
        </w:rPr>
        <w:t>从预算单位构成看，</w:t>
      </w:r>
      <w:r>
        <w:rPr>
          <w:rFonts w:ascii="TimesNewRoman" w:hAnsi="TimesNewRoman" w:eastAsia="仿宋_GB2312" w:cs="TimesNewRoman"/>
          <w:bCs/>
          <w:sz w:val="32"/>
          <w:szCs w:val="32"/>
        </w:rPr>
        <w:t>相山区</w:t>
      </w:r>
      <w:r>
        <w:rPr>
          <w:rFonts w:hint="eastAsia" w:ascii="TimesNewRoman" w:hAnsi="TimesNewRoman" w:eastAsia="仿宋_GB2312" w:cs="TimesNewRoman"/>
          <w:bCs/>
          <w:sz w:val="32"/>
          <w:szCs w:val="32"/>
          <w:lang w:eastAsia="zh-CN"/>
        </w:rPr>
        <w:t>民政局</w:t>
      </w:r>
      <w:r>
        <w:rPr>
          <w:rFonts w:ascii="TimesNewRoman" w:hAnsi="TimesNewRoman" w:eastAsia="仿宋_GB2312" w:cs="TimesNewRoman"/>
          <w:sz w:val="32"/>
          <w:szCs w:val="32"/>
          <w:lang w:val="en"/>
        </w:rPr>
        <w:t>2024</w:t>
      </w:r>
      <w:r>
        <w:rPr>
          <w:rFonts w:ascii="TimesNewRoman" w:hAnsi="TimesNewRoman" w:eastAsia="仿宋_GB2312" w:cs="TimesNewRoman"/>
          <w:sz w:val="32"/>
          <w:szCs w:val="32"/>
        </w:rPr>
        <w:t>年度部门预算仅包括</w:t>
      </w:r>
      <w:r>
        <w:rPr>
          <w:rFonts w:hint="eastAsia" w:ascii="TimesNewRoman" w:hAnsi="TimesNewRoman" w:eastAsia="仿宋_GB2312" w:cs="TimesNewRoman"/>
          <w:sz w:val="32"/>
          <w:szCs w:val="32"/>
          <w:lang w:eastAsia="zh-CN"/>
        </w:rPr>
        <w:t>局</w:t>
      </w:r>
      <w:r>
        <w:rPr>
          <w:rFonts w:ascii="TimesNewRoman" w:hAnsi="TimesNewRoman" w:eastAsia="仿宋_GB2312" w:cs="TimesNewRoman"/>
          <w:sz w:val="32"/>
          <w:szCs w:val="32"/>
        </w:rPr>
        <w:t>本级预算，无其他下属单位预算。</w:t>
      </w:r>
    </w:p>
    <w:p>
      <w:pPr>
        <w:pStyle w:val="10"/>
        <w:adjustRightInd w:val="0"/>
        <w:snapToGrid w:val="0"/>
        <w:spacing w:line="560" w:lineRule="exact"/>
        <w:ind w:firstLine="498" w:firstLineChars="150"/>
        <w:outlineLvl w:val="0"/>
        <w:rPr>
          <w:rFonts w:ascii="TimesNewRoman" w:hAnsi="TimesNewRoman" w:eastAsia="黑体" w:cs="TimesNewRoman"/>
          <w:bCs/>
          <w:sz w:val="32"/>
          <w:szCs w:val="32"/>
        </w:rPr>
      </w:pPr>
      <w:r>
        <w:rPr>
          <w:rFonts w:ascii="TimesNewRoman" w:hAnsi="TimesNewRoman" w:eastAsia="黑体" w:cs="TimesNewRoman"/>
          <w:bCs/>
          <w:sz w:val="32"/>
          <w:szCs w:val="32"/>
        </w:rPr>
        <w:t>三、</w:t>
      </w:r>
      <w:r>
        <w:rPr>
          <w:rFonts w:ascii="TimesNewRoman" w:hAnsi="TimesNewRoman" w:eastAsia="黑体" w:cs="TimesNewRoman"/>
          <w:bCs/>
          <w:sz w:val="32"/>
          <w:szCs w:val="32"/>
          <w:lang w:val="en"/>
        </w:rPr>
        <w:t>2024</w:t>
      </w:r>
      <w:r>
        <w:rPr>
          <w:rFonts w:ascii="TimesNewRoman" w:hAnsi="TimesNewRoman" w:eastAsia="黑体" w:cs="TimesNewRoman"/>
          <w:bCs/>
          <w:sz w:val="32"/>
          <w:szCs w:val="32"/>
        </w:rPr>
        <w:t>年度主要工作任务</w:t>
      </w:r>
    </w:p>
    <w:p>
      <w:pPr>
        <w:pStyle w:val="10"/>
        <w:adjustRightInd w:val="0"/>
        <w:snapToGrid w:val="0"/>
        <w:spacing w:before="0" w:beforeAutospacing="0" w:after="0" w:afterAutospacing="0" w:line="600" w:lineRule="exact"/>
        <w:ind w:firstLine="498" w:firstLineChars="150"/>
        <w:outlineLvl w:val="0"/>
        <w:rPr>
          <w:rFonts w:hint="eastAsia" w:ascii="仿宋_GB2312" w:hAnsi="仿宋" w:eastAsia="仿宋_GB2312" w:cs="仿宋"/>
          <w:bCs/>
          <w:sz w:val="32"/>
          <w:szCs w:val="32"/>
          <w:lang w:val="en-US" w:eastAsia="zh-CN"/>
        </w:rPr>
      </w:pPr>
      <w:r>
        <w:rPr>
          <w:rFonts w:hint="eastAsia" w:ascii="仿宋_GB2312" w:hAnsi="仿宋" w:eastAsia="仿宋_GB2312" w:cs="仿宋"/>
          <w:bCs/>
          <w:sz w:val="32"/>
          <w:szCs w:val="32"/>
          <w:lang w:val="en-US" w:eastAsia="zh-CN"/>
        </w:rPr>
        <w:t xml:space="preserve">  （一）全面落实社会救助政策。全面落实最低生活保障等基本生活救助政策，严格落实特困供养人员照料服务制度，充分发挥好临时救助应急性、过渡性作用，严格规范救助程序，实现救助工作公平公正公开，切实做到“应保尽保、应退尽退”。</w:t>
      </w:r>
    </w:p>
    <w:p>
      <w:pPr>
        <w:pStyle w:val="10"/>
        <w:adjustRightInd w:val="0"/>
        <w:snapToGrid w:val="0"/>
        <w:spacing w:before="0" w:beforeAutospacing="0" w:after="0" w:afterAutospacing="0" w:line="600" w:lineRule="exact"/>
        <w:ind w:firstLine="498" w:firstLineChars="150"/>
        <w:outlineLvl w:val="0"/>
        <w:rPr>
          <w:rFonts w:hint="eastAsia" w:ascii="仿宋_GB2312" w:hAnsi="仿宋" w:eastAsia="仿宋_GB2312" w:cs="仿宋"/>
          <w:bCs/>
          <w:sz w:val="32"/>
          <w:szCs w:val="32"/>
          <w:lang w:val="en-US" w:eastAsia="zh-CN"/>
        </w:rPr>
      </w:pPr>
      <w:r>
        <w:rPr>
          <w:rFonts w:hint="eastAsia" w:ascii="仿宋_GB2312" w:hAnsi="仿宋" w:eastAsia="仿宋_GB2312" w:cs="仿宋"/>
          <w:bCs/>
          <w:sz w:val="32"/>
          <w:szCs w:val="32"/>
          <w:lang w:val="en-US" w:eastAsia="zh-CN"/>
        </w:rPr>
        <w:t>（二）着力提高养老服务质量。督促指导镇街、开发区继续扎实推进助餐机构建设目标落实，确保区级老年助餐机构建设目标任务完成的基础上谋划2024年老年助餐点建设，引导更多优质的连锁餐饮点加入到老年助餐行动。</w:t>
      </w:r>
    </w:p>
    <w:p>
      <w:pPr>
        <w:pStyle w:val="10"/>
        <w:adjustRightInd w:val="0"/>
        <w:snapToGrid w:val="0"/>
        <w:spacing w:before="0" w:beforeAutospacing="0" w:after="0" w:afterAutospacing="0" w:line="600" w:lineRule="exact"/>
        <w:ind w:firstLine="498" w:firstLineChars="150"/>
        <w:outlineLvl w:val="0"/>
        <w:rPr>
          <w:rFonts w:hint="eastAsia" w:ascii="仿宋_GB2312" w:hAnsi="仿宋" w:eastAsia="仿宋_GB2312" w:cs="仿宋"/>
          <w:bCs/>
          <w:sz w:val="32"/>
          <w:szCs w:val="32"/>
          <w:lang w:val="en-US" w:eastAsia="zh-CN"/>
        </w:rPr>
      </w:pPr>
      <w:r>
        <w:rPr>
          <w:rFonts w:hint="eastAsia" w:ascii="仿宋_GB2312" w:hAnsi="仿宋" w:eastAsia="仿宋_GB2312" w:cs="仿宋"/>
          <w:bCs/>
          <w:sz w:val="32"/>
          <w:szCs w:val="32"/>
          <w:lang w:val="en-US" w:eastAsia="zh-CN"/>
        </w:rPr>
        <w:t>（三）强化社会事务管理水平。扎实开展未保工作，力争2024年实现各镇街、开发区未保站建设全覆盖扎实开展未成年人心理健康教育关爱关怀活动。加大对孤儿及留守儿童的询访和关爱保护力度，督促儿童主任及儿童督导员做好家庭走访询访工作。加强对街面流浪乞讨人员的生活救助，做到应救尽救。继续落实精神康复服务购买工作，围绕符合条件的精神障碍患者的实际需求开展各项服务项目。</w:t>
      </w:r>
    </w:p>
    <w:p>
      <w:pPr>
        <w:pStyle w:val="10"/>
        <w:adjustRightInd w:val="0"/>
        <w:snapToGrid w:val="0"/>
        <w:spacing w:before="0" w:beforeAutospacing="0" w:after="0" w:afterAutospacing="0" w:line="600" w:lineRule="exact"/>
        <w:ind w:firstLine="498" w:firstLineChars="150"/>
        <w:outlineLvl w:val="0"/>
        <w:rPr>
          <w:rFonts w:hint="eastAsia" w:ascii="仿宋_GB2312" w:hAnsi="仿宋" w:eastAsia="仿宋_GB2312" w:cs="仿宋"/>
          <w:bCs/>
          <w:sz w:val="32"/>
          <w:szCs w:val="32"/>
          <w:lang w:val="en-US" w:eastAsia="zh-CN"/>
        </w:rPr>
      </w:pPr>
      <w:r>
        <w:rPr>
          <w:rFonts w:hint="eastAsia" w:ascii="仿宋_GB2312" w:hAnsi="仿宋" w:eastAsia="仿宋_GB2312" w:cs="仿宋"/>
          <w:bCs/>
          <w:sz w:val="32"/>
          <w:szCs w:val="32"/>
          <w:lang w:val="en-US" w:eastAsia="zh-CN"/>
        </w:rPr>
        <w:t>（四）激发社会组织发展活力。认真开展“双随机”抽查和非营利监管专项行动工作，通过购买服务委托第三方审计事务所对抽查的社会组织进行审计，对发现的问题及时督促整改到位。</w:t>
      </w:r>
    </w:p>
    <w:p>
      <w:pPr>
        <w:pStyle w:val="10"/>
        <w:adjustRightInd w:val="0"/>
        <w:snapToGrid w:val="0"/>
        <w:spacing w:before="0" w:beforeAutospacing="0" w:after="0" w:afterAutospacing="0" w:line="600" w:lineRule="exact"/>
        <w:ind w:firstLine="498" w:firstLineChars="150"/>
        <w:outlineLvl w:val="0"/>
        <w:rPr>
          <w:rFonts w:hint="eastAsia" w:ascii="仿宋_GB2312" w:hAnsi="仿宋" w:eastAsia="仿宋_GB2312" w:cs="仿宋"/>
          <w:bCs/>
          <w:sz w:val="32"/>
          <w:szCs w:val="32"/>
          <w:lang w:eastAsia="zh-CN"/>
        </w:rPr>
      </w:pPr>
      <w:r>
        <w:rPr>
          <w:rFonts w:hint="eastAsia" w:ascii="仿宋_GB2312" w:hAnsi="仿宋" w:eastAsia="仿宋_GB2312" w:cs="仿宋"/>
          <w:bCs/>
          <w:sz w:val="32"/>
          <w:szCs w:val="32"/>
          <w:lang w:val="en-US" w:eastAsia="zh-CN"/>
        </w:rPr>
        <w:t>（五）创新推进基层社会治理。开展社区配套用房清理验收，对本辖区新建住宅小区应移交但未移交或已移交却不符合规定要求的配套社区用房进行清查，及时验收新建小区的社区配套用房的移交工作。（六）做好慈善事业和社会工作。充分发挥社工慈善作用，开展社会工作能力培训，培养社会工作优秀人才，提高社会工作者职业水平考试动员力度，加大购买社会工作服务力度，实现社工人才增量扩容。</w:t>
      </w:r>
    </w:p>
    <w:p>
      <w:pPr>
        <w:pStyle w:val="10"/>
        <w:adjustRightInd w:val="0"/>
        <w:snapToGrid w:val="0"/>
        <w:spacing w:line="560" w:lineRule="exact"/>
        <w:ind w:firstLine="498" w:firstLineChars="150"/>
        <w:outlineLvl w:val="0"/>
        <w:rPr>
          <w:rFonts w:ascii="TimesNewRoman" w:hAnsi="TimesNewRoman" w:eastAsia="仿宋_GB2312" w:cs="TimesNewRoman"/>
          <w:bCs/>
          <w:sz w:val="32"/>
          <w:szCs w:val="32"/>
        </w:rPr>
      </w:pPr>
    </w:p>
    <w:p>
      <w:pPr>
        <w:pStyle w:val="10"/>
        <w:adjustRightInd w:val="0"/>
        <w:snapToGrid w:val="0"/>
        <w:spacing w:line="560" w:lineRule="exact"/>
        <w:rPr>
          <w:rFonts w:ascii="TimesNewRoman" w:hAnsi="TimesNewRoman" w:eastAsia="黑体" w:cs="TimesNewRoman"/>
          <w:bCs/>
          <w:sz w:val="36"/>
          <w:szCs w:val="36"/>
        </w:rPr>
      </w:pPr>
    </w:p>
    <w:p>
      <w:pPr>
        <w:pStyle w:val="10"/>
        <w:adjustRightInd w:val="0"/>
        <w:snapToGrid w:val="0"/>
        <w:spacing w:line="560" w:lineRule="exact"/>
        <w:ind w:firstLine="744" w:firstLineChars="200"/>
        <w:jc w:val="center"/>
        <w:rPr>
          <w:rFonts w:ascii="TimesNewRoman" w:hAnsi="TimesNewRoman" w:eastAsia="黑体" w:cs="TimesNewRoman"/>
          <w:bCs/>
          <w:sz w:val="36"/>
          <w:szCs w:val="36"/>
        </w:rPr>
      </w:pPr>
    </w:p>
    <w:p>
      <w:pPr>
        <w:pStyle w:val="10"/>
        <w:adjustRightInd w:val="0"/>
        <w:snapToGrid w:val="0"/>
        <w:spacing w:line="560" w:lineRule="exact"/>
        <w:ind w:firstLine="744" w:firstLineChars="200"/>
        <w:jc w:val="center"/>
        <w:rPr>
          <w:rFonts w:ascii="TimesNewRoman" w:hAnsi="TimesNewRoman" w:eastAsia="黑体" w:cs="TimesNewRoman"/>
          <w:bCs/>
          <w:sz w:val="36"/>
          <w:szCs w:val="36"/>
        </w:rPr>
      </w:pPr>
    </w:p>
    <w:p>
      <w:pPr>
        <w:pStyle w:val="10"/>
        <w:adjustRightInd w:val="0"/>
        <w:snapToGrid w:val="0"/>
        <w:spacing w:line="560" w:lineRule="exact"/>
        <w:ind w:firstLine="744" w:firstLineChars="200"/>
        <w:jc w:val="center"/>
        <w:rPr>
          <w:rFonts w:ascii="TimesNewRoman" w:hAnsi="TimesNewRoman" w:eastAsia="黑体" w:cs="TimesNewRoman"/>
          <w:bCs/>
          <w:sz w:val="36"/>
          <w:szCs w:val="36"/>
        </w:rPr>
      </w:pPr>
    </w:p>
    <w:p>
      <w:pPr>
        <w:pStyle w:val="10"/>
        <w:adjustRightInd w:val="0"/>
        <w:snapToGrid w:val="0"/>
        <w:spacing w:line="560" w:lineRule="exact"/>
        <w:ind w:firstLine="744" w:firstLineChars="200"/>
        <w:jc w:val="center"/>
        <w:rPr>
          <w:rFonts w:ascii="TimesNewRoman" w:hAnsi="TimesNewRoman" w:eastAsia="黑体" w:cs="TimesNewRoman"/>
          <w:bCs/>
          <w:sz w:val="36"/>
          <w:szCs w:val="36"/>
        </w:rPr>
      </w:pPr>
    </w:p>
    <w:p>
      <w:pPr>
        <w:pStyle w:val="10"/>
        <w:adjustRightInd w:val="0"/>
        <w:snapToGrid w:val="0"/>
        <w:spacing w:line="560" w:lineRule="exact"/>
        <w:ind w:firstLine="744" w:firstLineChars="200"/>
        <w:jc w:val="center"/>
        <w:rPr>
          <w:rFonts w:ascii="TimesNewRoman" w:hAnsi="TimesNewRoman" w:eastAsia="黑体" w:cs="TimesNewRoman"/>
          <w:bCs/>
          <w:sz w:val="36"/>
          <w:szCs w:val="36"/>
        </w:rPr>
      </w:pPr>
    </w:p>
    <w:p>
      <w:pPr>
        <w:pStyle w:val="10"/>
        <w:adjustRightInd w:val="0"/>
        <w:snapToGrid w:val="0"/>
        <w:spacing w:line="560" w:lineRule="exact"/>
        <w:ind w:firstLine="744" w:firstLineChars="200"/>
        <w:jc w:val="center"/>
        <w:rPr>
          <w:rFonts w:ascii="TimesNewRoman" w:hAnsi="TimesNewRoman" w:eastAsia="黑体" w:cs="TimesNewRoman"/>
          <w:bCs/>
          <w:sz w:val="36"/>
          <w:szCs w:val="36"/>
        </w:rPr>
      </w:pPr>
    </w:p>
    <w:p>
      <w:pPr>
        <w:pStyle w:val="10"/>
        <w:adjustRightInd w:val="0"/>
        <w:snapToGrid w:val="0"/>
        <w:spacing w:line="560" w:lineRule="exact"/>
        <w:ind w:firstLine="744" w:firstLineChars="200"/>
        <w:jc w:val="center"/>
        <w:rPr>
          <w:rFonts w:ascii="TimesNewRoman" w:hAnsi="TimesNewRoman" w:eastAsia="黑体" w:cs="TimesNewRoman"/>
          <w:bCs/>
          <w:sz w:val="36"/>
          <w:szCs w:val="36"/>
        </w:rPr>
      </w:pPr>
    </w:p>
    <w:p>
      <w:pPr>
        <w:pStyle w:val="10"/>
        <w:adjustRightInd w:val="0"/>
        <w:snapToGrid w:val="0"/>
        <w:spacing w:line="560" w:lineRule="exact"/>
        <w:ind w:firstLine="744" w:firstLineChars="200"/>
        <w:jc w:val="center"/>
        <w:rPr>
          <w:rFonts w:ascii="TimesNewRoman" w:hAnsi="TimesNewRoman" w:eastAsia="黑体" w:cs="TimesNewRoman"/>
          <w:bCs/>
          <w:sz w:val="36"/>
          <w:szCs w:val="36"/>
        </w:rPr>
      </w:pPr>
    </w:p>
    <w:p>
      <w:pPr>
        <w:pStyle w:val="10"/>
        <w:adjustRightInd w:val="0"/>
        <w:snapToGrid w:val="0"/>
        <w:spacing w:line="560" w:lineRule="exact"/>
        <w:ind w:firstLine="744" w:firstLineChars="200"/>
        <w:jc w:val="center"/>
        <w:rPr>
          <w:rFonts w:ascii="TimesNewRoman" w:hAnsi="TimesNewRoman" w:eastAsia="黑体" w:cs="TimesNewRoman"/>
          <w:bCs/>
          <w:sz w:val="36"/>
          <w:szCs w:val="36"/>
        </w:rPr>
      </w:pPr>
    </w:p>
    <w:p>
      <w:pPr>
        <w:pStyle w:val="10"/>
        <w:adjustRightInd w:val="0"/>
        <w:snapToGrid w:val="0"/>
        <w:spacing w:line="560" w:lineRule="exact"/>
        <w:ind w:firstLine="744" w:firstLineChars="200"/>
        <w:jc w:val="center"/>
        <w:rPr>
          <w:rFonts w:ascii="TimesNewRoman" w:hAnsi="TimesNewRoman" w:eastAsia="黑体" w:cs="TimesNewRoman"/>
          <w:bCs/>
          <w:sz w:val="36"/>
          <w:szCs w:val="36"/>
        </w:rPr>
      </w:pPr>
    </w:p>
    <w:p>
      <w:pPr>
        <w:pStyle w:val="10"/>
        <w:adjustRightInd w:val="0"/>
        <w:snapToGrid w:val="0"/>
        <w:spacing w:line="560" w:lineRule="exact"/>
        <w:ind w:firstLine="744" w:firstLineChars="200"/>
        <w:jc w:val="center"/>
        <w:rPr>
          <w:rFonts w:ascii="TimesNewRoman" w:hAnsi="TimesNewRoman" w:eastAsia="黑体" w:cs="TimesNewRoman"/>
          <w:bCs/>
          <w:sz w:val="36"/>
          <w:szCs w:val="36"/>
        </w:rPr>
      </w:pPr>
    </w:p>
    <w:p>
      <w:pPr>
        <w:pStyle w:val="10"/>
        <w:adjustRightInd w:val="0"/>
        <w:snapToGrid w:val="0"/>
        <w:spacing w:line="560" w:lineRule="exact"/>
        <w:ind w:firstLine="744" w:firstLineChars="200"/>
        <w:jc w:val="center"/>
        <w:rPr>
          <w:rFonts w:ascii="TimesNewRoman" w:hAnsi="TimesNewRoman" w:eastAsia="黑体" w:cs="TimesNewRoman"/>
          <w:bCs/>
          <w:sz w:val="36"/>
          <w:szCs w:val="36"/>
        </w:rPr>
      </w:pPr>
    </w:p>
    <w:p>
      <w:pPr>
        <w:pStyle w:val="10"/>
        <w:adjustRightInd w:val="0"/>
        <w:snapToGrid w:val="0"/>
        <w:spacing w:line="560" w:lineRule="exact"/>
        <w:ind w:firstLine="744" w:firstLineChars="200"/>
        <w:jc w:val="center"/>
        <w:rPr>
          <w:rFonts w:ascii="TimesNewRoman" w:hAnsi="TimesNewRoman" w:eastAsia="黑体" w:cs="TimesNewRoman"/>
          <w:bCs/>
          <w:sz w:val="36"/>
          <w:szCs w:val="36"/>
        </w:rPr>
      </w:pPr>
    </w:p>
    <w:p>
      <w:pPr>
        <w:pStyle w:val="10"/>
        <w:adjustRightInd w:val="0"/>
        <w:snapToGrid w:val="0"/>
        <w:spacing w:line="560" w:lineRule="exact"/>
        <w:ind w:firstLine="744" w:firstLineChars="200"/>
        <w:jc w:val="center"/>
        <w:rPr>
          <w:rFonts w:ascii="TimesNewRoman" w:hAnsi="TimesNewRoman" w:eastAsia="黑体" w:cs="TimesNewRoman"/>
          <w:bCs/>
          <w:sz w:val="36"/>
          <w:szCs w:val="36"/>
        </w:rPr>
      </w:pPr>
    </w:p>
    <w:p>
      <w:pPr>
        <w:pStyle w:val="10"/>
        <w:adjustRightInd w:val="0"/>
        <w:snapToGrid w:val="0"/>
        <w:spacing w:line="560" w:lineRule="exact"/>
        <w:ind w:firstLine="744" w:firstLineChars="200"/>
        <w:jc w:val="center"/>
        <w:rPr>
          <w:rFonts w:ascii="TimesNewRoman" w:hAnsi="TimesNewRoman" w:eastAsia="黑体" w:cs="TimesNewRoman"/>
          <w:bCs/>
          <w:sz w:val="36"/>
          <w:szCs w:val="36"/>
        </w:rPr>
      </w:pPr>
    </w:p>
    <w:p>
      <w:pPr>
        <w:pStyle w:val="10"/>
        <w:adjustRightInd w:val="0"/>
        <w:snapToGrid w:val="0"/>
        <w:spacing w:line="560" w:lineRule="exact"/>
        <w:ind w:firstLine="744" w:firstLineChars="200"/>
        <w:jc w:val="center"/>
        <w:rPr>
          <w:rFonts w:ascii="TimesNewRoman" w:hAnsi="TimesNewRoman" w:eastAsia="黑体" w:cs="TimesNewRoman"/>
          <w:bCs/>
          <w:sz w:val="36"/>
          <w:szCs w:val="36"/>
        </w:rPr>
      </w:pPr>
    </w:p>
    <w:p>
      <w:pPr>
        <w:pStyle w:val="10"/>
        <w:adjustRightInd w:val="0"/>
        <w:snapToGrid w:val="0"/>
        <w:spacing w:line="560" w:lineRule="exact"/>
        <w:ind w:firstLine="744" w:firstLineChars="200"/>
        <w:jc w:val="center"/>
        <w:rPr>
          <w:rFonts w:ascii="TimesNewRoman" w:hAnsi="TimesNewRoman" w:eastAsia="黑体" w:cs="TimesNewRoman"/>
          <w:bCs/>
          <w:sz w:val="36"/>
          <w:szCs w:val="36"/>
        </w:rPr>
      </w:pPr>
    </w:p>
    <w:p>
      <w:pPr>
        <w:pStyle w:val="10"/>
        <w:adjustRightInd w:val="0"/>
        <w:snapToGrid w:val="0"/>
        <w:spacing w:line="560" w:lineRule="exact"/>
        <w:ind w:firstLine="744" w:firstLineChars="200"/>
        <w:jc w:val="center"/>
        <w:rPr>
          <w:rFonts w:ascii="TimesNewRoman" w:hAnsi="TimesNewRoman" w:eastAsia="黑体" w:cs="TimesNewRoman"/>
          <w:bCs/>
          <w:sz w:val="36"/>
          <w:szCs w:val="36"/>
        </w:rPr>
      </w:pPr>
      <w:r>
        <w:rPr>
          <w:rFonts w:ascii="TimesNewRoman" w:hAnsi="TimesNewRoman" w:eastAsia="黑体" w:cs="TimesNewRoman"/>
          <w:bCs/>
          <w:sz w:val="36"/>
          <w:szCs w:val="36"/>
        </w:rPr>
        <w:t xml:space="preserve">第二部分 </w:t>
      </w:r>
      <w:r>
        <w:rPr>
          <w:rFonts w:ascii="TimesNewRoman" w:hAnsi="TimesNewRoman" w:eastAsia="黑体" w:cs="TimesNewRoman"/>
          <w:bCs/>
          <w:sz w:val="36"/>
          <w:szCs w:val="36"/>
          <w:lang w:val="en"/>
        </w:rPr>
        <w:t>2024</w:t>
      </w:r>
      <w:r>
        <w:rPr>
          <w:rFonts w:ascii="TimesNewRoman" w:hAnsi="TimesNewRoman" w:eastAsia="黑体" w:cs="TimesNewRoman"/>
          <w:bCs/>
          <w:sz w:val="36"/>
          <w:szCs w:val="36"/>
        </w:rPr>
        <w:t>年部门预算表</w:t>
      </w:r>
    </w:p>
    <w:p>
      <w:pPr>
        <w:pStyle w:val="10"/>
        <w:adjustRightInd w:val="0"/>
        <w:snapToGrid w:val="0"/>
        <w:spacing w:line="560" w:lineRule="exact"/>
        <w:jc w:val="center"/>
        <w:rPr>
          <w:rFonts w:ascii="TimesNewRoman" w:hAnsi="TimesNewRoman" w:eastAsia="黑体" w:cs="TimesNewRoman"/>
          <w:bCs/>
          <w:sz w:val="36"/>
          <w:szCs w:val="36"/>
        </w:rPr>
      </w:pPr>
    </w:p>
    <w:p>
      <w:pPr>
        <w:spacing w:line="560" w:lineRule="exact"/>
        <w:jc w:val="center"/>
        <w:rPr>
          <w:rFonts w:ascii="TimesNewRoman" w:hAnsi="TimesNewRoman" w:eastAsia="楷体_GB2312" w:cs="TimesNewRoman"/>
          <w:bCs/>
          <w:szCs w:val="32"/>
        </w:rPr>
      </w:pPr>
      <w:r>
        <w:rPr>
          <w:rFonts w:hint="eastAsia" w:ascii="仿宋_GB2312" w:hAnsi="仿宋"/>
          <w:szCs w:val="32"/>
        </w:rPr>
        <w:t>见“附件1-2 202</w:t>
      </w:r>
      <w:r>
        <w:rPr>
          <w:rFonts w:ascii="仿宋_GB2312" w:hAnsi="仿宋"/>
          <w:szCs w:val="32"/>
        </w:rPr>
        <w:t>4</w:t>
      </w:r>
      <w:r>
        <w:rPr>
          <w:rFonts w:hint="eastAsia" w:ascii="仿宋_GB2312" w:hAnsi="仿宋"/>
          <w:szCs w:val="32"/>
        </w:rPr>
        <w:t>年部门预算表”</w:t>
      </w:r>
    </w:p>
    <w:p>
      <w:pPr>
        <w:pStyle w:val="10"/>
        <w:adjustRightInd w:val="0"/>
        <w:snapToGrid w:val="0"/>
        <w:spacing w:line="560" w:lineRule="exact"/>
        <w:jc w:val="center"/>
        <w:rPr>
          <w:rFonts w:ascii="TimesNewRoman" w:hAnsi="TimesNewRoman" w:eastAsia="黑体" w:cs="TimesNewRoman"/>
          <w:bCs/>
          <w:sz w:val="36"/>
          <w:szCs w:val="36"/>
        </w:rPr>
        <w:sectPr>
          <w:footerReference r:id="rId3" w:type="default"/>
          <w:pgSz w:w="11906" w:h="16838"/>
          <w:pgMar w:top="1440" w:right="1797" w:bottom="1440" w:left="1797" w:header="850" w:footer="992" w:gutter="0"/>
          <w:pgNumType w:fmt="numberInDash"/>
          <w:cols w:space="720" w:num="1"/>
          <w:docGrid w:type="linesAndChars" w:linePitch="437" w:charSpace="2555"/>
        </w:sectPr>
      </w:pPr>
    </w:p>
    <w:p>
      <w:pPr>
        <w:pStyle w:val="10"/>
        <w:adjustRightInd w:val="0"/>
        <w:snapToGrid w:val="0"/>
        <w:spacing w:line="560" w:lineRule="exact"/>
        <w:jc w:val="center"/>
        <w:rPr>
          <w:rFonts w:ascii="TimesNewRoman" w:hAnsi="TimesNewRoman" w:eastAsia="黑体" w:cs="TimesNewRoman"/>
          <w:bCs/>
          <w:sz w:val="36"/>
          <w:szCs w:val="36"/>
        </w:rPr>
      </w:pPr>
    </w:p>
    <w:p>
      <w:pPr>
        <w:pStyle w:val="10"/>
        <w:adjustRightInd w:val="0"/>
        <w:snapToGrid w:val="0"/>
        <w:spacing w:line="560" w:lineRule="exact"/>
        <w:jc w:val="center"/>
        <w:rPr>
          <w:rFonts w:ascii="TimesNewRoman" w:hAnsi="TimesNewRoman" w:eastAsia="黑体" w:cs="TimesNewRoman"/>
          <w:bCs/>
          <w:sz w:val="36"/>
          <w:szCs w:val="36"/>
        </w:rPr>
      </w:pPr>
      <w:r>
        <w:rPr>
          <w:rFonts w:ascii="TimesNewRoman" w:hAnsi="TimesNewRoman" w:eastAsia="黑体" w:cs="TimesNewRoman"/>
          <w:bCs/>
          <w:sz w:val="36"/>
          <w:szCs w:val="36"/>
        </w:rPr>
        <w:t xml:space="preserve">第三部分 </w:t>
      </w:r>
      <w:r>
        <w:rPr>
          <w:rFonts w:ascii="TimesNewRoman" w:hAnsi="TimesNewRoman" w:eastAsia="黑体" w:cs="TimesNewRoman"/>
          <w:bCs/>
          <w:sz w:val="36"/>
          <w:szCs w:val="36"/>
          <w:lang w:val="en"/>
        </w:rPr>
        <w:t>2024</w:t>
      </w:r>
      <w:r>
        <w:rPr>
          <w:rFonts w:ascii="TimesNewRoman" w:hAnsi="TimesNewRoman" w:eastAsia="黑体" w:cs="TimesNewRoman"/>
          <w:bCs/>
          <w:sz w:val="36"/>
          <w:szCs w:val="36"/>
        </w:rPr>
        <w:t>年部门预算情况说明</w:t>
      </w:r>
    </w:p>
    <w:p>
      <w:pPr>
        <w:pStyle w:val="10"/>
        <w:adjustRightInd w:val="0"/>
        <w:snapToGrid w:val="0"/>
        <w:spacing w:line="560" w:lineRule="exact"/>
        <w:rPr>
          <w:rFonts w:ascii="TimesNewRoman" w:hAnsi="TimesNewRoman" w:eastAsia="黑体" w:cs="TimesNewRoman"/>
          <w:bCs/>
          <w:sz w:val="32"/>
          <w:szCs w:val="32"/>
        </w:rPr>
      </w:pPr>
    </w:p>
    <w:p>
      <w:pPr>
        <w:pStyle w:val="10"/>
        <w:adjustRightInd w:val="0"/>
        <w:snapToGrid w:val="0"/>
        <w:spacing w:line="560" w:lineRule="exact"/>
        <w:ind w:firstLine="664" w:firstLineChars="200"/>
        <w:rPr>
          <w:rFonts w:ascii="TimesNewRoman" w:hAnsi="TimesNewRoman" w:eastAsia="黑体" w:cs="TimesNewRoman"/>
          <w:sz w:val="32"/>
          <w:szCs w:val="32"/>
        </w:rPr>
      </w:pPr>
      <w:r>
        <w:rPr>
          <w:rFonts w:ascii="TimesNewRoman" w:hAnsi="TimesNewRoman" w:eastAsia="黑体" w:cs="TimesNewRoman"/>
          <w:sz w:val="32"/>
          <w:szCs w:val="32"/>
        </w:rPr>
        <w:t>一、关于</w:t>
      </w:r>
      <w:r>
        <w:rPr>
          <w:rFonts w:ascii="TimesNewRoman" w:hAnsi="TimesNewRoman" w:eastAsia="黑体" w:cs="TimesNewRoman"/>
          <w:sz w:val="32"/>
          <w:szCs w:val="32"/>
          <w:lang w:val="en"/>
        </w:rPr>
        <w:t>2024</w:t>
      </w:r>
      <w:r>
        <w:rPr>
          <w:rFonts w:ascii="TimesNewRoman" w:hAnsi="TimesNewRoman" w:eastAsia="黑体" w:cs="TimesNewRoman"/>
          <w:sz w:val="32"/>
          <w:szCs w:val="32"/>
        </w:rPr>
        <w:t>年收支总表的说明</w:t>
      </w:r>
    </w:p>
    <w:p>
      <w:pPr>
        <w:pStyle w:val="10"/>
        <w:adjustRightInd w:val="0"/>
        <w:snapToGrid w:val="0"/>
        <w:spacing w:line="560" w:lineRule="exact"/>
        <w:ind w:firstLine="650" w:firstLineChars="196"/>
        <w:rPr>
          <w:rFonts w:ascii="TimesNewRoman" w:hAnsi="TimesNewRoman" w:eastAsia="仿宋_GB2312" w:cs="TimesNewRoman"/>
          <w:sz w:val="32"/>
          <w:szCs w:val="32"/>
        </w:rPr>
      </w:pPr>
      <w:r>
        <w:rPr>
          <w:rFonts w:ascii="TimesNewRoman" w:hAnsi="TimesNewRoman" w:eastAsia="仿宋_GB2312" w:cs="TimesNewRoman"/>
          <w:sz w:val="32"/>
          <w:szCs w:val="32"/>
        </w:rPr>
        <w:t>按照综合预算的原则，相山区</w:t>
      </w:r>
      <w:r>
        <w:rPr>
          <w:rFonts w:hint="eastAsia" w:ascii="TimesNewRoman" w:hAnsi="TimesNewRoman" w:eastAsia="仿宋_GB2312" w:cs="TimesNewRoman"/>
          <w:sz w:val="32"/>
          <w:szCs w:val="32"/>
          <w:lang w:eastAsia="zh-CN"/>
        </w:rPr>
        <w:t>局</w:t>
      </w:r>
      <w:r>
        <w:rPr>
          <w:rFonts w:ascii="TimesNewRoman" w:hAnsi="TimesNewRoman" w:eastAsia="仿宋_GB2312" w:cs="TimesNewRoman"/>
          <w:sz w:val="32"/>
          <w:szCs w:val="32"/>
        </w:rPr>
        <w:t>所有收入和支出均纳入部门预算管理。相山区</w:t>
      </w:r>
      <w:r>
        <w:rPr>
          <w:rFonts w:hint="eastAsia" w:ascii="TimesNewRoman" w:hAnsi="TimesNewRoman" w:eastAsia="仿宋_GB2312" w:cs="TimesNewRoman"/>
          <w:sz w:val="32"/>
          <w:szCs w:val="32"/>
          <w:lang w:eastAsia="zh-CN"/>
        </w:rPr>
        <w:t>民政局</w:t>
      </w:r>
      <w:r>
        <w:rPr>
          <w:rFonts w:ascii="TimesNewRoman" w:hAnsi="TimesNewRoman" w:eastAsia="仿宋_GB2312" w:cs="TimesNewRoman"/>
          <w:sz w:val="32"/>
          <w:szCs w:val="32"/>
          <w:lang w:val="en"/>
        </w:rPr>
        <w:t>2024</w:t>
      </w:r>
      <w:r>
        <w:rPr>
          <w:rFonts w:ascii="TimesNewRoman" w:hAnsi="TimesNewRoman" w:eastAsia="仿宋_GB2312" w:cs="TimesNewRoman"/>
          <w:sz w:val="32"/>
          <w:szCs w:val="32"/>
        </w:rPr>
        <w:t>年收支总预算</w:t>
      </w:r>
      <w:r>
        <w:rPr>
          <w:rFonts w:hint="eastAsia" w:ascii="TimesNewRoman" w:hAnsi="TimesNewRoman" w:eastAsia="仿宋_GB2312" w:cs="TimesNewRoman"/>
          <w:sz w:val="32"/>
          <w:szCs w:val="32"/>
          <w:lang w:val="en-US" w:eastAsia="zh-CN"/>
        </w:rPr>
        <w:t>2027.18</w:t>
      </w:r>
      <w:r>
        <w:rPr>
          <w:rFonts w:ascii="TimesNewRoman" w:hAnsi="TimesNewRoman" w:eastAsia="仿宋_GB2312" w:cs="TimesNewRoman"/>
          <w:sz w:val="32"/>
          <w:szCs w:val="32"/>
        </w:rPr>
        <w:t>万元，收入包括一般公共预算拨款收入</w:t>
      </w:r>
      <w:r>
        <w:rPr>
          <w:rFonts w:hint="eastAsia" w:ascii="TimesNewRoman" w:hAnsi="TimesNewRoman" w:eastAsia="仿宋_GB2312" w:cs="TimesNewRoman"/>
          <w:sz w:val="32"/>
          <w:szCs w:val="32"/>
          <w:lang w:eastAsia="zh-CN"/>
        </w:rPr>
        <w:t>，</w:t>
      </w:r>
      <w:r>
        <w:rPr>
          <w:rFonts w:ascii="TimesNewRoman" w:hAnsi="TimesNewRoman" w:eastAsia="仿宋_GB2312" w:cs="TimesNewRoman"/>
          <w:sz w:val="32"/>
          <w:szCs w:val="32"/>
        </w:rPr>
        <w:t>支出包括：社会保障和就业支出、卫生健康支出、住房保障支出、</w:t>
      </w:r>
      <w:r>
        <w:rPr>
          <w:rFonts w:hint="eastAsia" w:ascii="TimesNewRoman" w:hAnsi="TimesNewRoman" w:eastAsia="仿宋_GB2312" w:cs="TimesNewRoman"/>
          <w:sz w:val="32"/>
          <w:szCs w:val="32"/>
          <w:lang w:eastAsia="zh-CN"/>
        </w:rPr>
        <w:t>农林水支出</w:t>
      </w:r>
      <w:r>
        <w:rPr>
          <w:rFonts w:ascii="TimesNewRoman" w:hAnsi="TimesNewRoman" w:eastAsia="仿宋_GB2312" w:cs="TimesNewRoman"/>
          <w:sz w:val="32"/>
          <w:szCs w:val="32"/>
        </w:rPr>
        <w:t>。</w:t>
      </w:r>
    </w:p>
    <w:p>
      <w:pPr>
        <w:pStyle w:val="10"/>
        <w:adjustRightInd w:val="0"/>
        <w:snapToGrid w:val="0"/>
        <w:spacing w:line="560" w:lineRule="exact"/>
        <w:ind w:firstLine="650" w:firstLineChars="196"/>
        <w:rPr>
          <w:rFonts w:ascii="TimesNewRoman" w:hAnsi="TimesNewRoman" w:eastAsia="黑体" w:cs="TimesNewRoman"/>
          <w:sz w:val="32"/>
          <w:szCs w:val="32"/>
        </w:rPr>
      </w:pPr>
      <w:r>
        <w:rPr>
          <w:rFonts w:ascii="TimesNewRoman" w:hAnsi="TimesNewRoman" w:eastAsia="黑体" w:cs="TimesNewRoman"/>
          <w:sz w:val="32"/>
          <w:szCs w:val="32"/>
        </w:rPr>
        <w:t>二、关于</w:t>
      </w:r>
      <w:r>
        <w:rPr>
          <w:rFonts w:ascii="TimesNewRoman" w:hAnsi="TimesNewRoman" w:eastAsia="黑体" w:cs="TimesNewRoman"/>
          <w:sz w:val="32"/>
          <w:szCs w:val="32"/>
          <w:lang w:val="en"/>
        </w:rPr>
        <w:t>2024</w:t>
      </w:r>
      <w:r>
        <w:rPr>
          <w:rFonts w:ascii="TimesNewRoman" w:hAnsi="TimesNewRoman" w:eastAsia="黑体" w:cs="TimesNewRoman"/>
          <w:sz w:val="32"/>
          <w:szCs w:val="32"/>
        </w:rPr>
        <w:t>年收入总表的说明</w:t>
      </w:r>
    </w:p>
    <w:p>
      <w:pPr>
        <w:adjustRightInd w:val="0"/>
        <w:snapToGrid w:val="0"/>
        <w:spacing w:line="560" w:lineRule="exact"/>
        <w:ind w:firstLine="664" w:firstLineChars="200"/>
        <w:rPr>
          <w:rFonts w:ascii="TimesNewRoman" w:hAnsi="TimesNewRoman" w:cs="TimesNewRoman"/>
          <w:szCs w:val="32"/>
        </w:rPr>
      </w:pPr>
      <w:r>
        <w:rPr>
          <w:rFonts w:ascii="TimesNewRoman" w:hAnsi="TimesNewRoman" w:cs="TimesNewRoman"/>
          <w:kern w:val="0"/>
          <w:szCs w:val="32"/>
        </w:rPr>
        <w:t>相山区</w:t>
      </w:r>
      <w:r>
        <w:rPr>
          <w:rFonts w:hint="eastAsia" w:ascii="TimesNewRoman" w:hAnsi="TimesNewRoman" w:cs="TimesNewRoman"/>
          <w:kern w:val="0"/>
          <w:szCs w:val="32"/>
          <w:lang w:eastAsia="zh-CN"/>
        </w:rPr>
        <w:t>民政局</w:t>
      </w:r>
      <w:r>
        <w:rPr>
          <w:rFonts w:ascii="TimesNewRoman" w:hAnsi="TimesNewRoman" w:cs="TimesNewRoman"/>
          <w:szCs w:val="32"/>
          <w:lang w:val="en"/>
        </w:rPr>
        <w:t>2024</w:t>
      </w:r>
      <w:r>
        <w:rPr>
          <w:rFonts w:ascii="TimesNewRoman" w:hAnsi="TimesNewRoman" w:cs="TimesNewRoman"/>
          <w:szCs w:val="32"/>
        </w:rPr>
        <w:t>年收入预算</w:t>
      </w:r>
      <w:r>
        <w:rPr>
          <w:rFonts w:hint="eastAsia" w:ascii="TimesNewRoman" w:hAnsi="TimesNewRoman" w:cs="TimesNewRoman"/>
          <w:szCs w:val="32"/>
          <w:lang w:val="en-US" w:eastAsia="zh-CN"/>
        </w:rPr>
        <w:t>2027.18</w:t>
      </w:r>
      <w:r>
        <w:rPr>
          <w:rFonts w:ascii="TimesNewRoman" w:hAnsi="TimesNewRoman" w:cs="TimesNewRoman"/>
          <w:szCs w:val="32"/>
        </w:rPr>
        <w:t>万元，其中，本年收入</w:t>
      </w:r>
      <w:r>
        <w:rPr>
          <w:rFonts w:hint="eastAsia" w:ascii="TimesNewRoman" w:hAnsi="TimesNewRoman" w:cs="TimesNewRoman"/>
          <w:szCs w:val="32"/>
          <w:lang w:val="en-US" w:eastAsia="zh-CN"/>
        </w:rPr>
        <w:t>2027.18</w:t>
      </w:r>
      <w:r>
        <w:rPr>
          <w:rFonts w:ascii="TimesNewRoman" w:hAnsi="TimesNewRoman" w:cs="TimesNewRoman"/>
          <w:szCs w:val="32"/>
        </w:rPr>
        <w:t>万元。</w:t>
      </w:r>
    </w:p>
    <w:p>
      <w:pPr>
        <w:adjustRightInd w:val="0"/>
        <w:snapToGrid w:val="0"/>
        <w:spacing w:line="560" w:lineRule="exact"/>
        <w:ind w:firstLine="664" w:firstLineChars="200"/>
        <w:rPr>
          <w:rFonts w:ascii="TimesNewRoman" w:hAnsi="TimesNewRoman" w:cs="TimesNewRoman"/>
          <w:szCs w:val="32"/>
        </w:rPr>
      </w:pPr>
      <w:r>
        <w:rPr>
          <w:rFonts w:ascii="TimesNewRoman" w:hAnsi="TimesNewRoman" w:cs="TimesNewRoman"/>
          <w:szCs w:val="32"/>
        </w:rPr>
        <w:t>（一）本年收入</w:t>
      </w:r>
      <w:r>
        <w:rPr>
          <w:rFonts w:hint="eastAsia" w:ascii="TimesNewRoman" w:hAnsi="TimesNewRoman" w:cs="TimesNewRoman"/>
          <w:szCs w:val="32"/>
          <w:lang w:val="en-US" w:eastAsia="zh-CN"/>
        </w:rPr>
        <w:t>2027.18</w:t>
      </w:r>
      <w:r>
        <w:rPr>
          <w:rFonts w:ascii="TimesNewRoman" w:hAnsi="TimesNewRoman" w:cs="TimesNewRoman"/>
          <w:szCs w:val="32"/>
        </w:rPr>
        <w:t>万元，主要包括：一般公共预算拨款收入</w:t>
      </w:r>
      <w:r>
        <w:rPr>
          <w:rFonts w:hint="eastAsia" w:ascii="TimesNewRoman" w:hAnsi="TimesNewRoman" w:cs="TimesNewRoman"/>
          <w:szCs w:val="32"/>
          <w:lang w:val="en-US" w:eastAsia="zh-CN"/>
        </w:rPr>
        <w:t>2027.18</w:t>
      </w:r>
      <w:r>
        <w:rPr>
          <w:rFonts w:ascii="TimesNewRoman" w:hAnsi="TimesNewRoman" w:cs="TimesNewRoman"/>
          <w:szCs w:val="32"/>
        </w:rPr>
        <w:t>万元，占</w:t>
      </w:r>
      <w:r>
        <w:rPr>
          <w:rFonts w:hint="eastAsia" w:ascii="TimesNewRoman" w:hAnsi="TimesNewRoman" w:cs="TimesNewRoman"/>
          <w:szCs w:val="32"/>
          <w:lang w:val="en-US" w:eastAsia="zh-CN"/>
        </w:rPr>
        <w:t>100</w:t>
      </w:r>
      <w:r>
        <w:rPr>
          <w:rFonts w:ascii="TimesNewRoman" w:hAnsi="TimesNewRoman" w:cs="TimesNewRoman"/>
          <w:szCs w:val="32"/>
        </w:rPr>
        <w:t>%，比</w:t>
      </w:r>
      <w:r>
        <w:rPr>
          <w:rFonts w:hint="eastAsia" w:ascii="TimesNewRoman" w:hAnsi="TimesNewRoman" w:cs="TimesNewRoman"/>
          <w:szCs w:val="32"/>
        </w:rPr>
        <w:t>2023</w:t>
      </w:r>
      <w:r>
        <w:rPr>
          <w:rFonts w:ascii="TimesNewRoman" w:hAnsi="TimesNewRoman" w:cs="TimesNewRoman"/>
          <w:szCs w:val="32"/>
        </w:rPr>
        <w:t>年预算增加</w:t>
      </w:r>
      <w:r>
        <w:rPr>
          <w:rFonts w:hint="eastAsia" w:ascii="TimesNewRoman" w:hAnsi="TimesNewRoman" w:cs="TimesNewRoman"/>
          <w:szCs w:val="32"/>
          <w:lang w:val="en-US" w:eastAsia="zh-CN"/>
        </w:rPr>
        <w:t>676.18</w:t>
      </w:r>
      <w:r>
        <w:rPr>
          <w:rFonts w:ascii="TimesNewRoman" w:hAnsi="TimesNewRoman" w:cs="TimesNewRoman"/>
          <w:szCs w:val="32"/>
        </w:rPr>
        <w:t>万元，增长</w:t>
      </w:r>
      <w:r>
        <w:rPr>
          <w:rFonts w:hint="eastAsia" w:ascii="TimesNewRoman" w:hAnsi="TimesNewRoman" w:cs="TimesNewRoman"/>
          <w:szCs w:val="32"/>
          <w:lang w:val="en-US" w:eastAsia="zh-CN"/>
        </w:rPr>
        <w:t>50.1</w:t>
      </w:r>
      <w:r>
        <w:rPr>
          <w:rFonts w:ascii="TimesNewRoman" w:hAnsi="TimesNewRoman" w:cs="TimesNewRoman"/>
          <w:szCs w:val="32"/>
        </w:rPr>
        <w:t>%，增长原因主要是</w:t>
      </w:r>
      <w:r>
        <w:rPr>
          <w:rFonts w:hint="eastAsia" w:ascii="仿宋_GB2312" w:hAnsi="仿宋" w:eastAsia="仿宋_GB2312"/>
          <w:sz w:val="32"/>
          <w:szCs w:val="32"/>
        </w:rPr>
        <w:t>原因主要</w:t>
      </w:r>
      <w:r>
        <w:rPr>
          <w:rFonts w:hint="eastAsia" w:ascii="仿宋_GB2312" w:hAnsi="仿宋" w:eastAsia="仿宋_GB2312"/>
          <w:sz w:val="32"/>
          <w:szCs w:val="32"/>
          <w:lang w:eastAsia="zh-CN"/>
        </w:rPr>
        <w:t>一</w:t>
      </w:r>
      <w:r>
        <w:rPr>
          <w:rFonts w:hint="eastAsia" w:ascii="仿宋_GB2312" w:hAnsi="仿宋" w:eastAsia="仿宋_GB2312"/>
          <w:sz w:val="32"/>
          <w:szCs w:val="32"/>
        </w:rPr>
        <w:t>是</w:t>
      </w:r>
      <w:r>
        <w:rPr>
          <w:rFonts w:hint="eastAsia" w:ascii="仿宋_GB2312" w:hAnsi="仿宋" w:eastAsia="仿宋_GB2312"/>
          <w:sz w:val="32"/>
          <w:szCs w:val="32"/>
          <w:lang w:eastAsia="zh-CN"/>
        </w:rPr>
        <w:t>人员</w:t>
      </w:r>
      <w:r>
        <w:rPr>
          <w:rFonts w:hint="eastAsia" w:ascii="仿宋_GB2312" w:hAnsi="仿宋"/>
          <w:sz w:val="32"/>
          <w:szCs w:val="32"/>
          <w:lang w:eastAsia="zh-CN"/>
        </w:rPr>
        <w:t>增加</w:t>
      </w:r>
      <w:r>
        <w:rPr>
          <w:rFonts w:hint="eastAsia" w:ascii="仿宋_GB2312" w:hAnsi="仿宋" w:eastAsia="仿宋_GB2312"/>
          <w:sz w:val="32"/>
          <w:szCs w:val="32"/>
          <w:lang w:eastAsia="zh-CN"/>
        </w:rPr>
        <w:t>，二是</w:t>
      </w:r>
      <w:r>
        <w:rPr>
          <w:rFonts w:hint="eastAsia" w:ascii="仿宋_GB2312" w:hAnsi="仿宋"/>
          <w:sz w:val="32"/>
          <w:szCs w:val="32"/>
          <w:lang w:eastAsia="zh-CN"/>
        </w:rPr>
        <w:t>暖民心老年助餐的开展</w:t>
      </w:r>
      <w:r>
        <w:rPr>
          <w:rFonts w:hint="eastAsia" w:ascii="仿宋_GB2312" w:hAnsi="仿宋" w:eastAsia="仿宋_GB2312"/>
          <w:sz w:val="32"/>
          <w:szCs w:val="32"/>
          <w:lang w:eastAsia="zh-CN"/>
        </w:rPr>
        <w:t>。</w:t>
      </w:r>
    </w:p>
    <w:p>
      <w:pPr>
        <w:adjustRightInd w:val="0"/>
        <w:snapToGrid w:val="0"/>
        <w:spacing w:line="560" w:lineRule="exact"/>
        <w:ind w:firstLine="664" w:firstLineChars="200"/>
        <w:rPr>
          <w:rFonts w:ascii="TimesNewRoman" w:hAnsi="TimesNewRoman" w:eastAsia="黑体" w:cs="TimesNewRoman"/>
          <w:kern w:val="0"/>
          <w:szCs w:val="32"/>
        </w:rPr>
      </w:pPr>
      <w:r>
        <w:rPr>
          <w:rFonts w:ascii="TimesNewRoman" w:hAnsi="TimesNewRoman" w:eastAsia="黑体" w:cs="TimesNewRoman"/>
          <w:kern w:val="0"/>
          <w:szCs w:val="32"/>
        </w:rPr>
        <w:t>三、关于</w:t>
      </w:r>
      <w:r>
        <w:rPr>
          <w:rFonts w:ascii="TimesNewRoman" w:hAnsi="TimesNewRoman" w:eastAsia="黑体" w:cs="TimesNewRoman"/>
          <w:kern w:val="0"/>
          <w:szCs w:val="32"/>
          <w:lang w:val="en"/>
        </w:rPr>
        <w:t>2024</w:t>
      </w:r>
      <w:r>
        <w:rPr>
          <w:rFonts w:ascii="TimesNewRoman" w:hAnsi="TimesNewRoman" w:eastAsia="黑体" w:cs="TimesNewRoman"/>
          <w:kern w:val="0"/>
          <w:szCs w:val="32"/>
        </w:rPr>
        <w:t>年支出总表的说明</w:t>
      </w:r>
    </w:p>
    <w:p>
      <w:pPr>
        <w:adjustRightInd w:val="0"/>
        <w:snapToGrid w:val="0"/>
        <w:spacing w:line="600" w:lineRule="exact"/>
        <w:ind w:firstLine="664" w:firstLineChars="200"/>
        <w:rPr>
          <w:rFonts w:hint="eastAsia" w:ascii="仿宋_GB2312" w:hAnsi="仿宋" w:eastAsia="仿宋_GB2312" w:cs="Times New Roman"/>
          <w:sz w:val="32"/>
          <w:szCs w:val="32"/>
          <w:lang w:eastAsia="zh-CN"/>
        </w:rPr>
      </w:pPr>
      <w:r>
        <w:rPr>
          <w:rFonts w:ascii="TimesNewRoman" w:hAnsi="TimesNewRoman" w:cs="TimesNewRoman"/>
          <w:szCs w:val="32"/>
        </w:rPr>
        <w:t>相山区</w:t>
      </w:r>
      <w:r>
        <w:rPr>
          <w:rFonts w:hint="eastAsia" w:ascii="TimesNewRoman" w:hAnsi="TimesNewRoman" w:cs="TimesNewRoman"/>
          <w:szCs w:val="32"/>
          <w:lang w:eastAsia="zh-CN"/>
        </w:rPr>
        <w:t>民政局</w:t>
      </w:r>
      <w:r>
        <w:rPr>
          <w:rFonts w:ascii="TimesNewRoman" w:hAnsi="TimesNewRoman" w:cs="TimesNewRoman"/>
          <w:szCs w:val="32"/>
          <w:lang w:val="en"/>
        </w:rPr>
        <w:t>2024</w:t>
      </w:r>
      <w:r>
        <w:rPr>
          <w:rFonts w:ascii="TimesNewRoman" w:hAnsi="TimesNewRoman" w:cs="TimesNewRoman"/>
          <w:szCs w:val="32"/>
        </w:rPr>
        <w:t>年支出预算</w:t>
      </w:r>
      <w:r>
        <w:rPr>
          <w:rFonts w:hint="eastAsia" w:ascii="TimesNewRoman" w:hAnsi="TimesNewRoman" w:cs="TimesNewRoman"/>
          <w:szCs w:val="32"/>
          <w:lang w:val="en-US" w:eastAsia="zh-CN"/>
        </w:rPr>
        <w:t>2027.18</w:t>
      </w:r>
      <w:r>
        <w:rPr>
          <w:rFonts w:ascii="TimesNewRoman" w:hAnsi="TimesNewRoman" w:cs="TimesNewRoman"/>
          <w:szCs w:val="32"/>
        </w:rPr>
        <w:t>万元，比</w:t>
      </w:r>
      <w:r>
        <w:rPr>
          <w:rFonts w:hint="eastAsia" w:ascii="TimesNewRoman" w:hAnsi="TimesNewRoman" w:cs="TimesNewRoman"/>
          <w:szCs w:val="32"/>
        </w:rPr>
        <w:t>2023</w:t>
      </w:r>
      <w:r>
        <w:rPr>
          <w:rFonts w:ascii="TimesNewRoman" w:hAnsi="TimesNewRoman" w:cs="TimesNewRoman"/>
          <w:szCs w:val="32"/>
        </w:rPr>
        <w:t>年预算增加</w:t>
      </w:r>
      <w:r>
        <w:rPr>
          <w:rFonts w:hint="eastAsia" w:ascii="TimesNewRoman" w:hAnsi="TimesNewRoman" w:cs="TimesNewRoman"/>
          <w:szCs w:val="32"/>
          <w:lang w:val="en-US" w:eastAsia="zh-CN"/>
        </w:rPr>
        <w:t>676.18</w:t>
      </w:r>
      <w:r>
        <w:rPr>
          <w:rFonts w:ascii="TimesNewRoman" w:hAnsi="TimesNewRoman" w:cs="TimesNewRoman"/>
          <w:szCs w:val="32"/>
        </w:rPr>
        <w:t>万元，增长</w:t>
      </w:r>
      <w:r>
        <w:rPr>
          <w:rFonts w:hint="eastAsia" w:ascii="TimesNewRoman" w:hAnsi="TimesNewRoman" w:cs="TimesNewRoman"/>
          <w:szCs w:val="32"/>
          <w:lang w:val="en-US" w:eastAsia="zh-CN"/>
        </w:rPr>
        <w:t>50.1</w:t>
      </w:r>
      <w:r>
        <w:rPr>
          <w:rFonts w:ascii="TimesNewRoman" w:hAnsi="TimesNewRoman" w:cs="TimesNewRoman"/>
          <w:szCs w:val="32"/>
        </w:rPr>
        <w:t>%，增长原因主要</w:t>
      </w:r>
      <w:r>
        <w:rPr>
          <w:rFonts w:hint="eastAsia" w:ascii="仿宋_GB2312" w:hAnsi="仿宋" w:eastAsia="仿宋_GB2312"/>
          <w:sz w:val="32"/>
          <w:szCs w:val="32"/>
          <w:lang w:eastAsia="zh-CN"/>
        </w:rPr>
        <w:t>一</w:t>
      </w:r>
      <w:r>
        <w:rPr>
          <w:rFonts w:hint="eastAsia" w:ascii="仿宋_GB2312" w:hAnsi="仿宋" w:eastAsia="仿宋_GB2312"/>
          <w:sz w:val="32"/>
          <w:szCs w:val="32"/>
        </w:rPr>
        <w:t>是</w:t>
      </w:r>
      <w:r>
        <w:rPr>
          <w:rFonts w:hint="eastAsia" w:ascii="仿宋_GB2312" w:hAnsi="仿宋" w:eastAsia="仿宋_GB2312"/>
          <w:sz w:val="32"/>
          <w:szCs w:val="32"/>
          <w:lang w:eastAsia="zh-CN"/>
        </w:rPr>
        <w:t>人员</w:t>
      </w:r>
      <w:r>
        <w:rPr>
          <w:rFonts w:hint="eastAsia" w:ascii="仿宋_GB2312" w:hAnsi="仿宋"/>
          <w:sz w:val="32"/>
          <w:szCs w:val="32"/>
          <w:lang w:eastAsia="zh-CN"/>
        </w:rPr>
        <w:t>增加</w:t>
      </w:r>
      <w:r>
        <w:rPr>
          <w:rFonts w:hint="eastAsia" w:ascii="仿宋_GB2312" w:hAnsi="仿宋" w:eastAsia="仿宋_GB2312"/>
          <w:sz w:val="32"/>
          <w:szCs w:val="32"/>
          <w:lang w:eastAsia="zh-CN"/>
        </w:rPr>
        <w:t>，二是</w:t>
      </w:r>
      <w:r>
        <w:rPr>
          <w:rFonts w:hint="eastAsia" w:ascii="仿宋_GB2312" w:hAnsi="仿宋"/>
          <w:sz w:val="32"/>
          <w:szCs w:val="32"/>
          <w:lang w:eastAsia="zh-CN"/>
        </w:rPr>
        <w:t>暖民心老年助餐的开展</w:t>
      </w:r>
      <w:r>
        <w:rPr>
          <w:rFonts w:hint="eastAsia" w:ascii="仿宋_GB2312" w:hAnsi="仿宋" w:eastAsia="仿宋_GB2312"/>
          <w:sz w:val="32"/>
          <w:szCs w:val="32"/>
          <w:lang w:eastAsia="zh-CN"/>
        </w:rPr>
        <w:t>。</w:t>
      </w:r>
      <w:r>
        <w:rPr>
          <w:rFonts w:ascii="TimesNewRoman" w:hAnsi="TimesNewRoman" w:cs="TimesNewRoman"/>
          <w:szCs w:val="32"/>
        </w:rPr>
        <w:t>其中，基本支出</w:t>
      </w:r>
      <w:r>
        <w:rPr>
          <w:rFonts w:hint="eastAsia" w:ascii="TimesNewRoman" w:hAnsi="TimesNewRoman" w:cs="TimesNewRoman"/>
          <w:szCs w:val="32"/>
          <w:lang w:val="en-US" w:eastAsia="zh-CN"/>
        </w:rPr>
        <w:t>516.66</w:t>
      </w:r>
      <w:r>
        <w:rPr>
          <w:rFonts w:ascii="TimesNewRoman" w:hAnsi="TimesNewRoman" w:cs="TimesNewRoman"/>
          <w:szCs w:val="32"/>
        </w:rPr>
        <w:t>万元，占</w:t>
      </w:r>
      <w:r>
        <w:rPr>
          <w:rFonts w:hint="eastAsia" w:ascii="TimesNewRoman" w:hAnsi="TimesNewRoman" w:cs="TimesNewRoman"/>
          <w:szCs w:val="32"/>
          <w:lang w:val="en-US" w:eastAsia="zh-CN"/>
        </w:rPr>
        <w:t>25.49</w:t>
      </w:r>
      <w:r>
        <w:rPr>
          <w:rFonts w:ascii="TimesNewRoman" w:hAnsi="TimesNewRoman" w:cs="TimesNewRoman"/>
          <w:szCs w:val="32"/>
        </w:rPr>
        <w:t>%，主要用于保障机构日常运转、完成日常工作任务</w:t>
      </w:r>
      <w:r>
        <w:rPr>
          <w:rFonts w:hint="eastAsia" w:ascii="TimesNewRoman" w:hAnsi="TimesNewRoman" w:cs="TimesNewRoman"/>
          <w:szCs w:val="32"/>
          <w:lang w:eastAsia="zh-CN"/>
        </w:rPr>
        <w:t>等</w:t>
      </w:r>
      <w:r>
        <w:rPr>
          <w:rFonts w:ascii="TimesNewRoman" w:hAnsi="TimesNewRoman" w:cs="TimesNewRoman"/>
          <w:szCs w:val="32"/>
        </w:rPr>
        <w:t>；项目支出</w:t>
      </w:r>
      <w:r>
        <w:rPr>
          <w:rFonts w:hint="eastAsia" w:ascii="TimesNewRoman" w:hAnsi="TimesNewRoman" w:cs="TimesNewRoman"/>
          <w:szCs w:val="32"/>
          <w:lang w:val="en-US" w:eastAsia="zh-CN"/>
        </w:rPr>
        <w:t>1510.52</w:t>
      </w:r>
      <w:r>
        <w:rPr>
          <w:rFonts w:ascii="TimesNewRoman" w:hAnsi="TimesNewRoman" w:cs="TimesNewRoman"/>
          <w:szCs w:val="32"/>
        </w:rPr>
        <w:t>万元，占</w:t>
      </w:r>
      <w:r>
        <w:rPr>
          <w:rFonts w:hint="eastAsia" w:ascii="TimesNewRoman" w:hAnsi="TimesNewRoman" w:cs="TimesNewRoman"/>
          <w:szCs w:val="32"/>
          <w:lang w:val="en-US" w:eastAsia="zh-CN"/>
        </w:rPr>
        <w:t>74.51</w:t>
      </w:r>
      <w:r>
        <w:rPr>
          <w:rFonts w:ascii="TimesNewRoman" w:hAnsi="TimesNewRoman" w:cs="TimesNewRoman"/>
          <w:szCs w:val="32"/>
        </w:rPr>
        <w:t>%，主要用于</w:t>
      </w:r>
      <w:r>
        <w:rPr>
          <w:rFonts w:hint="eastAsia" w:ascii="仿宋_GB2312" w:hAnsi="仿宋" w:eastAsia="仿宋_GB2312" w:cs="Times New Roman"/>
          <w:sz w:val="32"/>
          <w:szCs w:val="32"/>
          <w:lang w:eastAsia="zh-CN"/>
        </w:rPr>
        <w:t>工作经费、发放各种困难群众救助、民生工程、暖民心等。</w:t>
      </w:r>
    </w:p>
    <w:p>
      <w:pPr>
        <w:adjustRightInd w:val="0"/>
        <w:snapToGrid w:val="0"/>
        <w:spacing w:line="560" w:lineRule="exact"/>
        <w:ind w:firstLine="664" w:firstLineChars="200"/>
        <w:rPr>
          <w:rFonts w:ascii="TimesNewRoman" w:hAnsi="TimesNewRoman" w:eastAsia="黑体" w:cs="TimesNewRoman"/>
          <w:kern w:val="0"/>
          <w:szCs w:val="32"/>
        </w:rPr>
      </w:pPr>
      <w:r>
        <w:rPr>
          <w:rFonts w:ascii="TimesNewRoman" w:hAnsi="TimesNewRoman" w:eastAsia="黑体" w:cs="TimesNewRoman"/>
          <w:kern w:val="0"/>
          <w:szCs w:val="32"/>
        </w:rPr>
        <w:t>四、关于</w:t>
      </w:r>
      <w:r>
        <w:rPr>
          <w:rFonts w:ascii="TimesNewRoman" w:hAnsi="TimesNewRoman" w:eastAsia="黑体" w:cs="TimesNewRoman"/>
          <w:kern w:val="0"/>
          <w:szCs w:val="32"/>
          <w:lang w:val="en"/>
        </w:rPr>
        <w:t>2024</w:t>
      </w:r>
      <w:r>
        <w:rPr>
          <w:rFonts w:ascii="TimesNewRoman" w:hAnsi="TimesNewRoman" w:eastAsia="黑体" w:cs="TimesNewRoman"/>
          <w:kern w:val="0"/>
          <w:szCs w:val="32"/>
        </w:rPr>
        <w:t>年财政拨款收支总表的说明</w:t>
      </w:r>
    </w:p>
    <w:p>
      <w:pPr>
        <w:pStyle w:val="10"/>
        <w:adjustRightInd w:val="0"/>
        <w:snapToGrid w:val="0"/>
        <w:spacing w:line="560" w:lineRule="exact"/>
        <w:ind w:firstLine="664" w:firstLineChars="200"/>
        <w:rPr>
          <w:rFonts w:ascii="TimesNewRoman" w:hAnsi="TimesNewRoman" w:eastAsia="仿宋_GB2312" w:cs="TimesNewRoman"/>
          <w:sz w:val="32"/>
          <w:szCs w:val="32"/>
        </w:rPr>
      </w:pPr>
      <w:r>
        <w:rPr>
          <w:rFonts w:ascii="TimesNewRoman" w:hAnsi="TimesNewRoman" w:eastAsia="仿宋_GB2312" w:cs="TimesNewRoman"/>
          <w:sz w:val="32"/>
          <w:szCs w:val="32"/>
        </w:rPr>
        <w:t>相山区</w:t>
      </w:r>
      <w:r>
        <w:rPr>
          <w:rFonts w:hint="eastAsia" w:ascii="TimesNewRoman" w:hAnsi="TimesNewRoman" w:eastAsia="仿宋_GB2312" w:cs="TimesNewRoman"/>
          <w:sz w:val="32"/>
          <w:szCs w:val="32"/>
          <w:lang w:eastAsia="zh-CN"/>
        </w:rPr>
        <w:t>民政局</w:t>
      </w:r>
      <w:r>
        <w:rPr>
          <w:rFonts w:ascii="TimesNewRoman" w:hAnsi="TimesNewRoman" w:eastAsia="仿宋_GB2312" w:cs="TimesNewRoman"/>
          <w:sz w:val="32"/>
          <w:szCs w:val="32"/>
          <w:lang w:val="en"/>
        </w:rPr>
        <w:t>2024</w:t>
      </w:r>
      <w:r>
        <w:rPr>
          <w:rFonts w:ascii="TimesNewRoman" w:hAnsi="TimesNewRoman" w:eastAsia="仿宋_GB2312" w:cs="TimesNewRoman"/>
          <w:sz w:val="32"/>
          <w:szCs w:val="32"/>
        </w:rPr>
        <w:t>年财政拨款收支预算</w:t>
      </w:r>
      <w:r>
        <w:rPr>
          <w:rFonts w:hint="eastAsia" w:ascii="TimesNewRoman" w:hAnsi="TimesNewRoman" w:eastAsia="仿宋_GB2312" w:cs="TimesNewRoman"/>
          <w:sz w:val="32"/>
          <w:szCs w:val="32"/>
          <w:lang w:val="en-US" w:eastAsia="zh-CN"/>
        </w:rPr>
        <w:t>2027.18</w:t>
      </w:r>
      <w:r>
        <w:rPr>
          <w:rFonts w:ascii="TimesNewRoman" w:hAnsi="TimesNewRoman" w:eastAsia="仿宋_GB2312" w:cs="TimesNewRoman"/>
          <w:sz w:val="32"/>
          <w:szCs w:val="32"/>
        </w:rPr>
        <w:t>万元。收入按资金来源分为：一般公共预算拨款</w:t>
      </w:r>
      <w:r>
        <w:rPr>
          <w:rFonts w:hint="eastAsia" w:ascii="TimesNewRoman" w:hAnsi="TimesNewRoman" w:eastAsia="仿宋_GB2312" w:cs="TimesNewRoman"/>
          <w:sz w:val="32"/>
          <w:szCs w:val="32"/>
          <w:lang w:val="en-US" w:eastAsia="zh-CN"/>
        </w:rPr>
        <w:t>2027.18</w:t>
      </w:r>
      <w:r>
        <w:rPr>
          <w:rFonts w:ascii="TimesNewRoman" w:hAnsi="TimesNewRoman" w:eastAsia="仿宋_GB2312" w:cs="TimesNewRoman"/>
          <w:sz w:val="32"/>
          <w:szCs w:val="32"/>
        </w:rPr>
        <w:t>万元</w:t>
      </w:r>
      <w:r>
        <w:rPr>
          <w:rFonts w:hint="eastAsia" w:ascii="TimesNewRoman" w:hAnsi="TimesNewRoman" w:eastAsia="仿宋_GB2312" w:cs="TimesNewRoman"/>
          <w:sz w:val="32"/>
          <w:szCs w:val="32"/>
          <w:lang w:eastAsia="zh-CN"/>
        </w:rPr>
        <w:t>；</w:t>
      </w:r>
      <w:r>
        <w:rPr>
          <w:rFonts w:ascii="TimesNewRoman" w:hAnsi="TimesNewRoman" w:eastAsia="仿宋_GB2312" w:cs="TimesNewRoman"/>
          <w:sz w:val="32"/>
          <w:szCs w:val="32"/>
        </w:rPr>
        <w:t>按资金年度分为：本年财政拨款收入</w:t>
      </w:r>
      <w:r>
        <w:rPr>
          <w:rFonts w:hint="eastAsia" w:ascii="TimesNewRoman" w:hAnsi="TimesNewRoman" w:eastAsia="仿宋_GB2312" w:cs="TimesNewRoman"/>
          <w:sz w:val="32"/>
          <w:szCs w:val="32"/>
          <w:lang w:val="en-US" w:eastAsia="zh-CN"/>
        </w:rPr>
        <w:t>2027.18</w:t>
      </w:r>
      <w:r>
        <w:rPr>
          <w:rFonts w:ascii="TimesNewRoman" w:hAnsi="TimesNewRoman" w:eastAsia="仿宋_GB2312" w:cs="TimesNewRoman"/>
          <w:sz w:val="32"/>
          <w:szCs w:val="32"/>
        </w:rPr>
        <w:t>万元，支出按功能分类分为：社会保障和就业支出</w:t>
      </w:r>
      <w:r>
        <w:rPr>
          <w:rFonts w:hint="eastAsia" w:ascii="TimesNewRoman" w:hAnsi="TimesNewRoman" w:eastAsia="仿宋_GB2312" w:cs="TimesNewRoman"/>
          <w:sz w:val="32"/>
          <w:szCs w:val="32"/>
          <w:lang w:val="en-US" w:eastAsia="zh-CN"/>
        </w:rPr>
        <w:t>1948.73</w:t>
      </w:r>
      <w:r>
        <w:rPr>
          <w:rFonts w:ascii="TimesNewRoman" w:hAnsi="TimesNewRoman" w:eastAsia="仿宋_GB2312" w:cs="TimesNewRoman"/>
          <w:sz w:val="32"/>
          <w:szCs w:val="32"/>
        </w:rPr>
        <w:t>万元，占</w:t>
      </w:r>
      <w:r>
        <w:rPr>
          <w:rFonts w:hint="eastAsia" w:ascii="TimesNewRoman" w:hAnsi="TimesNewRoman" w:eastAsia="仿宋_GB2312" w:cs="TimesNewRoman"/>
          <w:sz w:val="32"/>
          <w:szCs w:val="32"/>
          <w:lang w:val="en-US" w:eastAsia="zh-CN"/>
        </w:rPr>
        <w:t>96.13</w:t>
      </w:r>
      <w:r>
        <w:rPr>
          <w:rFonts w:ascii="TimesNewRoman" w:hAnsi="TimesNewRoman" w:eastAsia="仿宋_GB2312" w:cs="TimesNewRoman"/>
          <w:sz w:val="32"/>
          <w:szCs w:val="32"/>
        </w:rPr>
        <w:t>%；卫生健康支出</w:t>
      </w:r>
      <w:r>
        <w:rPr>
          <w:rFonts w:hint="eastAsia" w:ascii="TimesNewRoman" w:hAnsi="TimesNewRoman" w:eastAsia="仿宋_GB2312" w:cs="TimesNewRoman"/>
          <w:sz w:val="32"/>
          <w:szCs w:val="32"/>
          <w:lang w:val="en-US" w:eastAsia="zh-CN"/>
        </w:rPr>
        <w:t>18.97</w:t>
      </w:r>
      <w:r>
        <w:rPr>
          <w:rFonts w:ascii="TimesNewRoman" w:hAnsi="TimesNewRoman" w:eastAsia="仿宋_GB2312" w:cs="TimesNewRoman"/>
          <w:sz w:val="32"/>
          <w:szCs w:val="32"/>
        </w:rPr>
        <w:t>万元，占</w:t>
      </w:r>
      <w:r>
        <w:rPr>
          <w:rFonts w:hint="eastAsia" w:ascii="TimesNewRoman" w:hAnsi="TimesNewRoman" w:eastAsia="仿宋_GB2312" w:cs="TimesNewRoman"/>
          <w:sz w:val="32"/>
          <w:szCs w:val="32"/>
          <w:lang w:val="en-US" w:eastAsia="zh-CN"/>
        </w:rPr>
        <w:t>0.94</w:t>
      </w:r>
      <w:r>
        <w:rPr>
          <w:rFonts w:ascii="TimesNewRoman" w:hAnsi="TimesNewRoman" w:eastAsia="仿宋_GB2312" w:cs="TimesNewRoman"/>
          <w:sz w:val="32"/>
          <w:szCs w:val="32"/>
        </w:rPr>
        <w:t>%；</w:t>
      </w:r>
      <w:r>
        <w:rPr>
          <w:rFonts w:hint="eastAsia" w:ascii="TimesNewRoman" w:hAnsi="TimesNewRoman" w:eastAsia="仿宋_GB2312" w:cs="TimesNewRoman"/>
          <w:sz w:val="32"/>
          <w:szCs w:val="32"/>
          <w:lang w:eastAsia="zh-CN"/>
        </w:rPr>
        <w:t>农林水支出</w:t>
      </w:r>
      <w:r>
        <w:rPr>
          <w:rFonts w:hint="eastAsia" w:ascii="TimesNewRoman" w:hAnsi="TimesNewRoman" w:eastAsia="仿宋_GB2312" w:cs="TimesNewRoman"/>
          <w:sz w:val="32"/>
          <w:szCs w:val="32"/>
          <w:lang w:val="en-US" w:eastAsia="zh-CN"/>
        </w:rPr>
        <w:t>3.24万元，占0.16%；</w:t>
      </w:r>
      <w:r>
        <w:rPr>
          <w:rFonts w:hint="eastAsia" w:ascii="TimesNewRoman" w:hAnsi="TimesNewRoman" w:eastAsia="仿宋_GB2312" w:cs="TimesNewRoman"/>
          <w:sz w:val="32"/>
          <w:szCs w:val="32"/>
        </w:rPr>
        <w:t>住房保障支出</w:t>
      </w:r>
      <w:r>
        <w:rPr>
          <w:rFonts w:hint="eastAsia" w:ascii="TimesNewRoman" w:hAnsi="TimesNewRoman" w:eastAsia="仿宋_GB2312" w:cs="TimesNewRoman"/>
          <w:sz w:val="32"/>
          <w:szCs w:val="32"/>
          <w:lang w:val="en-US" w:eastAsia="zh-CN"/>
        </w:rPr>
        <w:t>56.24</w:t>
      </w:r>
      <w:r>
        <w:rPr>
          <w:rFonts w:hint="eastAsia" w:ascii="TimesNewRoman" w:hAnsi="TimesNewRoman" w:eastAsia="仿宋_GB2312" w:cs="TimesNewRoman"/>
          <w:sz w:val="32"/>
          <w:szCs w:val="32"/>
        </w:rPr>
        <w:t>万元，占</w:t>
      </w:r>
      <w:r>
        <w:rPr>
          <w:rFonts w:hint="eastAsia" w:ascii="TimesNewRoman" w:hAnsi="TimesNewRoman" w:eastAsia="仿宋_GB2312" w:cs="TimesNewRoman"/>
          <w:sz w:val="32"/>
          <w:szCs w:val="32"/>
          <w:lang w:val="en-US" w:eastAsia="zh-CN"/>
        </w:rPr>
        <w:t>2.77</w:t>
      </w:r>
      <w:r>
        <w:rPr>
          <w:rFonts w:hint="eastAsia" w:ascii="TimesNewRoman" w:hAnsi="TimesNewRoman" w:eastAsia="仿宋_GB2312" w:cs="TimesNewRoman"/>
          <w:sz w:val="32"/>
          <w:szCs w:val="32"/>
        </w:rPr>
        <w:t>%。</w:t>
      </w:r>
    </w:p>
    <w:p>
      <w:pPr>
        <w:pStyle w:val="10"/>
        <w:adjustRightInd w:val="0"/>
        <w:snapToGrid w:val="0"/>
        <w:spacing w:line="560" w:lineRule="exact"/>
        <w:ind w:firstLine="664" w:firstLineChars="200"/>
        <w:rPr>
          <w:rFonts w:ascii="TimesNewRoman" w:hAnsi="TimesNewRoman" w:eastAsia="黑体" w:cs="TimesNewRoman"/>
          <w:sz w:val="32"/>
          <w:szCs w:val="32"/>
        </w:rPr>
      </w:pPr>
      <w:r>
        <w:rPr>
          <w:rFonts w:ascii="TimesNewRoman" w:hAnsi="TimesNewRoman" w:eastAsia="黑体" w:cs="TimesNewRoman"/>
          <w:sz w:val="32"/>
          <w:szCs w:val="32"/>
        </w:rPr>
        <w:t>五、关于</w:t>
      </w:r>
      <w:r>
        <w:rPr>
          <w:rFonts w:ascii="TimesNewRoman" w:hAnsi="TimesNewRoman" w:eastAsia="黑体" w:cs="TimesNewRoman"/>
          <w:sz w:val="32"/>
          <w:szCs w:val="32"/>
          <w:lang w:val="en"/>
        </w:rPr>
        <w:t>2024</w:t>
      </w:r>
      <w:r>
        <w:rPr>
          <w:rFonts w:ascii="TimesNewRoman" w:hAnsi="TimesNewRoman" w:eastAsia="黑体" w:cs="TimesNewRoman"/>
          <w:sz w:val="32"/>
          <w:szCs w:val="32"/>
        </w:rPr>
        <w:t>年一般公共预算支出表的说明</w:t>
      </w:r>
    </w:p>
    <w:p>
      <w:pPr>
        <w:pStyle w:val="10"/>
        <w:adjustRightInd w:val="0"/>
        <w:snapToGrid w:val="0"/>
        <w:spacing w:line="560" w:lineRule="exact"/>
        <w:ind w:firstLine="650" w:firstLineChars="196"/>
        <w:rPr>
          <w:rFonts w:ascii="TimesNewRoman" w:hAnsi="TimesNewRoman" w:eastAsia="楷体_GB2312" w:cs="TimesNewRoman"/>
          <w:b/>
          <w:sz w:val="32"/>
          <w:szCs w:val="32"/>
        </w:rPr>
      </w:pPr>
      <w:r>
        <w:rPr>
          <w:rFonts w:ascii="TimesNewRoman" w:hAnsi="TimesNewRoman" w:eastAsia="楷体_GB2312" w:cs="TimesNewRoman"/>
          <w:b/>
          <w:sz w:val="32"/>
          <w:szCs w:val="32"/>
        </w:rPr>
        <w:t>（一）一般公共预算支出规模变化情况。</w:t>
      </w:r>
    </w:p>
    <w:p>
      <w:pPr>
        <w:pStyle w:val="10"/>
        <w:adjustRightInd w:val="0"/>
        <w:snapToGrid w:val="0"/>
        <w:spacing w:line="560" w:lineRule="exact"/>
        <w:ind w:firstLine="650" w:firstLineChars="196"/>
        <w:rPr>
          <w:rFonts w:ascii="TimesNewRoman" w:hAnsi="TimesNewRoman" w:eastAsia="仿宋_GB2312" w:cs="TimesNewRoman"/>
          <w:sz w:val="32"/>
          <w:szCs w:val="32"/>
        </w:rPr>
      </w:pPr>
      <w:r>
        <w:rPr>
          <w:rFonts w:ascii="TimesNewRoman" w:hAnsi="TimesNewRoman" w:eastAsia="仿宋_GB2312" w:cs="TimesNewRoman"/>
          <w:sz w:val="32"/>
          <w:szCs w:val="32"/>
        </w:rPr>
        <w:t>相山区</w:t>
      </w:r>
      <w:r>
        <w:rPr>
          <w:rFonts w:hint="eastAsia" w:ascii="TimesNewRoman" w:hAnsi="TimesNewRoman" w:eastAsia="仿宋_GB2312" w:cs="TimesNewRoman"/>
          <w:sz w:val="32"/>
          <w:szCs w:val="32"/>
          <w:lang w:eastAsia="zh-CN"/>
        </w:rPr>
        <w:t>民政局</w:t>
      </w:r>
      <w:r>
        <w:rPr>
          <w:rFonts w:ascii="TimesNewRoman" w:hAnsi="TimesNewRoman" w:eastAsia="仿宋_GB2312" w:cs="TimesNewRoman"/>
          <w:sz w:val="32"/>
          <w:szCs w:val="32"/>
          <w:lang w:val="en"/>
        </w:rPr>
        <w:t>2024</w:t>
      </w:r>
      <w:r>
        <w:rPr>
          <w:rFonts w:ascii="TimesNewRoman" w:hAnsi="TimesNewRoman" w:eastAsia="仿宋_GB2312" w:cs="TimesNewRoman"/>
          <w:sz w:val="32"/>
          <w:szCs w:val="32"/>
        </w:rPr>
        <w:t>年一般公共预算支出</w:t>
      </w:r>
      <w:r>
        <w:rPr>
          <w:rFonts w:hint="eastAsia" w:ascii="TimesNewRoman" w:hAnsi="TimesNewRoman" w:eastAsia="仿宋_GB2312" w:cs="TimesNewRoman"/>
          <w:sz w:val="32"/>
          <w:szCs w:val="32"/>
          <w:lang w:val="en-US" w:eastAsia="zh-CN"/>
        </w:rPr>
        <w:t>2027.18</w:t>
      </w:r>
      <w:r>
        <w:rPr>
          <w:rFonts w:ascii="TimesNewRoman" w:hAnsi="TimesNewRoman" w:eastAsia="仿宋_GB2312" w:cs="TimesNewRoman"/>
          <w:sz w:val="32"/>
          <w:szCs w:val="32"/>
        </w:rPr>
        <w:t>万元，比</w:t>
      </w:r>
      <w:r>
        <w:rPr>
          <w:rFonts w:hint="eastAsia" w:ascii="TimesNewRoman" w:hAnsi="TimesNewRoman" w:eastAsia="仿宋_GB2312" w:cs="TimesNewRoman"/>
          <w:sz w:val="32"/>
          <w:szCs w:val="32"/>
        </w:rPr>
        <w:t>2023</w:t>
      </w:r>
      <w:r>
        <w:rPr>
          <w:rFonts w:ascii="TimesNewRoman" w:hAnsi="TimesNewRoman" w:eastAsia="仿宋_GB2312" w:cs="TimesNewRoman"/>
          <w:sz w:val="32"/>
          <w:szCs w:val="32"/>
        </w:rPr>
        <w:t>年预算增加</w:t>
      </w:r>
      <w:r>
        <w:rPr>
          <w:rFonts w:hint="eastAsia" w:ascii="TimesNewRoman" w:hAnsi="TimesNewRoman" w:eastAsia="仿宋_GB2312" w:cs="TimesNewRoman"/>
          <w:sz w:val="32"/>
          <w:szCs w:val="32"/>
          <w:lang w:val="en-US" w:eastAsia="zh-CN"/>
        </w:rPr>
        <w:t>676.18</w:t>
      </w:r>
      <w:r>
        <w:rPr>
          <w:rFonts w:ascii="TimesNewRoman" w:hAnsi="TimesNewRoman" w:eastAsia="仿宋_GB2312" w:cs="TimesNewRoman"/>
          <w:sz w:val="32"/>
          <w:szCs w:val="32"/>
        </w:rPr>
        <w:t>万元，增长</w:t>
      </w:r>
      <w:r>
        <w:rPr>
          <w:rFonts w:hint="eastAsia" w:ascii="TimesNewRoman" w:hAnsi="TimesNewRoman" w:eastAsia="仿宋_GB2312" w:cs="TimesNewRoman"/>
          <w:sz w:val="32"/>
          <w:szCs w:val="32"/>
          <w:lang w:val="en-US" w:eastAsia="zh-CN"/>
        </w:rPr>
        <w:t>50.1</w:t>
      </w:r>
      <w:r>
        <w:rPr>
          <w:rFonts w:ascii="TimesNewRoman" w:hAnsi="TimesNewRoman" w:eastAsia="仿宋_GB2312" w:cs="TimesNewRoman"/>
          <w:sz w:val="32"/>
          <w:szCs w:val="32"/>
        </w:rPr>
        <w:t>%，主要原因：一是</w:t>
      </w:r>
      <w:r>
        <w:rPr>
          <w:rFonts w:hint="eastAsia" w:ascii="TimesNewRoman" w:hAnsi="TimesNewRoman" w:eastAsia="仿宋_GB2312" w:cs="TimesNewRoman"/>
          <w:sz w:val="32"/>
          <w:szCs w:val="32"/>
          <w:lang w:eastAsia="zh-CN"/>
        </w:rPr>
        <w:t>人员增加，二是暖民心老年助餐的开展</w:t>
      </w:r>
      <w:r>
        <w:rPr>
          <w:rFonts w:ascii="TimesNewRoman" w:hAnsi="TimesNewRoman" w:eastAsia="仿宋_GB2312" w:cs="TimesNewRoman"/>
          <w:sz w:val="32"/>
          <w:szCs w:val="32"/>
        </w:rPr>
        <w:t>。</w:t>
      </w:r>
    </w:p>
    <w:p>
      <w:pPr>
        <w:pStyle w:val="10"/>
        <w:adjustRightInd w:val="0"/>
        <w:snapToGrid w:val="0"/>
        <w:spacing w:line="560" w:lineRule="exact"/>
        <w:ind w:firstLine="650" w:firstLineChars="196"/>
        <w:rPr>
          <w:rFonts w:ascii="TimesNewRoman" w:hAnsi="TimesNewRoman" w:eastAsia="楷体_GB2312" w:cs="TimesNewRoman"/>
          <w:b/>
          <w:sz w:val="32"/>
          <w:szCs w:val="32"/>
        </w:rPr>
      </w:pPr>
      <w:r>
        <w:rPr>
          <w:rFonts w:ascii="TimesNewRoman" w:hAnsi="TimesNewRoman" w:eastAsia="楷体_GB2312" w:cs="TimesNewRoman"/>
          <w:b/>
          <w:sz w:val="32"/>
          <w:szCs w:val="32"/>
        </w:rPr>
        <w:t>（二）一般公共预算支出结构情况。</w:t>
      </w:r>
    </w:p>
    <w:p>
      <w:pPr>
        <w:pStyle w:val="10"/>
        <w:adjustRightInd w:val="0"/>
        <w:snapToGrid w:val="0"/>
        <w:spacing w:line="560" w:lineRule="exact"/>
        <w:ind w:firstLine="664" w:firstLineChars="200"/>
        <w:rPr>
          <w:rFonts w:ascii="TimesNewRoman" w:hAnsi="TimesNewRoman" w:eastAsia="仿宋_GB2312" w:cs="TimesNewRoman"/>
          <w:sz w:val="32"/>
          <w:szCs w:val="32"/>
        </w:rPr>
      </w:pPr>
      <w:r>
        <w:rPr>
          <w:rFonts w:ascii="TimesNewRoman" w:hAnsi="TimesNewRoman" w:eastAsia="仿宋_GB2312" w:cs="TimesNewRoman"/>
          <w:sz w:val="32"/>
          <w:szCs w:val="32"/>
        </w:rPr>
        <w:t>社会保障和就业支出</w:t>
      </w:r>
      <w:r>
        <w:rPr>
          <w:rFonts w:hint="eastAsia" w:ascii="TimesNewRoman" w:hAnsi="TimesNewRoman" w:eastAsia="仿宋_GB2312" w:cs="TimesNewRoman"/>
          <w:sz w:val="32"/>
          <w:szCs w:val="32"/>
          <w:lang w:val="en-US" w:eastAsia="zh-CN"/>
        </w:rPr>
        <w:t>1948.73</w:t>
      </w:r>
      <w:r>
        <w:rPr>
          <w:rFonts w:ascii="TimesNewRoman" w:hAnsi="TimesNewRoman" w:eastAsia="仿宋_GB2312" w:cs="TimesNewRoman"/>
          <w:sz w:val="32"/>
          <w:szCs w:val="32"/>
        </w:rPr>
        <w:t>万元，占</w:t>
      </w:r>
      <w:r>
        <w:rPr>
          <w:rFonts w:hint="eastAsia" w:ascii="TimesNewRoman" w:hAnsi="TimesNewRoman" w:eastAsia="仿宋_GB2312" w:cs="TimesNewRoman"/>
          <w:sz w:val="32"/>
          <w:szCs w:val="32"/>
          <w:lang w:val="en-US" w:eastAsia="zh-CN"/>
        </w:rPr>
        <w:t>96.13</w:t>
      </w:r>
      <w:r>
        <w:rPr>
          <w:rFonts w:ascii="TimesNewRoman" w:hAnsi="TimesNewRoman" w:eastAsia="仿宋_GB2312" w:cs="TimesNewRoman"/>
          <w:sz w:val="32"/>
          <w:szCs w:val="32"/>
        </w:rPr>
        <w:t>%；卫生健康支出</w:t>
      </w:r>
      <w:r>
        <w:rPr>
          <w:rFonts w:hint="eastAsia" w:ascii="TimesNewRoman" w:hAnsi="TimesNewRoman" w:eastAsia="仿宋_GB2312" w:cs="TimesNewRoman"/>
          <w:sz w:val="32"/>
          <w:szCs w:val="32"/>
          <w:lang w:val="en-US" w:eastAsia="zh-CN"/>
        </w:rPr>
        <w:t>18.97</w:t>
      </w:r>
      <w:r>
        <w:rPr>
          <w:rFonts w:ascii="TimesNewRoman" w:hAnsi="TimesNewRoman" w:eastAsia="仿宋_GB2312" w:cs="TimesNewRoman"/>
          <w:sz w:val="32"/>
          <w:szCs w:val="32"/>
        </w:rPr>
        <w:t>万元，占</w:t>
      </w:r>
      <w:r>
        <w:rPr>
          <w:rFonts w:hint="eastAsia" w:ascii="TimesNewRoman" w:hAnsi="TimesNewRoman" w:eastAsia="仿宋_GB2312" w:cs="TimesNewRoman"/>
          <w:sz w:val="32"/>
          <w:szCs w:val="32"/>
          <w:lang w:val="en-US" w:eastAsia="zh-CN"/>
        </w:rPr>
        <w:t>0.94</w:t>
      </w:r>
      <w:r>
        <w:rPr>
          <w:rFonts w:ascii="TimesNewRoman" w:hAnsi="TimesNewRoman" w:eastAsia="仿宋_GB2312" w:cs="TimesNewRoman"/>
          <w:sz w:val="32"/>
          <w:szCs w:val="32"/>
        </w:rPr>
        <w:t>%；</w:t>
      </w:r>
      <w:r>
        <w:rPr>
          <w:rFonts w:hint="eastAsia" w:ascii="TimesNewRoman" w:hAnsi="TimesNewRoman" w:eastAsia="仿宋_GB2312" w:cs="TimesNewRoman"/>
          <w:sz w:val="32"/>
          <w:szCs w:val="32"/>
          <w:lang w:eastAsia="zh-CN"/>
        </w:rPr>
        <w:t>农林水支出</w:t>
      </w:r>
      <w:r>
        <w:rPr>
          <w:rFonts w:hint="eastAsia" w:ascii="TimesNewRoman" w:hAnsi="TimesNewRoman" w:eastAsia="仿宋_GB2312" w:cs="TimesNewRoman"/>
          <w:sz w:val="32"/>
          <w:szCs w:val="32"/>
          <w:lang w:val="en-US" w:eastAsia="zh-CN"/>
        </w:rPr>
        <w:t>3.24万元，占0.16%；</w:t>
      </w:r>
      <w:r>
        <w:rPr>
          <w:rFonts w:hint="eastAsia" w:ascii="TimesNewRoman" w:hAnsi="TimesNewRoman" w:eastAsia="仿宋_GB2312" w:cs="TimesNewRoman"/>
          <w:sz w:val="32"/>
          <w:szCs w:val="32"/>
        </w:rPr>
        <w:t>住房保障支出</w:t>
      </w:r>
      <w:r>
        <w:rPr>
          <w:rFonts w:hint="eastAsia" w:ascii="TimesNewRoman" w:hAnsi="TimesNewRoman" w:eastAsia="仿宋_GB2312" w:cs="TimesNewRoman"/>
          <w:sz w:val="32"/>
          <w:szCs w:val="32"/>
          <w:lang w:val="en-US" w:eastAsia="zh-CN"/>
        </w:rPr>
        <w:t>56.24</w:t>
      </w:r>
      <w:r>
        <w:rPr>
          <w:rFonts w:hint="eastAsia" w:ascii="TimesNewRoman" w:hAnsi="TimesNewRoman" w:eastAsia="仿宋_GB2312" w:cs="TimesNewRoman"/>
          <w:sz w:val="32"/>
          <w:szCs w:val="32"/>
        </w:rPr>
        <w:t>万元，占</w:t>
      </w:r>
      <w:r>
        <w:rPr>
          <w:rFonts w:hint="eastAsia" w:ascii="TimesNewRoman" w:hAnsi="TimesNewRoman" w:eastAsia="仿宋_GB2312" w:cs="TimesNewRoman"/>
          <w:sz w:val="32"/>
          <w:szCs w:val="32"/>
          <w:lang w:val="en-US" w:eastAsia="zh-CN"/>
        </w:rPr>
        <w:t>2.77</w:t>
      </w:r>
      <w:r>
        <w:rPr>
          <w:rFonts w:hint="eastAsia" w:ascii="TimesNewRoman" w:hAnsi="TimesNewRoman" w:eastAsia="仿宋_GB2312" w:cs="TimesNewRoman"/>
          <w:sz w:val="32"/>
          <w:szCs w:val="32"/>
        </w:rPr>
        <w:t>%。</w:t>
      </w:r>
    </w:p>
    <w:p>
      <w:pPr>
        <w:adjustRightInd w:val="0"/>
        <w:snapToGrid w:val="0"/>
        <w:spacing w:line="560" w:lineRule="exact"/>
        <w:ind w:firstLine="664" w:firstLineChars="200"/>
        <w:rPr>
          <w:rFonts w:ascii="TimesNewRoman" w:hAnsi="TimesNewRoman" w:eastAsia="楷体_GB2312" w:cs="TimesNewRoman"/>
          <w:b/>
          <w:szCs w:val="32"/>
        </w:rPr>
      </w:pPr>
      <w:r>
        <w:rPr>
          <w:rFonts w:ascii="TimesNewRoman" w:hAnsi="TimesNewRoman" w:eastAsia="楷体_GB2312" w:cs="TimesNewRoman"/>
          <w:b/>
          <w:szCs w:val="32"/>
        </w:rPr>
        <w:t>（三）一般公共预算支出具体使用情况。</w:t>
      </w:r>
    </w:p>
    <w:p>
      <w:pPr>
        <w:adjustRightInd w:val="0"/>
        <w:snapToGrid w:val="0"/>
        <w:spacing w:line="600" w:lineRule="exact"/>
        <w:ind w:firstLine="664" w:firstLineChars="200"/>
        <w:rPr>
          <w:rFonts w:ascii="TimesNewRoman" w:hAnsi="TimesNewRoman" w:cs="TimesNewRoman"/>
          <w:szCs w:val="32"/>
        </w:rPr>
      </w:pPr>
      <w:r>
        <w:rPr>
          <w:rFonts w:ascii="TimesNewRoman" w:hAnsi="TimesNewRoman" w:cs="TimesNewRoman"/>
          <w:b/>
          <w:szCs w:val="32"/>
        </w:rPr>
        <w:t>1.</w:t>
      </w:r>
      <w:r>
        <w:rPr>
          <w:rFonts w:hint="eastAsia" w:ascii="TimesNewRoman" w:hAnsi="TimesNewRoman" w:cs="TimesNewRoman"/>
          <w:b/>
          <w:szCs w:val="32"/>
          <w:lang w:eastAsia="zh-CN"/>
        </w:rPr>
        <w:t>社会保障和就业支出</w:t>
      </w:r>
      <w:r>
        <w:rPr>
          <w:rFonts w:ascii="TimesNewRoman" w:hAnsi="TimesNewRoman" w:cs="TimesNewRoman"/>
          <w:b/>
          <w:szCs w:val="32"/>
        </w:rPr>
        <w:t>（类）</w:t>
      </w:r>
      <w:r>
        <w:rPr>
          <w:rFonts w:hint="eastAsia" w:ascii="TimesNewRoman" w:hAnsi="TimesNewRoman" w:cs="TimesNewRoman"/>
          <w:b/>
          <w:szCs w:val="32"/>
          <w:lang w:eastAsia="zh-CN"/>
        </w:rPr>
        <w:t>民政管理事务</w:t>
      </w:r>
      <w:r>
        <w:rPr>
          <w:rFonts w:ascii="TimesNewRoman" w:hAnsi="TimesNewRoman" w:cs="TimesNewRoman"/>
          <w:b/>
          <w:szCs w:val="32"/>
        </w:rPr>
        <w:t>（款）行政运行（项）</w:t>
      </w:r>
      <w:r>
        <w:rPr>
          <w:rFonts w:ascii="TimesNewRoman" w:hAnsi="TimesNewRoman" w:cs="TimesNewRoman"/>
          <w:szCs w:val="32"/>
          <w:lang w:val="en"/>
        </w:rPr>
        <w:t>2024</w:t>
      </w:r>
      <w:r>
        <w:rPr>
          <w:rFonts w:ascii="TimesNewRoman" w:hAnsi="TimesNewRoman" w:cs="TimesNewRoman"/>
          <w:szCs w:val="32"/>
        </w:rPr>
        <w:t>年预算</w:t>
      </w:r>
      <w:r>
        <w:rPr>
          <w:rFonts w:hint="eastAsia" w:ascii="TimesNewRoman" w:hAnsi="TimesNewRoman" w:cs="TimesNewRoman"/>
          <w:szCs w:val="32"/>
          <w:lang w:val="en-US" w:eastAsia="zh-CN"/>
        </w:rPr>
        <w:t>437.06</w:t>
      </w:r>
      <w:r>
        <w:rPr>
          <w:rFonts w:ascii="TimesNewRoman" w:hAnsi="TimesNewRoman" w:cs="TimesNewRoman"/>
          <w:szCs w:val="32"/>
        </w:rPr>
        <w:t>万元，比</w:t>
      </w:r>
      <w:r>
        <w:rPr>
          <w:rFonts w:hint="eastAsia" w:ascii="TimesNewRoman" w:hAnsi="TimesNewRoman" w:cs="TimesNewRoman"/>
          <w:szCs w:val="32"/>
        </w:rPr>
        <w:t>2023</w:t>
      </w:r>
      <w:r>
        <w:rPr>
          <w:rFonts w:ascii="TimesNewRoman" w:hAnsi="TimesNewRoman" w:cs="TimesNewRoman"/>
          <w:szCs w:val="32"/>
        </w:rPr>
        <w:t>年预算增加</w:t>
      </w:r>
      <w:r>
        <w:rPr>
          <w:rFonts w:hint="eastAsia" w:ascii="TimesNewRoman" w:hAnsi="TimesNewRoman" w:cs="TimesNewRoman"/>
          <w:szCs w:val="32"/>
          <w:lang w:val="en-US" w:eastAsia="zh-CN"/>
        </w:rPr>
        <w:t>91.21</w:t>
      </w:r>
      <w:r>
        <w:rPr>
          <w:rFonts w:ascii="TimesNewRoman" w:hAnsi="TimesNewRoman" w:cs="TimesNewRoman"/>
          <w:szCs w:val="32"/>
        </w:rPr>
        <w:t>万元，增长</w:t>
      </w:r>
      <w:r>
        <w:rPr>
          <w:rFonts w:hint="eastAsia" w:ascii="TimesNewRoman" w:hAnsi="TimesNewRoman" w:cs="TimesNewRoman"/>
          <w:szCs w:val="32"/>
          <w:lang w:val="en-US" w:eastAsia="zh-CN"/>
        </w:rPr>
        <w:t>26.37</w:t>
      </w:r>
      <w:r>
        <w:rPr>
          <w:rFonts w:ascii="TimesNewRoman" w:hAnsi="TimesNewRoman" w:cs="TimesNewRoman"/>
          <w:szCs w:val="32"/>
        </w:rPr>
        <w:t>%，增长原因主要是</w:t>
      </w:r>
      <w:r>
        <w:rPr>
          <w:rFonts w:hint="eastAsia" w:ascii="仿宋_GB2312" w:hAnsi="仿宋" w:eastAsia="仿宋_GB2312"/>
          <w:sz w:val="32"/>
          <w:szCs w:val="32"/>
          <w:lang w:eastAsia="zh-CN"/>
        </w:rPr>
        <w:t>人员增加、工资社保调整</w:t>
      </w:r>
      <w:r>
        <w:rPr>
          <w:rFonts w:hint="eastAsia" w:ascii="仿宋_GB2312" w:hAnsi="仿宋" w:eastAsia="仿宋_GB2312"/>
          <w:sz w:val="32"/>
          <w:szCs w:val="32"/>
        </w:rPr>
        <w:t>。</w:t>
      </w:r>
    </w:p>
    <w:p>
      <w:pPr>
        <w:adjustRightInd w:val="0"/>
        <w:snapToGrid w:val="0"/>
        <w:spacing w:line="560" w:lineRule="exact"/>
        <w:ind w:firstLine="664" w:firstLineChars="200"/>
        <w:rPr>
          <w:rFonts w:ascii="TimesNewRoman" w:hAnsi="TimesNewRoman" w:cs="TimesNewRoman"/>
          <w:szCs w:val="32"/>
        </w:rPr>
      </w:pPr>
      <w:r>
        <w:rPr>
          <w:rFonts w:hint="eastAsia" w:ascii="TimesNewRoman" w:hAnsi="TimesNewRoman" w:cs="TimesNewRoman"/>
          <w:b/>
          <w:szCs w:val="32"/>
          <w:lang w:val="en"/>
        </w:rPr>
        <w:t>2.</w:t>
      </w:r>
      <w:r>
        <w:rPr>
          <w:rFonts w:hint="eastAsia" w:ascii="TimesNewRoman" w:hAnsi="TimesNewRoman" w:cs="TimesNewRoman"/>
          <w:b/>
          <w:szCs w:val="32"/>
          <w:lang w:val="en" w:eastAsia="zh-CN"/>
        </w:rPr>
        <w:t>社会保障和就业支出</w:t>
      </w:r>
      <w:r>
        <w:rPr>
          <w:rFonts w:hint="eastAsia" w:ascii="TimesNewRoman" w:hAnsi="TimesNewRoman" w:cs="TimesNewRoman"/>
          <w:b/>
          <w:szCs w:val="32"/>
          <w:lang w:val="en"/>
        </w:rPr>
        <w:t>（类）</w:t>
      </w:r>
      <w:r>
        <w:rPr>
          <w:rFonts w:hint="eastAsia" w:ascii="TimesNewRoman" w:hAnsi="TimesNewRoman" w:cs="TimesNewRoman"/>
          <w:b/>
          <w:szCs w:val="32"/>
          <w:lang w:val="en" w:eastAsia="zh-CN"/>
        </w:rPr>
        <w:t>民政管理事务</w:t>
      </w:r>
      <w:r>
        <w:rPr>
          <w:rFonts w:hint="eastAsia" w:ascii="TimesNewRoman" w:hAnsi="TimesNewRoman" w:cs="TimesNewRoman"/>
          <w:b/>
          <w:szCs w:val="32"/>
          <w:lang w:val="en"/>
        </w:rPr>
        <w:t>（款）一般行政管理事务（项）</w:t>
      </w:r>
      <w:r>
        <w:rPr>
          <w:rFonts w:ascii="TimesNewRoman" w:hAnsi="TimesNewRoman" w:cs="TimesNewRoman"/>
          <w:szCs w:val="32"/>
          <w:lang w:val="en"/>
        </w:rPr>
        <w:t>2024</w:t>
      </w:r>
      <w:r>
        <w:rPr>
          <w:rFonts w:ascii="TimesNewRoman" w:hAnsi="TimesNewRoman" w:cs="TimesNewRoman"/>
          <w:szCs w:val="32"/>
        </w:rPr>
        <w:t>年预算</w:t>
      </w:r>
      <w:r>
        <w:rPr>
          <w:rFonts w:hint="eastAsia" w:ascii="TimesNewRoman" w:hAnsi="TimesNewRoman" w:cs="TimesNewRoman"/>
          <w:szCs w:val="32"/>
          <w:lang w:val="en-US" w:eastAsia="zh-CN"/>
        </w:rPr>
        <w:t>280</w:t>
      </w:r>
      <w:r>
        <w:rPr>
          <w:rFonts w:ascii="TimesNewRoman" w:hAnsi="TimesNewRoman" w:cs="TimesNewRoman"/>
          <w:szCs w:val="32"/>
        </w:rPr>
        <w:t>万元，比</w:t>
      </w:r>
      <w:r>
        <w:rPr>
          <w:rFonts w:hint="eastAsia" w:ascii="TimesNewRoman" w:hAnsi="TimesNewRoman" w:cs="TimesNewRoman"/>
          <w:szCs w:val="32"/>
        </w:rPr>
        <w:t>2023</w:t>
      </w:r>
      <w:r>
        <w:rPr>
          <w:rFonts w:ascii="TimesNewRoman" w:hAnsi="TimesNewRoman" w:cs="TimesNewRoman"/>
          <w:szCs w:val="32"/>
        </w:rPr>
        <w:t>年预算增加</w:t>
      </w:r>
      <w:r>
        <w:rPr>
          <w:rFonts w:hint="eastAsia" w:ascii="TimesNewRoman" w:hAnsi="TimesNewRoman" w:cs="TimesNewRoman"/>
          <w:szCs w:val="32"/>
          <w:lang w:val="en-US" w:eastAsia="zh-CN"/>
        </w:rPr>
        <w:t>89.78</w:t>
      </w:r>
      <w:r>
        <w:rPr>
          <w:rFonts w:ascii="TimesNewRoman" w:hAnsi="TimesNewRoman" w:cs="TimesNewRoman"/>
          <w:szCs w:val="32"/>
        </w:rPr>
        <w:t>万元，增长</w:t>
      </w:r>
      <w:r>
        <w:rPr>
          <w:rFonts w:hint="eastAsia" w:ascii="TimesNewRoman" w:hAnsi="TimesNewRoman" w:cs="TimesNewRoman"/>
          <w:szCs w:val="32"/>
          <w:lang w:val="en-US" w:eastAsia="zh-CN"/>
        </w:rPr>
        <w:t>47.2</w:t>
      </w:r>
      <w:r>
        <w:rPr>
          <w:rFonts w:ascii="TimesNewRoman" w:hAnsi="TimesNewRoman" w:cs="TimesNewRoman"/>
          <w:szCs w:val="32"/>
        </w:rPr>
        <w:t>%，增长原因主要是</w:t>
      </w:r>
      <w:r>
        <w:rPr>
          <w:rFonts w:hint="eastAsia" w:ascii="TimesNewRoman" w:hAnsi="TimesNewRoman" w:cs="TimesNewRoman"/>
          <w:szCs w:val="32"/>
          <w:lang w:eastAsia="zh-CN"/>
        </w:rPr>
        <w:t>鹰山公墓经费增加</w:t>
      </w:r>
      <w:r>
        <w:rPr>
          <w:rFonts w:ascii="TimesNewRoman" w:hAnsi="TimesNewRoman" w:cs="TimesNewRoman"/>
          <w:szCs w:val="32"/>
        </w:rPr>
        <w:t>。</w:t>
      </w:r>
    </w:p>
    <w:p>
      <w:pPr>
        <w:adjustRightInd w:val="0"/>
        <w:snapToGrid w:val="0"/>
        <w:spacing w:line="560" w:lineRule="exact"/>
        <w:ind w:firstLine="664" w:firstLineChars="200"/>
        <w:rPr>
          <w:rFonts w:ascii="TimesNewRoman" w:hAnsi="TimesNewRoman" w:cs="TimesNewRoman"/>
          <w:szCs w:val="32"/>
        </w:rPr>
      </w:pPr>
      <w:r>
        <w:rPr>
          <w:rFonts w:ascii="TimesNewRoman" w:hAnsi="TimesNewRoman" w:cs="TimesNewRoman"/>
          <w:b/>
          <w:szCs w:val="32"/>
        </w:rPr>
        <w:t>3.社会保障和就业支出（类）</w:t>
      </w:r>
      <w:r>
        <w:rPr>
          <w:rFonts w:hint="eastAsia" w:ascii="TimesNewRoman" w:hAnsi="TimesNewRoman" w:cs="TimesNewRoman"/>
          <w:b/>
          <w:szCs w:val="32"/>
          <w:lang w:val="en" w:eastAsia="zh-CN"/>
        </w:rPr>
        <w:t>民政管理事务</w:t>
      </w:r>
      <w:r>
        <w:rPr>
          <w:rFonts w:ascii="TimesNewRoman" w:hAnsi="TimesNewRoman" w:cs="TimesNewRoman"/>
          <w:b/>
          <w:szCs w:val="32"/>
        </w:rPr>
        <w:t>（款）</w:t>
      </w:r>
      <w:r>
        <w:rPr>
          <w:rFonts w:hint="eastAsia" w:ascii="TimesNewRoman" w:hAnsi="TimesNewRoman" w:cs="TimesNewRoman"/>
          <w:b/>
          <w:szCs w:val="32"/>
          <w:lang w:eastAsia="zh-CN"/>
        </w:rPr>
        <w:t>基层政权和社区治理</w:t>
      </w:r>
      <w:r>
        <w:rPr>
          <w:rFonts w:ascii="TimesNewRoman" w:hAnsi="TimesNewRoman" w:cs="TimesNewRoman"/>
          <w:b/>
          <w:szCs w:val="32"/>
        </w:rPr>
        <w:t>（项）</w:t>
      </w:r>
      <w:r>
        <w:rPr>
          <w:rFonts w:ascii="TimesNewRoman" w:hAnsi="TimesNewRoman" w:cs="TimesNewRoman"/>
          <w:szCs w:val="32"/>
          <w:lang w:val="en"/>
        </w:rPr>
        <w:t>2024</w:t>
      </w:r>
      <w:r>
        <w:rPr>
          <w:rFonts w:ascii="TimesNewRoman" w:hAnsi="TimesNewRoman" w:cs="TimesNewRoman"/>
          <w:szCs w:val="32"/>
        </w:rPr>
        <w:t>年预算</w:t>
      </w:r>
      <w:r>
        <w:rPr>
          <w:rFonts w:hint="eastAsia" w:ascii="TimesNewRoman" w:hAnsi="TimesNewRoman" w:cs="TimesNewRoman"/>
          <w:szCs w:val="32"/>
          <w:lang w:val="en-US" w:eastAsia="zh-CN"/>
        </w:rPr>
        <w:t>30</w:t>
      </w:r>
      <w:r>
        <w:rPr>
          <w:rFonts w:ascii="TimesNewRoman" w:hAnsi="TimesNewRoman" w:cs="TimesNewRoman"/>
          <w:szCs w:val="32"/>
        </w:rPr>
        <w:t>万元，比</w:t>
      </w:r>
      <w:r>
        <w:rPr>
          <w:rFonts w:hint="eastAsia" w:ascii="TimesNewRoman" w:hAnsi="TimesNewRoman" w:cs="TimesNewRoman"/>
          <w:szCs w:val="32"/>
        </w:rPr>
        <w:t>2023</w:t>
      </w:r>
      <w:r>
        <w:rPr>
          <w:rFonts w:ascii="TimesNewRoman" w:hAnsi="TimesNewRoman" w:cs="TimesNewRoman"/>
          <w:szCs w:val="32"/>
        </w:rPr>
        <w:t>年预算增加</w:t>
      </w:r>
      <w:r>
        <w:rPr>
          <w:rFonts w:hint="eastAsia" w:ascii="TimesNewRoman" w:hAnsi="TimesNewRoman" w:cs="TimesNewRoman"/>
          <w:szCs w:val="32"/>
          <w:lang w:val="en-US" w:eastAsia="zh-CN"/>
        </w:rPr>
        <w:t>24</w:t>
      </w:r>
      <w:r>
        <w:rPr>
          <w:rFonts w:ascii="TimesNewRoman" w:hAnsi="TimesNewRoman" w:cs="TimesNewRoman"/>
          <w:szCs w:val="32"/>
        </w:rPr>
        <w:t>万元，增长</w:t>
      </w:r>
      <w:r>
        <w:rPr>
          <w:rFonts w:hint="eastAsia" w:ascii="TimesNewRoman" w:hAnsi="TimesNewRoman" w:cs="TimesNewRoman"/>
          <w:szCs w:val="32"/>
          <w:lang w:val="en-US" w:eastAsia="zh-CN"/>
        </w:rPr>
        <w:t>400</w:t>
      </w:r>
      <w:r>
        <w:rPr>
          <w:rFonts w:ascii="TimesNewRoman" w:hAnsi="TimesNewRoman" w:cs="TimesNewRoman"/>
          <w:szCs w:val="32"/>
        </w:rPr>
        <w:t>%，增长原因主要是</w:t>
      </w:r>
      <w:r>
        <w:rPr>
          <w:rFonts w:hint="eastAsia" w:ascii="仿宋_GB2312" w:hAnsi="仿宋" w:eastAsia="仿宋_GB2312"/>
          <w:sz w:val="32"/>
          <w:szCs w:val="32"/>
          <w:lang w:eastAsia="zh-CN"/>
        </w:rPr>
        <w:t>社区建设支出</w:t>
      </w:r>
      <w:r>
        <w:rPr>
          <w:rFonts w:ascii="TimesNewRoman" w:hAnsi="TimesNewRoman" w:cs="TimesNewRoman"/>
          <w:szCs w:val="32"/>
        </w:rPr>
        <w:t>。</w:t>
      </w:r>
    </w:p>
    <w:p>
      <w:pPr>
        <w:adjustRightInd w:val="0"/>
        <w:snapToGrid w:val="0"/>
        <w:spacing w:line="560" w:lineRule="exact"/>
        <w:ind w:firstLine="664" w:firstLineChars="200"/>
        <w:rPr>
          <w:rFonts w:hint="eastAsia" w:ascii="TimesNewRoman" w:hAnsi="TimesNewRoman" w:cs="TimesNewRoman"/>
          <w:szCs w:val="32"/>
          <w:lang w:eastAsia="zh-CN"/>
        </w:rPr>
      </w:pPr>
      <w:r>
        <w:rPr>
          <w:rFonts w:ascii="TimesNewRoman" w:hAnsi="TimesNewRoman" w:cs="TimesNewRoman"/>
          <w:b/>
          <w:szCs w:val="32"/>
        </w:rPr>
        <w:t>4.社会保障和就业支出（类）</w:t>
      </w:r>
      <w:r>
        <w:rPr>
          <w:rFonts w:hint="eastAsia" w:ascii="TimesNewRoman" w:hAnsi="TimesNewRoman" w:cs="TimesNewRoman"/>
          <w:b/>
          <w:szCs w:val="32"/>
          <w:lang w:val="en" w:eastAsia="zh-CN"/>
        </w:rPr>
        <w:t>民政管理事务</w:t>
      </w:r>
      <w:r>
        <w:rPr>
          <w:rFonts w:ascii="TimesNewRoman" w:hAnsi="TimesNewRoman" w:cs="TimesNewRoman"/>
          <w:b/>
          <w:szCs w:val="32"/>
        </w:rPr>
        <w:t>（款）</w:t>
      </w:r>
      <w:r>
        <w:rPr>
          <w:rFonts w:hint="eastAsia" w:ascii="TimesNewRoman" w:hAnsi="TimesNewRoman" w:cs="TimesNewRoman"/>
          <w:b/>
          <w:szCs w:val="32"/>
          <w:lang w:eastAsia="zh-CN"/>
        </w:rPr>
        <w:t>其他民政管理事务支出</w:t>
      </w:r>
      <w:r>
        <w:rPr>
          <w:rFonts w:ascii="TimesNewRoman" w:hAnsi="TimesNewRoman" w:cs="TimesNewRoman"/>
          <w:b/>
          <w:szCs w:val="32"/>
        </w:rPr>
        <w:t>（项）</w:t>
      </w:r>
      <w:r>
        <w:rPr>
          <w:rFonts w:ascii="TimesNewRoman" w:hAnsi="TimesNewRoman" w:cs="TimesNewRoman"/>
          <w:szCs w:val="32"/>
          <w:lang w:val="en"/>
        </w:rPr>
        <w:t>2024</w:t>
      </w:r>
      <w:r>
        <w:rPr>
          <w:rFonts w:ascii="TimesNewRoman" w:hAnsi="TimesNewRoman" w:cs="TimesNewRoman"/>
          <w:szCs w:val="32"/>
        </w:rPr>
        <w:t>年预算</w:t>
      </w:r>
      <w:r>
        <w:rPr>
          <w:rFonts w:hint="eastAsia" w:ascii="TimesNewRoman" w:hAnsi="TimesNewRoman" w:cs="TimesNewRoman"/>
          <w:szCs w:val="32"/>
          <w:lang w:val="en-US" w:eastAsia="zh-CN"/>
        </w:rPr>
        <w:t>5</w:t>
      </w:r>
      <w:r>
        <w:rPr>
          <w:rFonts w:ascii="TimesNewRoman" w:hAnsi="TimesNewRoman" w:cs="TimesNewRoman"/>
          <w:szCs w:val="32"/>
        </w:rPr>
        <w:t>万元，</w:t>
      </w:r>
      <w:r>
        <w:rPr>
          <w:rFonts w:hint="eastAsia" w:ascii="TimesNewRoman" w:hAnsi="TimesNewRoman" w:cs="TimesNewRoman"/>
          <w:szCs w:val="32"/>
          <w:lang w:eastAsia="zh-CN"/>
        </w:rPr>
        <w:t>与</w:t>
      </w:r>
      <w:r>
        <w:rPr>
          <w:rFonts w:hint="eastAsia" w:ascii="TimesNewRoman" w:hAnsi="TimesNewRoman" w:cs="TimesNewRoman"/>
          <w:szCs w:val="32"/>
        </w:rPr>
        <w:t>2023</w:t>
      </w:r>
      <w:r>
        <w:rPr>
          <w:rFonts w:ascii="TimesNewRoman" w:hAnsi="TimesNewRoman" w:cs="TimesNewRoman"/>
          <w:szCs w:val="32"/>
        </w:rPr>
        <w:t>年预算</w:t>
      </w:r>
      <w:r>
        <w:rPr>
          <w:rFonts w:hint="eastAsia" w:ascii="TimesNewRoman" w:hAnsi="TimesNewRoman" w:cs="TimesNewRoman"/>
          <w:szCs w:val="32"/>
          <w:lang w:eastAsia="zh-CN"/>
        </w:rPr>
        <w:t>持平，主要是用于特困人员春节慰问支出。</w:t>
      </w:r>
    </w:p>
    <w:p>
      <w:pPr>
        <w:adjustRightInd w:val="0"/>
        <w:snapToGrid w:val="0"/>
        <w:spacing w:line="560" w:lineRule="exact"/>
        <w:ind w:firstLine="664" w:firstLineChars="200"/>
        <w:rPr>
          <w:rFonts w:hint="eastAsia"/>
          <w:lang w:eastAsia="zh-CN"/>
        </w:rPr>
      </w:pPr>
      <w:r>
        <w:rPr>
          <w:rFonts w:hint="eastAsia" w:ascii="TimesNewRoman" w:hAnsi="TimesNewRoman" w:cs="TimesNewRoman"/>
          <w:b/>
          <w:szCs w:val="32"/>
          <w:lang w:val="en-US" w:eastAsia="zh-CN"/>
        </w:rPr>
        <w:t>5</w:t>
      </w:r>
      <w:r>
        <w:rPr>
          <w:rFonts w:ascii="TimesNewRoman" w:hAnsi="TimesNewRoman" w:cs="TimesNewRoman"/>
          <w:b/>
          <w:szCs w:val="32"/>
        </w:rPr>
        <w:t>.社会保障和就业支出（类）</w:t>
      </w:r>
      <w:r>
        <w:rPr>
          <w:rFonts w:hint="eastAsia" w:ascii="TimesNewRoman" w:hAnsi="TimesNewRoman" w:cs="TimesNewRoman"/>
          <w:b/>
          <w:szCs w:val="32"/>
          <w:lang w:val="en" w:eastAsia="zh-CN"/>
        </w:rPr>
        <w:t>行政事业单位养老支出</w:t>
      </w:r>
      <w:r>
        <w:rPr>
          <w:rFonts w:ascii="TimesNewRoman" w:hAnsi="TimesNewRoman" w:cs="TimesNewRoman"/>
          <w:b/>
          <w:szCs w:val="32"/>
        </w:rPr>
        <w:t>（款）</w:t>
      </w:r>
      <w:r>
        <w:rPr>
          <w:rFonts w:hint="eastAsia" w:ascii="TimesNewRoman" w:hAnsi="TimesNewRoman" w:cs="TimesNewRoman"/>
          <w:b/>
          <w:szCs w:val="32"/>
          <w:lang w:eastAsia="zh-CN"/>
        </w:rPr>
        <w:t>行政单位离退休</w:t>
      </w:r>
      <w:r>
        <w:rPr>
          <w:rFonts w:ascii="TimesNewRoman" w:hAnsi="TimesNewRoman" w:cs="TimesNewRoman"/>
          <w:b/>
          <w:szCs w:val="32"/>
        </w:rPr>
        <w:t>（项）</w:t>
      </w:r>
      <w:r>
        <w:rPr>
          <w:rFonts w:ascii="TimesNewRoman" w:hAnsi="TimesNewRoman" w:cs="TimesNewRoman"/>
          <w:szCs w:val="32"/>
          <w:lang w:val="en"/>
        </w:rPr>
        <w:t>2024</w:t>
      </w:r>
      <w:r>
        <w:rPr>
          <w:rFonts w:ascii="TimesNewRoman" w:hAnsi="TimesNewRoman" w:cs="TimesNewRoman"/>
          <w:szCs w:val="32"/>
        </w:rPr>
        <w:t>年预算</w:t>
      </w:r>
      <w:r>
        <w:rPr>
          <w:rFonts w:hint="eastAsia" w:ascii="TimesNewRoman" w:hAnsi="TimesNewRoman" w:cs="TimesNewRoman"/>
          <w:szCs w:val="32"/>
          <w:lang w:val="en-US" w:eastAsia="zh-CN"/>
        </w:rPr>
        <w:t>1.85</w:t>
      </w:r>
      <w:r>
        <w:rPr>
          <w:rFonts w:ascii="TimesNewRoman" w:hAnsi="TimesNewRoman" w:cs="TimesNewRoman"/>
          <w:szCs w:val="32"/>
        </w:rPr>
        <w:t>万元，比</w:t>
      </w:r>
      <w:r>
        <w:rPr>
          <w:rFonts w:hint="eastAsia" w:ascii="TimesNewRoman" w:hAnsi="TimesNewRoman" w:cs="TimesNewRoman"/>
          <w:szCs w:val="32"/>
        </w:rPr>
        <w:t>2023</w:t>
      </w:r>
      <w:r>
        <w:rPr>
          <w:rFonts w:ascii="TimesNewRoman" w:hAnsi="TimesNewRoman" w:cs="TimesNewRoman"/>
          <w:szCs w:val="32"/>
        </w:rPr>
        <w:t>年预算增加</w:t>
      </w:r>
      <w:r>
        <w:rPr>
          <w:rFonts w:hint="eastAsia" w:ascii="TimesNewRoman" w:hAnsi="TimesNewRoman" w:cs="TimesNewRoman"/>
          <w:szCs w:val="32"/>
          <w:lang w:val="en-US" w:eastAsia="zh-CN"/>
        </w:rPr>
        <w:t>24</w:t>
      </w:r>
      <w:r>
        <w:rPr>
          <w:rFonts w:ascii="TimesNewRoman" w:hAnsi="TimesNewRoman" w:cs="TimesNewRoman"/>
          <w:szCs w:val="32"/>
        </w:rPr>
        <w:t>万元，增长</w:t>
      </w:r>
      <w:r>
        <w:rPr>
          <w:rFonts w:hint="eastAsia" w:ascii="TimesNewRoman" w:hAnsi="TimesNewRoman" w:cs="TimesNewRoman"/>
          <w:szCs w:val="32"/>
          <w:lang w:val="en-US" w:eastAsia="zh-CN"/>
        </w:rPr>
        <w:t>400</w:t>
      </w:r>
      <w:r>
        <w:rPr>
          <w:rFonts w:ascii="TimesNewRoman" w:hAnsi="TimesNewRoman" w:cs="TimesNewRoman"/>
          <w:szCs w:val="32"/>
        </w:rPr>
        <w:t>%，增长原因主要是</w:t>
      </w:r>
      <w:r>
        <w:rPr>
          <w:rFonts w:hint="eastAsia" w:ascii="仿宋_GB2312" w:hAnsi="仿宋"/>
          <w:sz w:val="32"/>
          <w:szCs w:val="32"/>
          <w:lang w:eastAsia="zh-CN"/>
        </w:rPr>
        <w:t>人员变动</w:t>
      </w:r>
      <w:r>
        <w:rPr>
          <w:rFonts w:ascii="TimesNewRoman" w:hAnsi="TimesNewRoman" w:cs="TimesNewRoman"/>
          <w:szCs w:val="32"/>
        </w:rPr>
        <w:t>。</w:t>
      </w:r>
    </w:p>
    <w:p>
      <w:pPr>
        <w:adjustRightInd w:val="0"/>
        <w:snapToGrid w:val="0"/>
        <w:spacing w:line="560" w:lineRule="exact"/>
        <w:ind w:firstLine="664" w:firstLineChars="200"/>
        <w:rPr>
          <w:rFonts w:ascii="TimesNewRoman" w:hAnsi="TimesNewRoman" w:cs="TimesNewRoman"/>
          <w:szCs w:val="32"/>
        </w:rPr>
      </w:pPr>
      <w:r>
        <w:rPr>
          <w:rFonts w:hint="eastAsia" w:ascii="TimesNewRoman" w:hAnsi="TimesNewRoman" w:cs="TimesNewRoman"/>
          <w:b/>
          <w:szCs w:val="32"/>
          <w:lang w:val="en-US" w:eastAsia="zh-CN"/>
        </w:rPr>
        <w:t>6</w:t>
      </w:r>
      <w:r>
        <w:rPr>
          <w:rFonts w:ascii="TimesNewRoman" w:hAnsi="TimesNewRoman" w:cs="TimesNewRoman"/>
          <w:b/>
          <w:szCs w:val="32"/>
        </w:rPr>
        <w:t>.社会保障和就业支出（类）</w:t>
      </w:r>
      <w:r>
        <w:rPr>
          <w:rFonts w:hint="eastAsia" w:ascii="TimesNewRoman" w:hAnsi="TimesNewRoman" w:cs="TimesNewRoman"/>
          <w:b/>
          <w:szCs w:val="32"/>
          <w:lang w:val="en" w:eastAsia="zh-CN"/>
        </w:rPr>
        <w:t>行政事业单位养老支出</w:t>
      </w:r>
      <w:r>
        <w:rPr>
          <w:rFonts w:ascii="TimesNewRoman" w:hAnsi="TimesNewRoman" w:cs="TimesNewRoman"/>
          <w:b/>
          <w:szCs w:val="32"/>
        </w:rPr>
        <w:t>（款）</w:t>
      </w:r>
      <w:r>
        <w:rPr>
          <w:rFonts w:hint="eastAsia" w:ascii="TimesNewRoman" w:hAnsi="TimesNewRoman" w:cs="TimesNewRoman"/>
          <w:b/>
          <w:szCs w:val="32"/>
          <w:lang w:eastAsia="zh-CN"/>
        </w:rPr>
        <w:t>机关事业单位基本养老保险缴费支出</w:t>
      </w:r>
      <w:r>
        <w:rPr>
          <w:rFonts w:ascii="TimesNewRoman" w:hAnsi="TimesNewRoman" w:cs="TimesNewRoman"/>
          <w:b/>
          <w:szCs w:val="32"/>
        </w:rPr>
        <w:t>（项）</w:t>
      </w:r>
      <w:r>
        <w:rPr>
          <w:rFonts w:ascii="TimesNewRoman" w:hAnsi="TimesNewRoman" w:cs="TimesNewRoman"/>
          <w:szCs w:val="32"/>
          <w:lang w:val="en"/>
        </w:rPr>
        <w:t>2024</w:t>
      </w:r>
      <w:r>
        <w:rPr>
          <w:rFonts w:ascii="TimesNewRoman" w:hAnsi="TimesNewRoman" w:cs="TimesNewRoman"/>
          <w:szCs w:val="32"/>
        </w:rPr>
        <w:t>年预算</w:t>
      </w:r>
      <w:r>
        <w:rPr>
          <w:rFonts w:hint="eastAsia" w:ascii="TimesNewRoman" w:hAnsi="TimesNewRoman" w:cs="TimesNewRoman"/>
          <w:szCs w:val="32"/>
          <w:lang w:val="en-US" w:eastAsia="zh-CN"/>
        </w:rPr>
        <w:t>32.33</w:t>
      </w:r>
      <w:r>
        <w:rPr>
          <w:rFonts w:ascii="TimesNewRoman" w:hAnsi="TimesNewRoman" w:cs="TimesNewRoman"/>
          <w:szCs w:val="32"/>
        </w:rPr>
        <w:t>万元，比</w:t>
      </w:r>
      <w:r>
        <w:rPr>
          <w:rFonts w:hint="eastAsia" w:ascii="TimesNewRoman" w:hAnsi="TimesNewRoman" w:cs="TimesNewRoman"/>
          <w:szCs w:val="32"/>
        </w:rPr>
        <w:t>2023</w:t>
      </w:r>
      <w:r>
        <w:rPr>
          <w:rFonts w:ascii="TimesNewRoman" w:hAnsi="TimesNewRoman" w:cs="TimesNewRoman"/>
          <w:szCs w:val="32"/>
        </w:rPr>
        <w:t>年预算</w:t>
      </w:r>
      <w:r>
        <w:rPr>
          <w:rFonts w:hint="eastAsia" w:ascii="TimesNewRoman" w:hAnsi="TimesNewRoman" w:cs="TimesNewRoman"/>
          <w:szCs w:val="32"/>
          <w:lang w:eastAsia="zh-CN"/>
        </w:rPr>
        <w:t>减少</w:t>
      </w:r>
      <w:r>
        <w:rPr>
          <w:rFonts w:hint="eastAsia" w:ascii="TimesNewRoman" w:hAnsi="TimesNewRoman" w:cs="TimesNewRoman"/>
          <w:szCs w:val="32"/>
          <w:lang w:val="en-US" w:eastAsia="zh-CN"/>
        </w:rPr>
        <w:t>0.18</w:t>
      </w:r>
      <w:r>
        <w:rPr>
          <w:rFonts w:ascii="TimesNewRoman" w:hAnsi="TimesNewRoman" w:cs="TimesNewRoman"/>
          <w:szCs w:val="32"/>
        </w:rPr>
        <w:t>万元，</w:t>
      </w:r>
      <w:r>
        <w:rPr>
          <w:rFonts w:hint="eastAsia" w:ascii="TimesNewRoman" w:hAnsi="TimesNewRoman" w:cs="TimesNewRoman"/>
          <w:szCs w:val="32"/>
          <w:lang w:eastAsia="zh-CN"/>
        </w:rPr>
        <w:t>下降</w:t>
      </w:r>
      <w:r>
        <w:rPr>
          <w:rFonts w:hint="eastAsia" w:ascii="TimesNewRoman" w:hAnsi="TimesNewRoman" w:cs="TimesNewRoman"/>
          <w:szCs w:val="32"/>
          <w:lang w:val="en-US" w:eastAsia="zh-CN"/>
        </w:rPr>
        <w:t>0.55</w:t>
      </w:r>
      <w:r>
        <w:rPr>
          <w:rFonts w:ascii="TimesNewRoman" w:hAnsi="TimesNewRoman" w:cs="TimesNewRoman"/>
          <w:szCs w:val="32"/>
        </w:rPr>
        <w:t>%，</w:t>
      </w:r>
      <w:r>
        <w:rPr>
          <w:rFonts w:hint="eastAsia" w:ascii="TimesNewRoman" w:hAnsi="TimesNewRoman" w:cs="TimesNewRoman"/>
          <w:szCs w:val="32"/>
          <w:lang w:eastAsia="zh-CN"/>
        </w:rPr>
        <w:t>下降</w:t>
      </w:r>
      <w:r>
        <w:rPr>
          <w:rFonts w:ascii="TimesNewRoman" w:hAnsi="TimesNewRoman" w:cs="TimesNewRoman"/>
          <w:szCs w:val="32"/>
        </w:rPr>
        <w:t>原因主要是</w:t>
      </w:r>
      <w:r>
        <w:rPr>
          <w:rFonts w:hint="eastAsia" w:ascii="仿宋_GB2312" w:hAnsi="仿宋"/>
          <w:sz w:val="32"/>
          <w:szCs w:val="32"/>
          <w:lang w:eastAsia="zh-CN"/>
        </w:rPr>
        <w:t>人员变动</w:t>
      </w:r>
      <w:r>
        <w:rPr>
          <w:rFonts w:ascii="TimesNewRoman" w:hAnsi="TimesNewRoman" w:cs="TimesNewRoman"/>
          <w:szCs w:val="32"/>
        </w:rPr>
        <w:t>。</w:t>
      </w:r>
    </w:p>
    <w:p>
      <w:pPr>
        <w:adjustRightInd w:val="0"/>
        <w:snapToGrid w:val="0"/>
        <w:spacing w:line="560" w:lineRule="exact"/>
        <w:ind w:firstLine="664" w:firstLineChars="200"/>
        <w:rPr>
          <w:rFonts w:ascii="TimesNewRoman" w:hAnsi="TimesNewRoman" w:cs="TimesNewRoman"/>
          <w:szCs w:val="32"/>
        </w:rPr>
      </w:pPr>
      <w:r>
        <w:rPr>
          <w:rFonts w:hint="eastAsia" w:ascii="TimesNewRoman" w:hAnsi="TimesNewRoman" w:cs="TimesNewRoman"/>
          <w:b/>
          <w:szCs w:val="32"/>
          <w:lang w:val="en-US" w:eastAsia="zh-CN"/>
        </w:rPr>
        <w:t>7</w:t>
      </w:r>
      <w:r>
        <w:rPr>
          <w:rFonts w:ascii="TimesNewRoman" w:hAnsi="TimesNewRoman" w:cs="TimesNewRoman"/>
          <w:b/>
          <w:szCs w:val="32"/>
        </w:rPr>
        <w:t>.社会保障和就业支出（类）</w:t>
      </w:r>
      <w:r>
        <w:rPr>
          <w:rFonts w:hint="eastAsia" w:ascii="TimesNewRoman" w:hAnsi="TimesNewRoman" w:cs="TimesNewRoman"/>
          <w:b/>
          <w:szCs w:val="32"/>
          <w:lang w:val="en" w:eastAsia="zh-CN"/>
        </w:rPr>
        <w:t>行政事业单位养老支出</w:t>
      </w:r>
      <w:r>
        <w:rPr>
          <w:rFonts w:ascii="TimesNewRoman" w:hAnsi="TimesNewRoman" w:cs="TimesNewRoman"/>
          <w:b/>
          <w:szCs w:val="32"/>
        </w:rPr>
        <w:t>（款）</w:t>
      </w:r>
      <w:r>
        <w:rPr>
          <w:rFonts w:hint="eastAsia" w:ascii="TimesNewRoman" w:hAnsi="TimesNewRoman" w:cs="TimesNewRoman"/>
          <w:b/>
          <w:szCs w:val="32"/>
          <w:lang w:eastAsia="zh-CN"/>
        </w:rPr>
        <w:t>机关事业单位职业年金缴费支出</w:t>
      </w:r>
      <w:r>
        <w:rPr>
          <w:rFonts w:ascii="TimesNewRoman" w:hAnsi="TimesNewRoman" w:cs="TimesNewRoman"/>
          <w:b/>
          <w:szCs w:val="32"/>
        </w:rPr>
        <w:t>（项）</w:t>
      </w:r>
      <w:r>
        <w:rPr>
          <w:rFonts w:ascii="TimesNewRoman" w:hAnsi="TimesNewRoman" w:cs="TimesNewRoman"/>
          <w:szCs w:val="32"/>
          <w:lang w:val="en"/>
        </w:rPr>
        <w:t>2024</w:t>
      </w:r>
      <w:r>
        <w:rPr>
          <w:rFonts w:ascii="TimesNewRoman" w:hAnsi="TimesNewRoman" w:cs="TimesNewRoman"/>
          <w:szCs w:val="32"/>
        </w:rPr>
        <w:t>年预算</w:t>
      </w:r>
      <w:r>
        <w:rPr>
          <w:rFonts w:hint="eastAsia" w:ascii="TimesNewRoman" w:hAnsi="TimesNewRoman" w:cs="TimesNewRoman"/>
          <w:szCs w:val="32"/>
          <w:lang w:val="en-US" w:eastAsia="zh-CN"/>
        </w:rPr>
        <w:t>16.17</w:t>
      </w:r>
      <w:r>
        <w:rPr>
          <w:rFonts w:ascii="TimesNewRoman" w:hAnsi="TimesNewRoman" w:cs="TimesNewRoman"/>
          <w:szCs w:val="32"/>
        </w:rPr>
        <w:t>万元，比</w:t>
      </w:r>
      <w:r>
        <w:rPr>
          <w:rFonts w:hint="eastAsia" w:ascii="TimesNewRoman" w:hAnsi="TimesNewRoman" w:cs="TimesNewRoman"/>
          <w:szCs w:val="32"/>
        </w:rPr>
        <w:t>2023</w:t>
      </w:r>
      <w:r>
        <w:rPr>
          <w:rFonts w:ascii="TimesNewRoman" w:hAnsi="TimesNewRoman" w:cs="TimesNewRoman"/>
          <w:szCs w:val="32"/>
        </w:rPr>
        <w:t>年预算</w:t>
      </w:r>
      <w:r>
        <w:rPr>
          <w:rFonts w:hint="eastAsia" w:ascii="TimesNewRoman" w:hAnsi="TimesNewRoman" w:cs="TimesNewRoman"/>
          <w:szCs w:val="32"/>
          <w:lang w:eastAsia="zh-CN"/>
        </w:rPr>
        <w:t>减少</w:t>
      </w:r>
      <w:r>
        <w:rPr>
          <w:rFonts w:hint="eastAsia" w:ascii="TimesNewRoman" w:hAnsi="TimesNewRoman" w:cs="TimesNewRoman"/>
          <w:szCs w:val="32"/>
          <w:lang w:val="en-US" w:eastAsia="zh-CN"/>
        </w:rPr>
        <w:t>0.08</w:t>
      </w:r>
      <w:r>
        <w:rPr>
          <w:rFonts w:ascii="TimesNewRoman" w:hAnsi="TimesNewRoman" w:cs="TimesNewRoman"/>
          <w:szCs w:val="32"/>
        </w:rPr>
        <w:t>万元，</w:t>
      </w:r>
      <w:r>
        <w:rPr>
          <w:rFonts w:hint="eastAsia" w:ascii="TimesNewRoman" w:hAnsi="TimesNewRoman" w:cs="TimesNewRoman"/>
          <w:szCs w:val="32"/>
          <w:lang w:eastAsia="zh-CN"/>
        </w:rPr>
        <w:t>下降</w:t>
      </w:r>
      <w:r>
        <w:rPr>
          <w:rFonts w:hint="eastAsia" w:ascii="TimesNewRoman" w:hAnsi="TimesNewRoman" w:cs="TimesNewRoman"/>
          <w:szCs w:val="32"/>
          <w:lang w:val="en-US" w:eastAsia="zh-CN"/>
        </w:rPr>
        <w:t>0.49</w:t>
      </w:r>
      <w:r>
        <w:rPr>
          <w:rFonts w:ascii="TimesNewRoman" w:hAnsi="TimesNewRoman" w:cs="TimesNewRoman"/>
          <w:szCs w:val="32"/>
        </w:rPr>
        <w:t>%，</w:t>
      </w:r>
      <w:r>
        <w:rPr>
          <w:rFonts w:hint="eastAsia" w:ascii="TimesNewRoman" w:hAnsi="TimesNewRoman" w:cs="TimesNewRoman"/>
          <w:szCs w:val="32"/>
          <w:lang w:eastAsia="zh-CN"/>
        </w:rPr>
        <w:t>下降</w:t>
      </w:r>
      <w:r>
        <w:rPr>
          <w:rFonts w:ascii="TimesNewRoman" w:hAnsi="TimesNewRoman" w:cs="TimesNewRoman"/>
          <w:szCs w:val="32"/>
        </w:rPr>
        <w:t>原因主要是</w:t>
      </w:r>
      <w:r>
        <w:rPr>
          <w:rFonts w:hint="eastAsia" w:ascii="仿宋_GB2312" w:hAnsi="仿宋"/>
          <w:sz w:val="32"/>
          <w:szCs w:val="32"/>
          <w:lang w:eastAsia="zh-CN"/>
        </w:rPr>
        <w:t>人员变动</w:t>
      </w:r>
      <w:r>
        <w:rPr>
          <w:rFonts w:ascii="TimesNewRoman" w:hAnsi="TimesNewRoman" w:cs="TimesNewRoman"/>
          <w:szCs w:val="32"/>
        </w:rPr>
        <w:t>。</w:t>
      </w:r>
    </w:p>
    <w:p>
      <w:pPr>
        <w:adjustRightInd w:val="0"/>
        <w:snapToGrid w:val="0"/>
        <w:spacing w:line="560" w:lineRule="exact"/>
        <w:ind w:firstLine="664" w:firstLineChars="200"/>
        <w:rPr>
          <w:rFonts w:ascii="TimesNewRoman" w:hAnsi="TimesNewRoman" w:cs="TimesNewRoman"/>
          <w:szCs w:val="32"/>
        </w:rPr>
      </w:pPr>
      <w:r>
        <w:rPr>
          <w:rFonts w:hint="eastAsia" w:ascii="TimesNewRoman" w:hAnsi="TimesNewRoman" w:cs="TimesNewRoman"/>
          <w:b/>
          <w:szCs w:val="32"/>
          <w:lang w:val="en-US" w:eastAsia="zh-CN"/>
        </w:rPr>
        <w:t>8</w:t>
      </w:r>
      <w:r>
        <w:rPr>
          <w:rFonts w:ascii="TimesNewRoman" w:hAnsi="TimesNewRoman" w:cs="TimesNewRoman"/>
          <w:b/>
          <w:szCs w:val="32"/>
        </w:rPr>
        <w:t>.社会保障和就业支出（类）</w:t>
      </w:r>
      <w:r>
        <w:rPr>
          <w:rFonts w:hint="eastAsia" w:ascii="TimesNewRoman" w:hAnsi="TimesNewRoman" w:cs="TimesNewRoman"/>
          <w:b/>
          <w:szCs w:val="32"/>
          <w:lang w:val="en" w:eastAsia="zh-CN"/>
        </w:rPr>
        <w:t>社会福利</w:t>
      </w:r>
      <w:r>
        <w:rPr>
          <w:rFonts w:ascii="TimesNewRoman" w:hAnsi="TimesNewRoman" w:cs="TimesNewRoman"/>
          <w:b/>
          <w:szCs w:val="32"/>
        </w:rPr>
        <w:t>（款）</w:t>
      </w:r>
      <w:r>
        <w:rPr>
          <w:rFonts w:hint="eastAsia" w:ascii="TimesNewRoman" w:hAnsi="TimesNewRoman" w:cs="TimesNewRoman"/>
          <w:b/>
          <w:szCs w:val="32"/>
          <w:lang w:eastAsia="zh-CN"/>
        </w:rPr>
        <w:t>儿童福利</w:t>
      </w:r>
      <w:r>
        <w:rPr>
          <w:rFonts w:ascii="TimesNewRoman" w:hAnsi="TimesNewRoman" w:cs="TimesNewRoman"/>
          <w:b/>
          <w:szCs w:val="32"/>
        </w:rPr>
        <w:t>（项）</w:t>
      </w:r>
      <w:r>
        <w:rPr>
          <w:rFonts w:ascii="TimesNewRoman" w:hAnsi="TimesNewRoman" w:cs="TimesNewRoman"/>
          <w:szCs w:val="32"/>
          <w:lang w:val="en"/>
        </w:rPr>
        <w:t>2024</w:t>
      </w:r>
      <w:r>
        <w:rPr>
          <w:rFonts w:ascii="TimesNewRoman" w:hAnsi="TimesNewRoman" w:cs="TimesNewRoman"/>
          <w:szCs w:val="32"/>
        </w:rPr>
        <w:t>年预算</w:t>
      </w:r>
      <w:r>
        <w:rPr>
          <w:rFonts w:hint="eastAsia" w:ascii="TimesNewRoman" w:hAnsi="TimesNewRoman" w:cs="TimesNewRoman"/>
          <w:szCs w:val="32"/>
          <w:lang w:val="en-US" w:eastAsia="zh-CN"/>
        </w:rPr>
        <w:t>5.6</w:t>
      </w:r>
      <w:r>
        <w:rPr>
          <w:rFonts w:ascii="TimesNewRoman" w:hAnsi="TimesNewRoman" w:cs="TimesNewRoman"/>
          <w:szCs w:val="32"/>
        </w:rPr>
        <w:t>万元，比</w:t>
      </w:r>
      <w:r>
        <w:rPr>
          <w:rFonts w:hint="eastAsia" w:ascii="TimesNewRoman" w:hAnsi="TimesNewRoman" w:cs="TimesNewRoman"/>
          <w:szCs w:val="32"/>
        </w:rPr>
        <w:t>2023</w:t>
      </w:r>
      <w:r>
        <w:rPr>
          <w:rFonts w:ascii="TimesNewRoman" w:hAnsi="TimesNewRoman" w:cs="TimesNewRoman"/>
          <w:szCs w:val="32"/>
        </w:rPr>
        <w:t>年预算</w:t>
      </w:r>
      <w:r>
        <w:rPr>
          <w:rFonts w:hint="eastAsia" w:ascii="TimesNewRoman" w:hAnsi="TimesNewRoman" w:cs="TimesNewRoman"/>
          <w:szCs w:val="32"/>
          <w:lang w:eastAsia="zh-CN"/>
        </w:rPr>
        <w:t>减少</w:t>
      </w:r>
      <w:r>
        <w:rPr>
          <w:rFonts w:hint="eastAsia" w:ascii="TimesNewRoman" w:hAnsi="TimesNewRoman" w:cs="TimesNewRoman"/>
          <w:szCs w:val="32"/>
          <w:lang w:val="en-US" w:eastAsia="zh-CN"/>
        </w:rPr>
        <w:t>5.4</w:t>
      </w:r>
      <w:r>
        <w:rPr>
          <w:rFonts w:ascii="TimesNewRoman" w:hAnsi="TimesNewRoman" w:cs="TimesNewRoman"/>
          <w:szCs w:val="32"/>
        </w:rPr>
        <w:t>万元，</w:t>
      </w:r>
      <w:r>
        <w:rPr>
          <w:rFonts w:hint="eastAsia" w:ascii="TimesNewRoman" w:hAnsi="TimesNewRoman" w:cs="TimesNewRoman"/>
          <w:szCs w:val="32"/>
          <w:lang w:eastAsia="zh-CN"/>
        </w:rPr>
        <w:t>下降</w:t>
      </w:r>
      <w:r>
        <w:rPr>
          <w:rFonts w:hint="eastAsia" w:ascii="TimesNewRoman" w:hAnsi="TimesNewRoman" w:cs="TimesNewRoman"/>
          <w:szCs w:val="32"/>
          <w:lang w:val="en-US" w:eastAsia="zh-CN"/>
        </w:rPr>
        <w:t>49.09</w:t>
      </w:r>
      <w:r>
        <w:rPr>
          <w:rFonts w:ascii="TimesNewRoman" w:hAnsi="TimesNewRoman" w:cs="TimesNewRoman"/>
          <w:szCs w:val="32"/>
        </w:rPr>
        <w:t>%，</w:t>
      </w:r>
      <w:r>
        <w:rPr>
          <w:rFonts w:hint="eastAsia" w:ascii="TimesNewRoman" w:hAnsi="TimesNewRoman" w:cs="TimesNewRoman"/>
          <w:szCs w:val="32"/>
          <w:lang w:eastAsia="zh-CN"/>
        </w:rPr>
        <w:t>下降</w:t>
      </w:r>
      <w:r>
        <w:rPr>
          <w:rFonts w:ascii="TimesNewRoman" w:hAnsi="TimesNewRoman" w:cs="TimesNewRoman"/>
          <w:szCs w:val="32"/>
        </w:rPr>
        <w:t>原因主要是</w:t>
      </w:r>
      <w:r>
        <w:rPr>
          <w:rFonts w:hint="eastAsia" w:ascii="仿宋_GB2312" w:hAnsi="仿宋"/>
          <w:sz w:val="32"/>
          <w:szCs w:val="32"/>
          <w:lang w:eastAsia="zh-CN"/>
        </w:rPr>
        <w:t>上级配套资金的增加</w:t>
      </w:r>
      <w:r>
        <w:rPr>
          <w:rFonts w:ascii="TimesNewRoman" w:hAnsi="TimesNewRoman" w:cs="TimesNewRoman"/>
          <w:szCs w:val="32"/>
        </w:rPr>
        <w:t>。</w:t>
      </w:r>
    </w:p>
    <w:p>
      <w:pPr>
        <w:adjustRightInd w:val="0"/>
        <w:snapToGrid w:val="0"/>
        <w:spacing w:line="560" w:lineRule="exact"/>
        <w:ind w:firstLine="664" w:firstLineChars="200"/>
        <w:rPr>
          <w:rFonts w:ascii="TimesNewRoman" w:hAnsi="TimesNewRoman" w:cs="TimesNewRoman"/>
          <w:szCs w:val="32"/>
        </w:rPr>
      </w:pPr>
      <w:r>
        <w:rPr>
          <w:rFonts w:hint="eastAsia" w:ascii="TimesNewRoman" w:hAnsi="TimesNewRoman" w:cs="TimesNewRoman"/>
          <w:b/>
          <w:szCs w:val="32"/>
          <w:lang w:val="en-US" w:eastAsia="zh-CN"/>
        </w:rPr>
        <w:t>9</w:t>
      </w:r>
      <w:r>
        <w:rPr>
          <w:rFonts w:ascii="TimesNewRoman" w:hAnsi="TimesNewRoman" w:cs="TimesNewRoman"/>
          <w:b/>
          <w:szCs w:val="32"/>
        </w:rPr>
        <w:t>.社会保障和就业支出（类）</w:t>
      </w:r>
      <w:r>
        <w:rPr>
          <w:rFonts w:hint="eastAsia" w:ascii="TimesNewRoman" w:hAnsi="TimesNewRoman" w:cs="TimesNewRoman"/>
          <w:b/>
          <w:szCs w:val="32"/>
          <w:lang w:val="en" w:eastAsia="zh-CN"/>
        </w:rPr>
        <w:t>社会福利</w:t>
      </w:r>
      <w:r>
        <w:rPr>
          <w:rFonts w:ascii="TimesNewRoman" w:hAnsi="TimesNewRoman" w:cs="TimesNewRoman"/>
          <w:b/>
          <w:szCs w:val="32"/>
        </w:rPr>
        <w:t>（款）</w:t>
      </w:r>
      <w:r>
        <w:rPr>
          <w:rFonts w:hint="eastAsia" w:ascii="TimesNewRoman" w:hAnsi="TimesNewRoman" w:cs="TimesNewRoman"/>
          <w:b/>
          <w:szCs w:val="32"/>
          <w:lang w:eastAsia="zh-CN"/>
        </w:rPr>
        <w:t>老年福利</w:t>
      </w:r>
      <w:r>
        <w:rPr>
          <w:rFonts w:ascii="TimesNewRoman" w:hAnsi="TimesNewRoman" w:cs="TimesNewRoman"/>
          <w:b/>
          <w:szCs w:val="32"/>
        </w:rPr>
        <w:t>（项）</w:t>
      </w:r>
      <w:r>
        <w:rPr>
          <w:rFonts w:ascii="TimesNewRoman" w:hAnsi="TimesNewRoman" w:cs="TimesNewRoman"/>
          <w:szCs w:val="32"/>
          <w:lang w:val="en"/>
        </w:rPr>
        <w:t>2024</w:t>
      </w:r>
      <w:r>
        <w:rPr>
          <w:rFonts w:ascii="TimesNewRoman" w:hAnsi="TimesNewRoman" w:cs="TimesNewRoman"/>
          <w:szCs w:val="32"/>
        </w:rPr>
        <w:t>年预算</w:t>
      </w:r>
      <w:r>
        <w:rPr>
          <w:rFonts w:hint="eastAsia" w:ascii="TimesNewRoman" w:hAnsi="TimesNewRoman" w:cs="TimesNewRoman"/>
          <w:szCs w:val="32"/>
          <w:lang w:val="en-US" w:eastAsia="zh-CN"/>
        </w:rPr>
        <w:t>46</w:t>
      </w:r>
      <w:r>
        <w:rPr>
          <w:rFonts w:ascii="TimesNewRoman" w:hAnsi="TimesNewRoman" w:cs="TimesNewRoman"/>
          <w:szCs w:val="32"/>
        </w:rPr>
        <w:t>万元，比</w:t>
      </w:r>
      <w:r>
        <w:rPr>
          <w:rFonts w:hint="eastAsia" w:ascii="TimesNewRoman" w:hAnsi="TimesNewRoman" w:cs="TimesNewRoman"/>
          <w:szCs w:val="32"/>
        </w:rPr>
        <w:t>2023</w:t>
      </w:r>
      <w:r>
        <w:rPr>
          <w:rFonts w:ascii="TimesNewRoman" w:hAnsi="TimesNewRoman" w:cs="TimesNewRoman"/>
          <w:szCs w:val="32"/>
        </w:rPr>
        <w:t>年预算</w:t>
      </w:r>
      <w:r>
        <w:rPr>
          <w:rFonts w:hint="eastAsia" w:ascii="TimesNewRoman" w:hAnsi="TimesNewRoman" w:cs="TimesNewRoman"/>
          <w:szCs w:val="32"/>
          <w:lang w:eastAsia="zh-CN"/>
        </w:rPr>
        <w:t>减少</w:t>
      </w:r>
      <w:r>
        <w:rPr>
          <w:rFonts w:hint="eastAsia" w:ascii="TimesNewRoman" w:hAnsi="TimesNewRoman" w:cs="TimesNewRoman"/>
          <w:szCs w:val="32"/>
          <w:lang w:val="en-US" w:eastAsia="zh-CN"/>
        </w:rPr>
        <w:t>9</w:t>
      </w:r>
      <w:r>
        <w:rPr>
          <w:rFonts w:ascii="TimesNewRoman" w:hAnsi="TimesNewRoman" w:cs="TimesNewRoman"/>
          <w:szCs w:val="32"/>
        </w:rPr>
        <w:t>万元，</w:t>
      </w:r>
      <w:r>
        <w:rPr>
          <w:rFonts w:hint="eastAsia" w:ascii="TimesNewRoman" w:hAnsi="TimesNewRoman" w:cs="TimesNewRoman"/>
          <w:szCs w:val="32"/>
          <w:lang w:eastAsia="zh-CN"/>
        </w:rPr>
        <w:t>下降</w:t>
      </w:r>
      <w:r>
        <w:rPr>
          <w:rFonts w:hint="eastAsia" w:ascii="TimesNewRoman" w:hAnsi="TimesNewRoman" w:cs="TimesNewRoman"/>
          <w:szCs w:val="32"/>
          <w:lang w:val="en-US" w:eastAsia="zh-CN"/>
        </w:rPr>
        <w:t>16.36</w:t>
      </w:r>
      <w:r>
        <w:rPr>
          <w:rFonts w:ascii="TimesNewRoman" w:hAnsi="TimesNewRoman" w:cs="TimesNewRoman"/>
          <w:szCs w:val="32"/>
        </w:rPr>
        <w:t>%，</w:t>
      </w:r>
      <w:r>
        <w:rPr>
          <w:rFonts w:hint="eastAsia" w:ascii="TimesNewRoman" w:hAnsi="TimesNewRoman" w:cs="TimesNewRoman"/>
          <w:szCs w:val="32"/>
          <w:lang w:eastAsia="zh-CN"/>
        </w:rPr>
        <w:t>下降</w:t>
      </w:r>
      <w:r>
        <w:rPr>
          <w:rFonts w:ascii="TimesNewRoman" w:hAnsi="TimesNewRoman" w:cs="TimesNewRoman"/>
          <w:szCs w:val="32"/>
        </w:rPr>
        <w:t>原因主要是</w:t>
      </w:r>
      <w:r>
        <w:rPr>
          <w:rFonts w:hint="eastAsia" w:ascii="仿宋_GB2312" w:hAnsi="仿宋"/>
          <w:sz w:val="32"/>
          <w:szCs w:val="32"/>
          <w:lang w:eastAsia="zh-CN"/>
        </w:rPr>
        <w:t>上级配套资金的增加</w:t>
      </w:r>
      <w:r>
        <w:rPr>
          <w:rFonts w:ascii="TimesNewRoman" w:hAnsi="TimesNewRoman" w:cs="TimesNewRoman"/>
          <w:szCs w:val="32"/>
        </w:rPr>
        <w:t>。</w:t>
      </w:r>
    </w:p>
    <w:p>
      <w:pPr>
        <w:adjustRightInd w:val="0"/>
        <w:snapToGrid w:val="0"/>
        <w:spacing w:line="560" w:lineRule="exact"/>
        <w:ind w:firstLine="664" w:firstLineChars="200"/>
        <w:rPr>
          <w:rFonts w:ascii="TimesNewRoman" w:hAnsi="TimesNewRoman" w:cs="TimesNewRoman"/>
          <w:szCs w:val="32"/>
        </w:rPr>
      </w:pPr>
      <w:r>
        <w:rPr>
          <w:rFonts w:hint="eastAsia" w:ascii="TimesNewRoman" w:hAnsi="TimesNewRoman" w:cs="TimesNewRoman"/>
          <w:b/>
          <w:szCs w:val="32"/>
          <w:lang w:val="en-US" w:eastAsia="zh-CN"/>
        </w:rPr>
        <w:t>10</w:t>
      </w:r>
      <w:r>
        <w:rPr>
          <w:rFonts w:ascii="TimesNewRoman" w:hAnsi="TimesNewRoman" w:cs="TimesNewRoman"/>
          <w:b/>
          <w:szCs w:val="32"/>
        </w:rPr>
        <w:t>.社会保障和就业支出（类）</w:t>
      </w:r>
      <w:r>
        <w:rPr>
          <w:rFonts w:hint="eastAsia" w:ascii="TimesNewRoman" w:hAnsi="TimesNewRoman" w:cs="TimesNewRoman"/>
          <w:b/>
          <w:szCs w:val="32"/>
          <w:lang w:val="en" w:eastAsia="zh-CN"/>
        </w:rPr>
        <w:t>社会福利</w:t>
      </w:r>
      <w:r>
        <w:rPr>
          <w:rFonts w:ascii="TimesNewRoman" w:hAnsi="TimesNewRoman" w:cs="TimesNewRoman"/>
          <w:b/>
          <w:szCs w:val="32"/>
        </w:rPr>
        <w:t>（款）</w:t>
      </w:r>
      <w:r>
        <w:rPr>
          <w:rFonts w:hint="eastAsia" w:ascii="TimesNewRoman" w:hAnsi="TimesNewRoman" w:cs="TimesNewRoman"/>
          <w:b/>
          <w:szCs w:val="32"/>
          <w:lang w:eastAsia="zh-CN"/>
        </w:rPr>
        <w:t>养老服务</w:t>
      </w:r>
      <w:r>
        <w:rPr>
          <w:rFonts w:ascii="TimesNewRoman" w:hAnsi="TimesNewRoman" w:cs="TimesNewRoman"/>
          <w:b/>
          <w:szCs w:val="32"/>
        </w:rPr>
        <w:t>（项）</w:t>
      </w:r>
      <w:r>
        <w:rPr>
          <w:rFonts w:ascii="TimesNewRoman" w:hAnsi="TimesNewRoman" w:cs="TimesNewRoman"/>
          <w:szCs w:val="32"/>
          <w:lang w:val="en"/>
        </w:rPr>
        <w:t>2024</w:t>
      </w:r>
      <w:r>
        <w:rPr>
          <w:rFonts w:ascii="TimesNewRoman" w:hAnsi="TimesNewRoman" w:cs="TimesNewRoman"/>
          <w:szCs w:val="32"/>
        </w:rPr>
        <w:t>年预算</w:t>
      </w:r>
      <w:r>
        <w:rPr>
          <w:rFonts w:hint="eastAsia" w:ascii="TimesNewRoman" w:hAnsi="TimesNewRoman" w:cs="TimesNewRoman"/>
          <w:szCs w:val="32"/>
          <w:lang w:val="en-US" w:eastAsia="zh-CN"/>
        </w:rPr>
        <w:t>140</w:t>
      </w:r>
      <w:r>
        <w:rPr>
          <w:rFonts w:ascii="TimesNewRoman" w:hAnsi="TimesNewRoman" w:cs="TimesNewRoman"/>
          <w:szCs w:val="32"/>
        </w:rPr>
        <w:t>万元，比</w:t>
      </w:r>
      <w:r>
        <w:rPr>
          <w:rFonts w:hint="eastAsia" w:ascii="TimesNewRoman" w:hAnsi="TimesNewRoman" w:cs="TimesNewRoman"/>
          <w:szCs w:val="32"/>
        </w:rPr>
        <w:t>2023</w:t>
      </w:r>
      <w:r>
        <w:rPr>
          <w:rFonts w:ascii="TimesNewRoman" w:hAnsi="TimesNewRoman" w:cs="TimesNewRoman"/>
          <w:szCs w:val="32"/>
        </w:rPr>
        <w:t>年预算</w:t>
      </w:r>
      <w:r>
        <w:rPr>
          <w:rFonts w:hint="eastAsia" w:ascii="TimesNewRoman" w:hAnsi="TimesNewRoman" w:cs="TimesNewRoman"/>
          <w:szCs w:val="32"/>
          <w:lang w:eastAsia="zh-CN"/>
        </w:rPr>
        <w:t>增加</w:t>
      </w:r>
      <w:r>
        <w:rPr>
          <w:rFonts w:hint="eastAsia" w:ascii="TimesNewRoman" w:hAnsi="TimesNewRoman" w:cs="TimesNewRoman"/>
          <w:szCs w:val="32"/>
          <w:lang w:val="en-US" w:eastAsia="zh-CN"/>
        </w:rPr>
        <w:t>60</w:t>
      </w:r>
      <w:r>
        <w:rPr>
          <w:rFonts w:ascii="TimesNewRoman" w:hAnsi="TimesNewRoman" w:cs="TimesNewRoman"/>
          <w:szCs w:val="32"/>
        </w:rPr>
        <w:t>万元，</w:t>
      </w:r>
      <w:r>
        <w:rPr>
          <w:rFonts w:hint="eastAsia" w:ascii="TimesNewRoman" w:hAnsi="TimesNewRoman" w:cs="TimesNewRoman"/>
          <w:szCs w:val="32"/>
          <w:lang w:eastAsia="zh-CN"/>
        </w:rPr>
        <w:t>增长</w:t>
      </w:r>
      <w:r>
        <w:rPr>
          <w:rFonts w:hint="eastAsia" w:ascii="TimesNewRoman" w:hAnsi="TimesNewRoman" w:cs="TimesNewRoman"/>
          <w:szCs w:val="32"/>
          <w:lang w:val="en-US" w:eastAsia="zh-CN"/>
        </w:rPr>
        <w:t>75</w:t>
      </w:r>
      <w:r>
        <w:rPr>
          <w:rFonts w:ascii="TimesNewRoman" w:hAnsi="TimesNewRoman" w:cs="TimesNewRoman"/>
          <w:szCs w:val="32"/>
        </w:rPr>
        <w:t>%，</w:t>
      </w:r>
      <w:r>
        <w:rPr>
          <w:rFonts w:hint="eastAsia" w:ascii="TimesNewRoman" w:hAnsi="TimesNewRoman" w:cs="TimesNewRoman"/>
          <w:szCs w:val="32"/>
          <w:lang w:eastAsia="zh-CN"/>
        </w:rPr>
        <w:t>增长</w:t>
      </w:r>
      <w:r>
        <w:rPr>
          <w:rFonts w:ascii="TimesNewRoman" w:hAnsi="TimesNewRoman" w:cs="TimesNewRoman"/>
          <w:szCs w:val="32"/>
        </w:rPr>
        <w:t>原因主要是</w:t>
      </w:r>
      <w:r>
        <w:rPr>
          <w:rFonts w:hint="eastAsia" w:ascii="仿宋_GB2312" w:hAnsi="仿宋"/>
          <w:sz w:val="32"/>
          <w:szCs w:val="32"/>
          <w:lang w:eastAsia="zh-CN"/>
        </w:rPr>
        <w:t>暖民心行动老年助餐项目</w:t>
      </w:r>
      <w:r>
        <w:rPr>
          <w:rFonts w:ascii="TimesNewRoman" w:hAnsi="TimesNewRoman" w:cs="TimesNewRoman"/>
          <w:szCs w:val="32"/>
        </w:rPr>
        <w:t>。</w:t>
      </w:r>
    </w:p>
    <w:p>
      <w:pPr>
        <w:adjustRightInd w:val="0"/>
        <w:snapToGrid w:val="0"/>
        <w:spacing w:line="560" w:lineRule="exact"/>
        <w:ind w:firstLine="664" w:firstLineChars="200"/>
        <w:rPr>
          <w:rFonts w:hint="eastAsia" w:ascii="TimesNewRoman" w:hAnsi="TimesNewRoman" w:cs="TimesNewRoman"/>
          <w:szCs w:val="32"/>
          <w:lang w:val="en-US" w:eastAsia="zh-CN"/>
        </w:rPr>
      </w:pPr>
      <w:r>
        <w:rPr>
          <w:rFonts w:hint="eastAsia" w:ascii="TimesNewRoman" w:hAnsi="TimesNewRoman" w:cs="TimesNewRoman"/>
          <w:b/>
          <w:szCs w:val="32"/>
          <w:lang w:val="en-US" w:eastAsia="zh-CN"/>
        </w:rPr>
        <w:t>11</w:t>
      </w:r>
      <w:r>
        <w:rPr>
          <w:rFonts w:ascii="TimesNewRoman" w:hAnsi="TimesNewRoman" w:cs="TimesNewRoman"/>
          <w:b/>
          <w:szCs w:val="32"/>
        </w:rPr>
        <w:t>.社会保障和就业支出（类）</w:t>
      </w:r>
      <w:r>
        <w:rPr>
          <w:rFonts w:hint="eastAsia" w:ascii="TimesNewRoman" w:hAnsi="TimesNewRoman" w:cs="TimesNewRoman"/>
          <w:b/>
          <w:szCs w:val="32"/>
          <w:lang w:val="en" w:eastAsia="zh-CN"/>
        </w:rPr>
        <w:t>社会福利</w:t>
      </w:r>
      <w:r>
        <w:rPr>
          <w:rFonts w:ascii="TimesNewRoman" w:hAnsi="TimesNewRoman" w:cs="TimesNewRoman"/>
          <w:b/>
          <w:szCs w:val="32"/>
        </w:rPr>
        <w:t>（款）</w:t>
      </w:r>
      <w:r>
        <w:rPr>
          <w:rFonts w:hint="eastAsia" w:ascii="TimesNewRoman" w:hAnsi="TimesNewRoman" w:cs="TimesNewRoman"/>
          <w:b/>
          <w:szCs w:val="32"/>
          <w:lang w:eastAsia="zh-CN"/>
        </w:rPr>
        <w:t>其他社会福利支出</w:t>
      </w:r>
      <w:r>
        <w:rPr>
          <w:rFonts w:ascii="TimesNewRoman" w:hAnsi="TimesNewRoman" w:cs="TimesNewRoman"/>
          <w:b/>
          <w:szCs w:val="32"/>
        </w:rPr>
        <w:t>（项）</w:t>
      </w:r>
      <w:r>
        <w:rPr>
          <w:rFonts w:ascii="TimesNewRoman" w:hAnsi="TimesNewRoman" w:cs="TimesNewRoman"/>
          <w:szCs w:val="32"/>
          <w:lang w:val="en"/>
        </w:rPr>
        <w:t>2024</w:t>
      </w:r>
      <w:r>
        <w:rPr>
          <w:rFonts w:ascii="TimesNewRoman" w:hAnsi="TimesNewRoman" w:cs="TimesNewRoman"/>
          <w:szCs w:val="32"/>
        </w:rPr>
        <w:t>年预算</w:t>
      </w:r>
      <w:r>
        <w:rPr>
          <w:rFonts w:hint="eastAsia" w:ascii="TimesNewRoman" w:hAnsi="TimesNewRoman" w:cs="TimesNewRoman"/>
          <w:szCs w:val="32"/>
          <w:lang w:val="en-US" w:eastAsia="zh-CN"/>
        </w:rPr>
        <w:t>13</w:t>
      </w:r>
      <w:r>
        <w:rPr>
          <w:rFonts w:ascii="TimesNewRoman" w:hAnsi="TimesNewRoman" w:cs="TimesNewRoman"/>
          <w:szCs w:val="32"/>
        </w:rPr>
        <w:t>万元，比</w:t>
      </w:r>
      <w:r>
        <w:rPr>
          <w:rFonts w:hint="eastAsia" w:ascii="TimesNewRoman" w:hAnsi="TimesNewRoman" w:cs="TimesNewRoman"/>
          <w:szCs w:val="32"/>
        </w:rPr>
        <w:t>2023</w:t>
      </w:r>
      <w:r>
        <w:rPr>
          <w:rFonts w:ascii="TimesNewRoman" w:hAnsi="TimesNewRoman" w:cs="TimesNewRoman"/>
          <w:szCs w:val="32"/>
        </w:rPr>
        <w:t>年预算</w:t>
      </w:r>
      <w:r>
        <w:rPr>
          <w:rFonts w:hint="eastAsia" w:ascii="TimesNewRoman" w:hAnsi="TimesNewRoman" w:cs="TimesNewRoman"/>
          <w:szCs w:val="32"/>
          <w:lang w:eastAsia="zh-CN"/>
        </w:rPr>
        <w:t>增加</w:t>
      </w:r>
      <w:r>
        <w:rPr>
          <w:rFonts w:hint="eastAsia" w:ascii="TimesNewRoman" w:hAnsi="TimesNewRoman" w:cs="TimesNewRoman"/>
          <w:szCs w:val="32"/>
          <w:lang w:val="en-US" w:eastAsia="zh-CN"/>
        </w:rPr>
        <w:t>9</w:t>
      </w:r>
      <w:r>
        <w:rPr>
          <w:rFonts w:ascii="TimesNewRoman" w:hAnsi="TimesNewRoman" w:cs="TimesNewRoman"/>
          <w:szCs w:val="32"/>
        </w:rPr>
        <w:t>万元，</w:t>
      </w:r>
      <w:r>
        <w:rPr>
          <w:rFonts w:hint="eastAsia" w:ascii="TimesNewRoman" w:hAnsi="TimesNewRoman" w:cs="TimesNewRoman"/>
          <w:szCs w:val="32"/>
          <w:lang w:eastAsia="zh-CN"/>
        </w:rPr>
        <w:t>增长</w:t>
      </w:r>
      <w:r>
        <w:rPr>
          <w:rFonts w:hint="eastAsia" w:ascii="TimesNewRoman" w:hAnsi="TimesNewRoman" w:cs="TimesNewRoman"/>
          <w:szCs w:val="32"/>
          <w:lang w:val="en-US" w:eastAsia="zh-CN"/>
        </w:rPr>
        <w:t>225</w:t>
      </w:r>
      <w:r>
        <w:rPr>
          <w:rFonts w:ascii="TimesNewRoman" w:hAnsi="TimesNewRoman" w:cs="TimesNewRoman"/>
          <w:szCs w:val="32"/>
        </w:rPr>
        <w:t>%，</w:t>
      </w:r>
      <w:r>
        <w:rPr>
          <w:rFonts w:hint="eastAsia" w:ascii="TimesNewRoman" w:hAnsi="TimesNewRoman" w:cs="TimesNewRoman"/>
          <w:szCs w:val="32"/>
          <w:lang w:eastAsia="zh-CN"/>
        </w:rPr>
        <w:t>增长</w:t>
      </w:r>
      <w:r>
        <w:rPr>
          <w:rFonts w:ascii="TimesNewRoman" w:hAnsi="TimesNewRoman" w:cs="TimesNewRoman"/>
          <w:szCs w:val="32"/>
        </w:rPr>
        <w:t>原因主要是</w:t>
      </w:r>
      <w:r>
        <w:rPr>
          <w:rFonts w:hint="eastAsia" w:ascii="TimesNewRoman" w:hAnsi="TimesNewRoman" w:cs="TimesNewRoman"/>
          <w:szCs w:val="32"/>
          <w:lang w:val="en-US" w:eastAsia="zh-CN"/>
        </w:rPr>
        <w:t>艾滋病人生活救助人员增加区级预算。</w:t>
      </w:r>
    </w:p>
    <w:p>
      <w:pPr>
        <w:adjustRightInd w:val="0"/>
        <w:snapToGrid w:val="0"/>
        <w:spacing w:line="560" w:lineRule="exact"/>
        <w:ind w:firstLine="664" w:firstLineChars="200"/>
        <w:rPr>
          <w:rFonts w:ascii="TimesNewRoman" w:hAnsi="TimesNewRoman" w:cs="TimesNewRoman"/>
          <w:szCs w:val="32"/>
        </w:rPr>
      </w:pPr>
      <w:r>
        <w:rPr>
          <w:rFonts w:hint="eastAsia" w:ascii="TimesNewRoman" w:hAnsi="TimesNewRoman" w:cs="TimesNewRoman"/>
          <w:b/>
          <w:szCs w:val="32"/>
          <w:lang w:val="en-US" w:eastAsia="zh-CN"/>
        </w:rPr>
        <w:t>12</w:t>
      </w:r>
      <w:r>
        <w:rPr>
          <w:rFonts w:ascii="TimesNewRoman" w:hAnsi="TimesNewRoman" w:cs="TimesNewRoman"/>
          <w:b/>
          <w:szCs w:val="32"/>
        </w:rPr>
        <w:t>.社会保障和就业支出（类）</w:t>
      </w:r>
      <w:r>
        <w:rPr>
          <w:rFonts w:hint="eastAsia" w:ascii="TimesNewRoman" w:hAnsi="TimesNewRoman" w:cs="TimesNewRoman"/>
          <w:b/>
          <w:szCs w:val="32"/>
          <w:lang w:eastAsia="zh-CN"/>
        </w:rPr>
        <w:t>残疾人事业</w:t>
      </w:r>
      <w:r>
        <w:rPr>
          <w:rFonts w:ascii="TimesNewRoman" w:hAnsi="TimesNewRoman" w:cs="TimesNewRoman"/>
          <w:b/>
          <w:szCs w:val="32"/>
        </w:rPr>
        <w:t>（款）</w:t>
      </w:r>
      <w:r>
        <w:rPr>
          <w:rFonts w:hint="eastAsia" w:ascii="TimesNewRoman" w:hAnsi="TimesNewRoman" w:cs="TimesNewRoman"/>
          <w:b/>
          <w:szCs w:val="32"/>
          <w:lang w:eastAsia="zh-CN"/>
        </w:rPr>
        <w:t>残疾人生活和护理补贴</w:t>
      </w:r>
      <w:r>
        <w:rPr>
          <w:rFonts w:ascii="TimesNewRoman" w:hAnsi="TimesNewRoman" w:cs="TimesNewRoman"/>
          <w:b/>
          <w:szCs w:val="32"/>
        </w:rPr>
        <w:t>（项）</w:t>
      </w:r>
      <w:r>
        <w:rPr>
          <w:rFonts w:ascii="TimesNewRoman" w:hAnsi="TimesNewRoman" w:cs="TimesNewRoman"/>
          <w:szCs w:val="32"/>
          <w:lang w:val="en"/>
        </w:rPr>
        <w:t>2024</w:t>
      </w:r>
      <w:r>
        <w:rPr>
          <w:rFonts w:ascii="TimesNewRoman" w:hAnsi="TimesNewRoman" w:cs="TimesNewRoman"/>
          <w:szCs w:val="32"/>
        </w:rPr>
        <w:t>年预算</w:t>
      </w:r>
      <w:r>
        <w:rPr>
          <w:rFonts w:hint="eastAsia" w:ascii="TimesNewRoman" w:hAnsi="TimesNewRoman" w:cs="TimesNewRoman"/>
          <w:szCs w:val="32"/>
          <w:lang w:val="en-US" w:eastAsia="zh-CN"/>
        </w:rPr>
        <w:t>396</w:t>
      </w:r>
      <w:r>
        <w:rPr>
          <w:rFonts w:ascii="TimesNewRoman" w:hAnsi="TimesNewRoman" w:cs="TimesNewRoman"/>
          <w:szCs w:val="32"/>
        </w:rPr>
        <w:t>万元，比</w:t>
      </w:r>
      <w:r>
        <w:rPr>
          <w:rFonts w:hint="eastAsia" w:ascii="TimesNewRoman" w:hAnsi="TimesNewRoman" w:cs="TimesNewRoman"/>
          <w:szCs w:val="32"/>
        </w:rPr>
        <w:t>2023</w:t>
      </w:r>
      <w:r>
        <w:rPr>
          <w:rFonts w:ascii="TimesNewRoman" w:hAnsi="TimesNewRoman" w:cs="TimesNewRoman"/>
          <w:szCs w:val="32"/>
        </w:rPr>
        <w:t>年预算</w:t>
      </w:r>
      <w:r>
        <w:rPr>
          <w:rFonts w:hint="eastAsia" w:ascii="TimesNewRoman" w:hAnsi="TimesNewRoman" w:cs="TimesNewRoman"/>
          <w:szCs w:val="32"/>
          <w:lang w:eastAsia="zh-CN"/>
        </w:rPr>
        <w:t>增加</w:t>
      </w:r>
      <w:r>
        <w:rPr>
          <w:rFonts w:hint="eastAsia" w:ascii="TimesNewRoman" w:hAnsi="TimesNewRoman" w:cs="TimesNewRoman"/>
          <w:szCs w:val="32"/>
          <w:lang w:val="en-US" w:eastAsia="zh-CN"/>
        </w:rPr>
        <w:t>357</w:t>
      </w:r>
      <w:r>
        <w:rPr>
          <w:rFonts w:ascii="TimesNewRoman" w:hAnsi="TimesNewRoman" w:cs="TimesNewRoman"/>
          <w:szCs w:val="32"/>
        </w:rPr>
        <w:t>万元，</w:t>
      </w:r>
      <w:r>
        <w:rPr>
          <w:rFonts w:hint="eastAsia" w:ascii="TimesNewRoman" w:hAnsi="TimesNewRoman" w:cs="TimesNewRoman"/>
          <w:szCs w:val="32"/>
          <w:lang w:eastAsia="zh-CN"/>
        </w:rPr>
        <w:t>增长</w:t>
      </w:r>
      <w:r>
        <w:rPr>
          <w:rFonts w:hint="eastAsia" w:ascii="TimesNewRoman" w:hAnsi="TimesNewRoman" w:cs="TimesNewRoman"/>
          <w:szCs w:val="32"/>
          <w:lang w:val="en-US" w:eastAsia="zh-CN"/>
        </w:rPr>
        <w:t>75</w:t>
      </w:r>
      <w:r>
        <w:rPr>
          <w:rFonts w:ascii="TimesNewRoman" w:hAnsi="TimesNewRoman" w:cs="TimesNewRoman"/>
          <w:szCs w:val="32"/>
        </w:rPr>
        <w:t>%，</w:t>
      </w:r>
      <w:r>
        <w:rPr>
          <w:rFonts w:hint="eastAsia" w:ascii="TimesNewRoman" w:hAnsi="TimesNewRoman" w:cs="TimesNewRoman"/>
          <w:szCs w:val="32"/>
          <w:lang w:eastAsia="zh-CN"/>
        </w:rPr>
        <w:t>增长</w:t>
      </w:r>
      <w:r>
        <w:rPr>
          <w:rFonts w:ascii="TimesNewRoman" w:hAnsi="TimesNewRoman" w:cs="TimesNewRoman"/>
          <w:szCs w:val="32"/>
        </w:rPr>
        <w:t>原因主要是</w:t>
      </w:r>
      <w:r>
        <w:rPr>
          <w:rFonts w:hint="eastAsia" w:ascii="仿宋_GB2312" w:hAnsi="仿宋"/>
          <w:sz w:val="32"/>
          <w:szCs w:val="32"/>
          <w:lang w:eastAsia="zh-CN"/>
        </w:rPr>
        <w:t>暖民心行动老年助餐项目</w:t>
      </w:r>
      <w:r>
        <w:rPr>
          <w:rFonts w:ascii="TimesNewRoman" w:hAnsi="TimesNewRoman" w:cs="TimesNewRoman"/>
          <w:szCs w:val="32"/>
        </w:rPr>
        <w:t>。</w:t>
      </w:r>
    </w:p>
    <w:p>
      <w:pPr>
        <w:adjustRightInd w:val="0"/>
        <w:snapToGrid w:val="0"/>
        <w:spacing w:line="560" w:lineRule="exact"/>
        <w:ind w:firstLine="664" w:firstLineChars="200"/>
        <w:rPr>
          <w:rFonts w:hint="eastAsia" w:ascii="仿宋_GB2312" w:hAnsi="仿宋"/>
          <w:b w:val="0"/>
          <w:bCs w:val="0"/>
          <w:color w:val="auto"/>
          <w:sz w:val="32"/>
          <w:szCs w:val="32"/>
          <w:lang w:val="en-US" w:eastAsia="zh-CN"/>
        </w:rPr>
      </w:pPr>
      <w:r>
        <w:rPr>
          <w:rFonts w:hint="eastAsia" w:ascii="TimesNewRoman" w:hAnsi="TimesNewRoman" w:cs="TimesNewRoman"/>
          <w:b/>
          <w:szCs w:val="32"/>
          <w:lang w:val="en-US" w:eastAsia="zh-CN"/>
        </w:rPr>
        <w:t>13</w:t>
      </w:r>
      <w:r>
        <w:rPr>
          <w:rFonts w:ascii="TimesNewRoman" w:hAnsi="TimesNewRoman" w:cs="TimesNewRoman"/>
          <w:b/>
          <w:szCs w:val="32"/>
        </w:rPr>
        <w:t>.社会保障和就业支出（类）</w:t>
      </w:r>
      <w:r>
        <w:rPr>
          <w:rFonts w:hint="eastAsia" w:ascii="TimesNewRoman" w:hAnsi="TimesNewRoman" w:cs="TimesNewRoman"/>
          <w:b/>
          <w:szCs w:val="32"/>
          <w:lang w:eastAsia="zh-CN"/>
        </w:rPr>
        <w:t>最低生活保障</w:t>
      </w:r>
      <w:r>
        <w:rPr>
          <w:rFonts w:ascii="TimesNewRoman" w:hAnsi="TimesNewRoman" w:cs="TimesNewRoman"/>
          <w:b/>
          <w:szCs w:val="32"/>
        </w:rPr>
        <w:t>（款）</w:t>
      </w:r>
      <w:r>
        <w:rPr>
          <w:rFonts w:hint="eastAsia" w:ascii="TimesNewRoman" w:hAnsi="TimesNewRoman" w:cs="TimesNewRoman"/>
          <w:b/>
          <w:szCs w:val="32"/>
          <w:lang w:eastAsia="zh-CN"/>
        </w:rPr>
        <w:t>城市最低生活保障金支出</w:t>
      </w:r>
      <w:r>
        <w:rPr>
          <w:rFonts w:ascii="TimesNewRoman" w:hAnsi="TimesNewRoman" w:cs="TimesNewRoman"/>
          <w:b/>
          <w:szCs w:val="32"/>
        </w:rPr>
        <w:t>（项）</w:t>
      </w:r>
      <w:r>
        <w:rPr>
          <w:rFonts w:ascii="TimesNewRoman" w:hAnsi="TimesNewRoman" w:cs="TimesNewRoman"/>
          <w:szCs w:val="32"/>
          <w:lang w:val="en"/>
        </w:rPr>
        <w:t>2024</w:t>
      </w:r>
      <w:r>
        <w:rPr>
          <w:rFonts w:ascii="TimesNewRoman" w:hAnsi="TimesNewRoman" w:cs="TimesNewRoman"/>
          <w:szCs w:val="32"/>
        </w:rPr>
        <w:t>年预算</w:t>
      </w:r>
      <w:r>
        <w:rPr>
          <w:rFonts w:hint="eastAsia" w:ascii="TimesNewRoman" w:hAnsi="TimesNewRoman" w:cs="TimesNewRoman"/>
          <w:szCs w:val="32"/>
          <w:lang w:val="en-US" w:eastAsia="zh-CN"/>
        </w:rPr>
        <w:t>338</w:t>
      </w:r>
      <w:r>
        <w:rPr>
          <w:rFonts w:ascii="TimesNewRoman" w:hAnsi="TimesNewRoman" w:cs="TimesNewRoman"/>
          <w:szCs w:val="32"/>
        </w:rPr>
        <w:t>万元，比</w:t>
      </w:r>
      <w:r>
        <w:rPr>
          <w:rFonts w:hint="eastAsia" w:ascii="TimesNewRoman" w:hAnsi="TimesNewRoman" w:cs="TimesNewRoman"/>
          <w:szCs w:val="32"/>
        </w:rPr>
        <w:t>2023</w:t>
      </w:r>
      <w:r>
        <w:rPr>
          <w:rFonts w:ascii="TimesNewRoman" w:hAnsi="TimesNewRoman" w:cs="TimesNewRoman"/>
          <w:szCs w:val="32"/>
        </w:rPr>
        <w:t>年预算</w:t>
      </w:r>
      <w:r>
        <w:rPr>
          <w:rFonts w:hint="eastAsia" w:ascii="TimesNewRoman" w:hAnsi="TimesNewRoman" w:cs="TimesNewRoman"/>
          <w:szCs w:val="32"/>
          <w:lang w:eastAsia="zh-CN"/>
        </w:rPr>
        <w:t>增加</w:t>
      </w:r>
      <w:r>
        <w:rPr>
          <w:rFonts w:hint="eastAsia" w:ascii="TimesNewRoman" w:hAnsi="TimesNewRoman" w:cs="TimesNewRoman"/>
          <w:szCs w:val="32"/>
          <w:lang w:val="en-US" w:eastAsia="zh-CN"/>
        </w:rPr>
        <w:t>6</w:t>
      </w:r>
      <w:r>
        <w:rPr>
          <w:rFonts w:ascii="TimesNewRoman" w:hAnsi="TimesNewRoman" w:cs="TimesNewRoman"/>
          <w:szCs w:val="32"/>
        </w:rPr>
        <w:t>万元，</w:t>
      </w:r>
      <w:r>
        <w:rPr>
          <w:rFonts w:hint="eastAsia" w:ascii="TimesNewRoman" w:hAnsi="TimesNewRoman" w:cs="TimesNewRoman"/>
          <w:szCs w:val="32"/>
          <w:lang w:eastAsia="zh-CN"/>
        </w:rPr>
        <w:t>增长</w:t>
      </w:r>
      <w:r>
        <w:rPr>
          <w:rFonts w:hint="eastAsia" w:ascii="TimesNewRoman" w:hAnsi="TimesNewRoman" w:cs="TimesNewRoman"/>
          <w:szCs w:val="32"/>
          <w:lang w:val="en-US" w:eastAsia="zh-CN"/>
        </w:rPr>
        <w:t>1.81</w:t>
      </w:r>
      <w:r>
        <w:rPr>
          <w:rFonts w:ascii="TimesNewRoman" w:hAnsi="TimesNewRoman" w:cs="TimesNewRoman"/>
          <w:szCs w:val="32"/>
        </w:rPr>
        <w:t>%，</w:t>
      </w:r>
      <w:r>
        <w:rPr>
          <w:rFonts w:hint="eastAsia" w:ascii="TimesNewRoman" w:hAnsi="TimesNewRoman" w:cs="TimesNewRoman"/>
          <w:szCs w:val="32"/>
          <w:lang w:eastAsia="zh-CN"/>
        </w:rPr>
        <w:t>增长</w:t>
      </w:r>
      <w:r>
        <w:rPr>
          <w:rFonts w:ascii="TimesNewRoman" w:hAnsi="TimesNewRoman" w:cs="TimesNewRoman"/>
          <w:szCs w:val="32"/>
        </w:rPr>
        <w:t>原因主要是</w:t>
      </w:r>
      <w:r>
        <w:rPr>
          <w:rFonts w:hint="eastAsia" w:ascii="仿宋_GB2312" w:hAnsi="仿宋" w:eastAsia="仿宋_GB2312"/>
          <w:b w:val="0"/>
          <w:bCs w:val="0"/>
          <w:color w:val="auto"/>
          <w:sz w:val="32"/>
          <w:szCs w:val="32"/>
          <w:lang w:val="en-US" w:eastAsia="zh-CN"/>
        </w:rPr>
        <w:t>城市低保金人数变动</w:t>
      </w:r>
      <w:r>
        <w:rPr>
          <w:rFonts w:hint="eastAsia" w:ascii="仿宋_GB2312" w:hAnsi="仿宋"/>
          <w:b w:val="0"/>
          <w:bCs w:val="0"/>
          <w:color w:val="auto"/>
          <w:sz w:val="32"/>
          <w:szCs w:val="32"/>
          <w:lang w:val="en-US" w:eastAsia="zh-CN"/>
        </w:rPr>
        <w:t>。</w:t>
      </w:r>
    </w:p>
    <w:p>
      <w:pPr>
        <w:adjustRightInd w:val="0"/>
        <w:snapToGrid w:val="0"/>
        <w:spacing w:line="560" w:lineRule="exact"/>
        <w:ind w:firstLine="664" w:firstLineChars="200"/>
        <w:rPr>
          <w:rFonts w:hint="eastAsia" w:ascii="仿宋_GB2312" w:hAnsi="仿宋"/>
          <w:b w:val="0"/>
          <w:bCs w:val="0"/>
          <w:color w:val="auto"/>
          <w:sz w:val="32"/>
          <w:szCs w:val="32"/>
          <w:lang w:val="en-US" w:eastAsia="zh-CN"/>
        </w:rPr>
      </w:pPr>
      <w:r>
        <w:rPr>
          <w:rFonts w:hint="eastAsia" w:ascii="TimesNewRoman" w:hAnsi="TimesNewRoman" w:cs="TimesNewRoman"/>
          <w:b/>
          <w:szCs w:val="32"/>
          <w:lang w:val="en-US" w:eastAsia="zh-CN"/>
        </w:rPr>
        <w:t>14</w:t>
      </w:r>
      <w:r>
        <w:rPr>
          <w:rFonts w:ascii="TimesNewRoman" w:hAnsi="TimesNewRoman" w:cs="TimesNewRoman"/>
          <w:b/>
          <w:szCs w:val="32"/>
        </w:rPr>
        <w:t>.社会保障和就业支出（类）</w:t>
      </w:r>
      <w:r>
        <w:rPr>
          <w:rFonts w:hint="eastAsia" w:ascii="TimesNewRoman" w:hAnsi="TimesNewRoman" w:cs="TimesNewRoman"/>
          <w:b/>
          <w:szCs w:val="32"/>
          <w:lang w:eastAsia="zh-CN"/>
        </w:rPr>
        <w:t>最低生活保障</w:t>
      </w:r>
      <w:r>
        <w:rPr>
          <w:rFonts w:ascii="TimesNewRoman" w:hAnsi="TimesNewRoman" w:cs="TimesNewRoman"/>
          <w:b/>
          <w:szCs w:val="32"/>
        </w:rPr>
        <w:t>（款）</w:t>
      </w:r>
      <w:r>
        <w:rPr>
          <w:rFonts w:hint="eastAsia" w:ascii="TimesNewRoman" w:hAnsi="TimesNewRoman" w:cs="TimesNewRoman"/>
          <w:b/>
          <w:szCs w:val="32"/>
          <w:lang w:eastAsia="zh-CN"/>
        </w:rPr>
        <w:t>农村最低生活保障金支出</w:t>
      </w:r>
      <w:r>
        <w:rPr>
          <w:rFonts w:ascii="TimesNewRoman" w:hAnsi="TimesNewRoman" w:cs="TimesNewRoman"/>
          <w:b/>
          <w:szCs w:val="32"/>
        </w:rPr>
        <w:t>（项）</w:t>
      </w:r>
      <w:r>
        <w:rPr>
          <w:rFonts w:ascii="TimesNewRoman" w:hAnsi="TimesNewRoman" w:cs="TimesNewRoman"/>
          <w:szCs w:val="32"/>
          <w:lang w:val="en"/>
        </w:rPr>
        <w:t>2024</w:t>
      </w:r>
      <w:r>
        <w:rPr>
          <w:rFonts w:ascii="TimesNewRoman" w:hAnsi="TimesNewRoman" w:cs="TimesNewRoman"/>
          <w:szCs w:val="32"/>
        </w:rPr>
        <w:t>年预算</w:t>
      </w:r>
      <w:r>
        <w:rPr>
          <w:rFonts w:hint="eastAsia" w:ascii="TimesNewRoman" w:hAnsi="TimesNewRoman" w:cs="TimesNewRoman"/>
          <w:szCs w:val="32"/>
          <w:lang w:val="en-US" w:eastAsia="zh-CN"/>
        </w:rPr>
        <w:t>109</w:t>
      </w:r>
      <w:r>
        <w:rPr>
          <w:rFonts w:ascii="TimesNewRoman" w:hAnsi="TimesNewRoman" w:cs="TimesNewRoman"/>
          <w:szCs w:val="32"/>
        </w:rPr>
        <w:t>万元，比</w:t>
      </w:r>
      <w:r>
        <w:rPr>
          <w:rFonts w:hint="eastAsia" w:ascii="TimesNewRoman" w:hAnsi="TimesNewRoman" w:cs="TimesNewRoman"/>
          <w:szCs w:val="32"/>
        </w:rPr>
        <w:t>2023</w:t>
      </w:r>
      <w:r>
        <w:rPr>
          <w:rFonts w:ascii="TimesNewRoman" w:hAnsi="TimesNewRoman" w:cs="TimesNewRoman"/>
          <w:szCs w:val="32"/>
        </w:rPr>
        <w:t>年预算</w:t>
      </w:r>
      <w:r>
        <w:rPr>
          <w:rFonts w:hint="eastAsia" w:ascii="TimesNewRoman" w:hAnsi="TimesNewRoman" w:cs="TimesNewRoman"/>
          <w:szCs w:val="32"/>
          <w:lang w:eastAsia="zh-CN"/>
        </w:rPr>
        <w:t>增加</w:t>
      </w:r>
      <w:r>
        <w:rPr>
          <w:rFonts w:hint="eastAsia" w:ascii="TimesNewRoman" w:hAnsi="TimesNewRoman" w:cs="TimesNewRoman"/>
          <w:szCs w:val="32"/>
          <w:lang w:val="en-US" w:eastAsia="zh-CN"/>
        </w:rPr>
        <w:t>18</w:t>
      </w:r>
      <w:r>
        <w:rPr>
          <w:rFonts w:ascii="TimesNewRoman" w:hAnsi="TimesNewRoman" w:cs="TimesNewRoman"/>
          <w:szCs w:val="32"/>
        </w:rPr>
        <w:t>万元，</w:t>
      </w:r>
      <w:r>
        <w:rPr>
          <w:rFonts w:hint="eastAsia" w:ascii="TimesNewRoman" w:hAnsi="TimesNewRoman" w:cs="TimesNewRoman"/>
          <w:szCs w:val="32"/>
          <w:lang w:eastAsia="zh-CN"/>
        </w:rPr>
        <w:t>增长</w:t>
      </w:r>
      <w:r>
        <w:rPr>
          <w:rFonts w:hint="eastAsia" w:ascii="TimesNewRoman" w:hAnsi="TimesNewRoman" w:cs="TimesNewRoman"/>
          <w:szCs w:val="32"/>
          <w:lang w:val="en-US" w:eastAsia="zh-CN"/>
        </w:rPr>
        <w:t>19.78</w:t>
      </w:r>
      <w:r>
        <w:rPr>
          <w:rFonts w:ascii="TimesNewRoman" w:hAnsi="TimesNewRoman" w:cs="TimesNewRoman"/>
          <w:szCs w:val="32"/>
        </w:rPr>
        <w:t>%，</w:t>
      </w:r>
      <w:r>
        <w:rPr>
          <w:rFonts w:hint="eastAsia" w:ascii="TimesNewRoman" w:hAnsi="TimesNewRoman" w:cs="TimesNewRoman"/>
          <w:szCs w:val="32"/>
          <w:lang w:eastAsia="zh-CN"/>
        </w:rPr>
        <w:t>增长</w:t>
      </w:r>
      <w:r>
        <w:rPr>
          <w:rFonts w:ascii="TimesNewRoman" w:hAnsi="TimesNewRoman" w:cs="TimesNewRoman"/>
          <w:szCs w:val="32"/>
        </w:rPr>
        <w:t>原因主要是</w:t>
      </w:r>
      <w:r>
        <w:rPr>
          <w:rFonts w:hint="eastAsia" w:ascii="仿宋_GB2312" w:hAnsi="仿宋"/>
          <w:b w:val="0"/>
          <w:bCs w:val="0"/>
          <w:color w:val="auto"/>
          <w:sz w:val="32"/>
          <w:szCs w:val="32"/>
          <w:lang w:val="en-US" w:eastAsia="zh-CN"/>
        </w:rPr>
        <w:t>农村</w:t>
      </w:r>
      <w:r>
        <w:rPr>
          <w:rFonts w:hint="eastAsia" w:ascii="仿宋_GB2312" w:hAnsi="仿宋" w:eastAsia="仿宋_GB2312"/>
          <w:b w:val="0"/>
          <w:bCs w:val="0"/>
          <w:color w:val="auto"/>
          <w:sz w:val="32"/>
          <w:szCs w:val="32"/>
          <w:lang w:val="en-US" w:eastAsia="zh-CN"/>
        </w:rPr>
        <w:t>低保金人数变动</w:t>
      </w:r>
      <w:r>
        <w:rPr>
          <w:rFonts w:hint="eastAsia" w:ascii="仿宋_GB2312" w:hAnsi="仿宋"/>
          <w:b w:val="0"/>
          <w:bCs w:val="0"/>
          <w:color w:val="auto"/>
          <w:sz w:val="32"/>
          <w:szCs w:val="32"/>
          <w:lang w:val="en-US" w:eastAsia="zh-CN"/>
        </w:rPr>
        <w:t>。</w:t>
      </w:r>
    </w:p>
    <w:p>
      <w:pPr>
        <w:adjustRightInd w:val="0"/>
        <w:snapToGrid w:val="0"/>
        <w:spacing w:line="560" w:lineRule="exact"/>
        <w:ind w:firstLine="664" w:firstLineChars="200"/>
        <w:rPr>
          <w:rFonts w:hint="eastAsia" w:ascii="仿宋_GB2312" w:hAnsi="仿宋" w:eastAsia="仿宋_GB2312"/>
          <w:b w:val="0"/>
          <w:bCs w:val="0"/>
          <w:color w:val="auto"/>
          <w:sz w:val="32"/>
          <w:szCs w:val="32"/>
          <w:lang w:val="en-US" w:eastAsia="zh-CN"/>
        </w:rPr>
      </w:pPr>
      <w:r>
        <w:rPr>
          <w:rFonts w:hint="eastAsia" w:ascii="TimesNewRoman" w:hAnsi="TimesNewRoman" w:cs="TimesNewRoman"/>
          <w:b/>
          <w:szCs w:val="32"/>
          <w:lang w:val="en-US" w:eastAsia="zh-CN"/>
        </w:rPr>
        <w:t>15</w:t>
      </w:r>
      <w:r>
        <w:rPr>
          <w:rFonts w:ascii="TimesNewRoman" w:hAnsi="TimesNewRoman" w:cs="TimesNewRoman"/>
          <w:b/>
          <w:szCs w:val="32"/>
        </w:rPr>
        <w:t>.社会保障和就业支出（类）</w:t>
      </w:r>
      <w:r>
        <w:rPr>
          <w:rFonts w:hint="eastAsia" w:ascii="TimesNewRoman" w:hAnsi="TimesNewRoman" w:cs="TimesNewRoman"/>
          <w:b/>
          <w:szCs w:val="32"/>
          <w:lang w:eastAsia="zh-CN"/>
        </w:rPr>
        <w:t>临时救助</w:t>
      </w:r>
      <w:r>
        <w:rPr>
          <w:rFonts w:ascii="TimesNewRoman" w:hAnsi="TimesNewRoman" w:cs="TimesNewRoman"/>
          <w:b/>
          <w:szCs w:val="32"/>
        </w:rPr>
        <w:t>（款）</w:t>
      </w:r>
      <w:r>
        <w:rPr>
          <w:rFonts w:hint="eastAsia" w:ascii="TimesNewRoman" w:hAnsi="TimesNewRoman" w:cs="TimesNewRoman"/>
          <w:b/>
          <w:szCs w:val="32"/>
          <w:lang w:eastAsia="zh-CN"/>
        </w:rPr>
        <w:t>临时救助支出</w:t>
      </w:r>
      <w:r>
        <w:rPr>
          <w:rFonts w:ascii="TimesNewRoman" w:hAnsi="TimesNewRoman" w:cs="TimesNewRoman"/>
          <w:b/>
          <w:szCs w:val="32"/>
        </w:rPr>
        <w:t>（项）</w:t>
      </w:r>
      <w:r>
        <w:rPr>
          <w:rFonts w:ascii="TimesNewRoman" w:hAnsi="TimesNewRoman" w:cs="TimesNewRoman"/>
          <w:szCs w:val="32"/>
          <w:lang w:val="en"/>
        </w:rPr>
        <w:t>2024</w:t>
      </w:r>
      <w:r>
        <w:rPr>
          <w:rFonts w:ascii="TimesNewRoman" w:hAnsi="TimesNewRoman" w:cs="TimesNewRoman"/>
          <w:szCs w:val="32"/>
        </w:rPr>
        <w:t>年预算</w:t>
      </w:r>
      <w:r>
        <w:rPr>
          <w:rFonts w:hint="eastAsia" w:ascii="TimesNewRoman" w:hAnsi="TimesNewRoman" w:cs="TimesNewRoman"/>
          <w:szCs w:val="32"/>
          <w:lang w:val="en-US" w:eastAsia="zh-CN"/>
        </w:rPr>
        <w:t>5</w:t>
      </w:r>
      <w:r>
        <w:rPr>
          <w:rFonts w:ascii="TimesNewRoman" w:hAnsi="TimesNewRoman" w:cs="TimesNewRoman"/>
          <w:szCs w:val="32"/>
        </w:rPr>
        <w:t>万元，</w:t>
      </w:r>
      <w:r>
        <w:rPr>
          <w:rFonts w:hint="eastAsia" w:ascii="仿宋_GB2312" w:hAnsi="仿宋" w:eastAsia="仿宋_GB2312"/>
          <w:sz w:val="32"/>
          <w:szCs w:val="32"/>
          <w:lang w:eastAsia="zh-CN"/>
        </w:rPr>
        <w:t>与</w:t>
      </w:r>
      <w:r>
        <w:rPr>
          <w:rFonts w:hint="eastAsia" w:ascii="TimesNewRoman" w:hAnsi="TimesNewRoman" w:cs="TimesNewRoman"/>
          <w:szCs w:val="32"/>
          <w:lang w:eastAsia="zh-CN"/>
        </w:rPr>
        <w:t>202</w:t>
      </w:r>
      <w:r>
        <w:rPr>
          <w:rFonts w:hint="eastAsia" w:ascii="TimesNewRoman" w:hAnsi="TimesNewRoman" w:cs="TimesNewRoman"/>
          <w:szCs w:val="32"/>
          <w:lang w:val="en-US" w:eastAsia="zh-CN"/>
        </w:rPr>
        <w:t>3</w:t>
      </w:r>
      <w:r>
        <w:rPr>
          <w:rFonts w:hint="eastAsia" w:ascii="仿宋_GB2312" w:hAnsi="仿宋" w:eastAsia="仿宋_GB2312"/>
          <w:sz w:val="32"/>
          <w:szCs w:val="32"/>
        </w:rPr>
        <w:t>年预算</w:t>
      </w:r>
      <w:r>
        <w:rPr>
          <w:rFonts w:hint="eastAsia" w:ascii="仿宋_GB2312" w:hAnsi="仿宋" w:eastAsia="仿宋_GB2312"/>
          <w:sz w:val="32"/>
          <w:szCs w:val="32"/>
          <w:lang w:eastAsia="zh-CN"/>
        </w:rPr>
        <w:t>持平</w:t>
      </w:r>
      <w:r>
        <w:rPr>
          <w:rFonts w:hint="eastAsia" w:ascii="仿宋_GB2312" w:hAnsi="仿宋" w:eastAsia="仿宋_GB2312"/>
          <w:sz w:val="32"/>
          <w:szCs w:val="32"/>
        </w:rPr>
        <w:t>，主要是</w:t>
      </w:r>
      <w:r>
        <w:rPr>
          <w:rFonts w:hint="eastAsia" w:ascii="仿宋_GB2312" w:hAnsi="仿宋" w:eastAsia="仿宋_GB2312"/>
          <w:sz w:val="32"/>
          <w:szCs w:val="32"/>
          <w:lang w:eastAsia="zh-CN"/>
        </w:rPr>
        <w:t>用于临时救助困难人群支出</w:t>
      </w:r>
      <w:r>
        <w:rPr>
          <w:rFonts w:hint="eastAsia" w:ascii="仿宋_GB2312" w:hAnsi="仿宋" w:eastAsia="仿宋_GB2312"/>
          <w:b w:val="0"/>
          <w:bCs w:val="0"/>
          <w:color w:val="auto"/>
          <w:sz w:val="32"/>
          <w:szCs w:val="32"/>
          <w:lang w:val="en-US" w:eastAsia="zh-CN"/>
        </w:rPr>
        <w:t>。</w:t>
      </w:r>
    </w:p>
    <w:p>
      <w:pPr>
        <w:adjustRightInd w:val="0"/>
        <w:snapToGrid w:val="0"/>
        <w:spacing w:line="560" w:lineRule="exact"/>
        <w:ind w:firstLine="664" w:firstLineChars="200"/>
        <w:rPr>
          <w:rFonts w:hint="eastAsia" w:ascii="仿宋_GB2312" w:hAnsi="仿宋"/>
          <w:b w:val="0"/>
          <w:bCs w:val="0"/>
          <w:color w:val="auto"/>
          <w:sz w:val="32"/>
          <w:szCs w:val="32"/>
          <w:lang w:val="en-US" w:eastAsia="zh-CN"/>
        </w:rPr>
      </w:pPr>
      <w:r>
        <w:rPr>
          <w:rFonts w:hint="eastAsia" w:ascii="TimesNewRoman" w:hAnsi="TimesNewRoman" w:cs="TimesNewRoman"/>
          <w:b/>
          <w:szCs w:val="32"/>
          <w:lang w:val="en-US" w:eastAsia="zh-CN"/>
        </w:rPr>
        <w:t>16</w:t>
      </w:r>
      <w:r>
        <w:rPr>
          <w:rFonts w:ascii="TimesNewRoman" w:hAnsi="TimesNewRoman" w:cs="TimesNewRoman"/>
          <w:b/>
          <w:szCs w:val="32"/>
        </w:rPr>
        <w:t>.社会保障和就业支出（类）</w:t>
      </w:r>
      <w:r>
        <w:rPr>
          <w:rFonts w:hint="eastAsia" w:ascii="TimesNewRoman" w:hAnsi="TimesNewRoman" w:cs="TimesNewRoman"/>
          <w:b/>
          <w:szCs w:val="32"/>
          <w:lang w:eastAsia="zh-CN"/>
        </w:rPr>
        <w:t>临时救助</w:t>
      </w:r>
      <w:r>
        <w:rPr>
          <w:rFonts w:ascii="TimesNewRoman" w:hAnsi="TimesNewRoman" w:cs="TimesNewRoman"/>
          <w:b/>
          <w:szCs w:val="32"/>
        </w:rPr>
        <w:t>（款）</w:t>
      </w:r>
      <w:r>
        <w:rPr>
          <w:rFonts w:hint="eastAsia" w:ascii="TimesNewRoman" w:hAnsi="TimesNewRoman" w:cs="TimesNewRoman"/>
          <w:b/>
          <w:szCs w:val="32"/>
          <w:lang w:eastAsia="zh-CN"/>
        </w:rPr>
        <w:t>流浪乞讨人员救助支出</w:t>
      </w:r>
      <w:r>
        <w:rPr>
          <w:rFonts w:ascii="TimesNewRoman" w:hAnsi="TimesNewRoman" w:cs="TimesNewRoman"/>
          <w:b/>
          <w:szCs w:val="32"/>
        </w:rPr>
        <w:t>（项）</w:t>
      </w:r>
      <w:r>
        <w:rPr>
          <w:rFonts w:ascii="TimesNewRoman" w:hAnsi="TimesNewRoman" w:cs="TimesNewRoman"/>
          <w:szCs w:val="32"/>
          <w:lang w:val="en"/>
        </w:rPr>
        <w:t>2024</w:t>
      </w:r>
      <w:r>
        <w:rPr>
          <w:rFonts w:ascii="TimesNewRoman" w:hAnsi="TimesNewRoman" w:cs="TimesNewRoman"/>
          <w:szCs w:val="32"/>
        </w:rPr>
        <w:t>年预算</w:t>
      </w:r>
      <w:r>
        <w:rPr>
          <w:rFonts w:hint="eastAsia" w:ascii="TimesNewRoman" w:hAnsi="TimesNewRoman" w:cs="TimesNewRoman"/>
          <w:szCs w:val="32"/>
          <w:lang w:val="en-US" w:eastAsia="zh-CN"/>
        </w:rPr>
        <w:t>8</w:t>
      </w:r>
      <w:r>
        <w:rPr>
          <w:rFonts w:ascii="TimesNewRoman" w:hAnsi="TimesNewRoman" w:cs="TimesNewRoman"/>
          <w:szCs w:val="32"/>
        </w:rPr>
        <w:t>万元，比</w:t>
      </w:r>
      <w:r>
        <w:rPr>
          <w:rFonts w:hint="eastAsia" w:ascii="TimesNewRoman" w:hAnsi="TimesNewRoman" w:cs="TimesNewRoman"/>
          <w:szCs w:val="32"/>
        </w:rPr>
        <w:t>2023</w:t>
      </w:r>
      <w:r>
        <w:rPr>
          <w:rFonts w:ascii="TimesNewRoman" w:hAnsi="TimesNewRoman" w:cs="TimesNewRoman"/>
          <w:szCs w:val="32"/>
        </w:rPr>
        <w:t>年预算</w:t>
      </w:r>
      <w:r>
        <w:rPr>
          <w:rFonts w:hint="eastAsia" w:ascii="TimesNewRoman" w:hAnsi="TimesNewRoman" w:cs="TimesNewRoman"/>
          <w:szCs w:val="32"/>
          <w:lang w:eastAsia="zh-CN"/>
        </w:rPr>
        <w:t>增加</w:t>
      </w:r>
      <w:r>
        <w:rPr>
          <w:rFonts w:hint="eastAsia" w:ascii="TimesNewRoman" w:hAnsi="TimesNewRoman" w:cs="TimesNewRoman"/>
          <w:szCs w:val="32"/>
          <w:lang w:val="en-US" w:eastAsia="zh-CN"/>
        </w:rPr>
        <w:t>6</w:t>
      </w:r>
      <w:r>
        <w:rPr>
          <w:rFonts w:ascii="TimesNewRoman" w:hAnsi="TimesNewRoman" w:cs="TimesNewRoman"/>
          <w:szCs w:val="32"/>
        </w:rPr>
        <w:t>万元，</w:t>
      </w:r>
      <w:r>
        <w:rPr>
          <w:rFonts w:hint="eastAsia" w:ascii="TimesNewRoman" w:hAnsi="TimesNewRoman" w:cs="TimesNewRoman"/>
          <w:szCs w:val="32"/>
          <w:lang w:eastAsia="zh-CN"/>
        </w:rPr>
        <w:t>增长</w:t>
      </w:r>
      <w:r>
        <w:rPr>
          <w:rFonts w:hint="eastAsia" w:ascii="TimesNewRoman" w:hAnsi="TimesNewRoman" w:cs="TimesNewRoman"/>
          <w:szCs w:val="32"/>
          <w:lang w:val="en-US" w:eastAsia="zh-CN"/>
        </w:rPr>
        <w:t>300</w:t>
      </w:r>
      <w:r>
        <w:rPr>
          <w:rFonts w:ascii="TimesNewRoman" w:hAnsi="TimesNewRoman" w:cs="TimesNewRoman"/>
          <w:szCs w:val="32"/>
        </w:rPr>
        <w:t>%，</w:t>
      </w:r>
      <w:r>
        <w:rPr>
          <w:rFonts w:hint="eastAsia" w:ascii="TimesNewRoman" w:hAnsi="TimesNewRoman" w:cs="TimesNewRoman"/>
          <w:szCs w:val="32"/>
          <w:lang w:eastAsia="zh-CN"/>
        </w:rPr>
        <w:t>增长</w:t>
      </w:r>
      <w:r>
        <w:rPr>
          <w:rFonts w:ascii="TimesNewRoman" w:hAnsi="TimesNewRoman" w:cs="TimesNewRoman"/>
          <w:szCs w:val="32"/>
        </w:rPr>
        <w:t>原因主要是</w:t>
      </w:r>
      <w:r>
        <w:rPr>
          <w:rFonts w:hint="eastAsia" w:ascii="仿宋_GB2312" w:hAnsi="仿宋"/>
          <w:b w:val="0"/>
          <w:bCs w:val="0"/>
          <w:color w:val="auto"/>
          <w:sz w:val="32"/>
          <w:szCs w:val="32"/>
          <w:lang w:val="en-US" w:eastAsia="zh-CN"/>
        </w:rPr>
        <w:t>流浪乞讨资金需下拨至各街道。</w:t>
      </w:r>
    </w:p>
    <w:p>
      <w:pPr>
        <w:adjustRightInd w:val="0"/>
        <w:snapToGrid w:val="0"/>
        <w:spacing w:line="560" w:lineRule="exact"/>
        <w:ind w:firstLine="664" w:firstLineChars="200"/>
        <w:rPr>
          <w:rFonts w:hint="eastAsia" w:ascii="仿宋_GB2312" w:hAnsi="仿宋"/>
          <w:b w:val="0"/>
          <w:bCs w:val="0"/>
          <w:color w:val="auto"/>
          <w:sz w:val="32"/>
          <w:szCs w:val="32"/>
          <w:lang w:val="en-US" w:eastAsia="zh-CN"/>
        </w:rPr>
      </w:pPr>
      <w:r>
        <w:rPr>
          <w:rFonts w:hint="eastAsia" w:ascii="TimesNewRoman" w:hAnsi="TimesNewRoman" w:cs="TimesNewRoman"/>
          <w:b/>
          <w:szCs w:val="32"/>
          <w:lang w:val="en-US" w:eastAsia="zh-CN"/>
        </w:rPr>
        <w:t>17</w:t>
      </w:r>
      <w:r>
        <w:rPr>
          <w:rFonts w:ascii="TimesNewRoman" w:hAnsi="TimesNewRoman" w:cs="TimesNewRoman"/>
          <w:b/>
          <w:szCs w:val="32"/>
        </w:rPr>
        <w:t>.社会保障和就业支出（类）</w:t>
      </w:r>
      <w:r>
        <w:rPr>
          <w:rFonts w:hint="eastAsia" w:ascii="TimesNewRoman" w:hAnsi="TimesNewRoman" w:cs="TimesNewRoman"/>
          <w:b/>
          <w:szCs w:val="32"/>
          <w:lang w:eastAsia="zh-CN"/>
        </w:rPr>
        <w:t>特困人员救助供养</w:t>
      </w:r>
      <w:r>
        <w:rPr>
          <w:rFonts w:ascii="TimesNewRoman" w:hAnsi="TimesNewRoman" w:cs="TimesNewRoman"/>
          <w:b/>
          <w:szCs w:val="32"/>
        </w:rPr>
        <w:t>（款）</w:t>
      </w:r>
      <w:r>
        <w:rPr>
          <w:rFonts w:hint="eastAsia" w:ascii="TimesNewRoman" w:hAnsi="TimesNewRoman" w:cs="TimesNewRoman"/>
          <w:b/>
          <w:szCs w:val="32"/>
          <w:lang w:eastAsia="zh-CN"/>
        </w:rPr>
        <w:t>农村特困人员救助供养</w:t>
      </w:r>
      <w:r>
        <w:rPr>
          <w:rFonts w:ascii="TimesNewRoman" w:hAnsi="TimesNewRoman" w:cs="TimesNewRoman"/>
          <w:b/>
          <w:szCs w:val="32"/>
        </w:rPr>
        <w:t>（项）</w:t>
      </w:r>
      <w:r>
        <w:rPr>
          <w:rFonts w:ascii="TimesNewRoman" w:hAnsi="TimesNewRoman" w:cs="TimesNewRoman"/>
          <w:szCs w:val="32"/>
          <w:lang w:val="en"/>
        </w:rPr>
        <w:t>2024</w:t>
      </w:r>
      <w:r>
        <w:rPr>
          <w:rFonts w:ascii="TimesNewRoman" w:hAnsi="TimesNewRoman" w:cs="TimesNewRoman"/>
          <w:szCs w:val="32"/>
        </w:rPr>
        <w:t>年预算</w:t>
      </w:r>
      <w:r>
        <w:rPr>
          <w:rFonts w:hint="eastAsia" w:ascii="TimesNewRoman" w:hAnsi="TimesNewRoman" w:cs="TimesNewRoman"/>
          <w:szCs w:val="32"/>
          <w:lang w:val="en-US" w:eastAsia="zh-CN"/>
        </w:rPr>
        <w:t>40</w:t>
      </w:r>
      <w:r>
        <w:rPr>
          <w:rFonts w:ascii="TimesNewRoman" w:hAnsi="TimesNewRoman" w:cs="TimesNewRoman"/>
          <w:szCs w:val="32"/>
        </w:rPr>
        <w:t>万元，比</w:t>
      </w:r>
      <w:r>
        <w:rPr>
          <w:rFonts w:hint="eastAsia" w:ascii="TimesNewRoman" w:hAnsi="TimesNewRoman" w:cs="TimesNewRoman"/>
          <w:szCs w:val="32"/>
        </w:rPr>
        <w:t>2023</w:t>
      </w:r>
      <w:r>
        <w:rPr>
          <w:rFonts w:ascii="TimesNewRoman" w:hAnsi="TimesNewRoman" w:cs="TimesNewRoman"/>
          <w:szCs w:val="32"/>
        </w:rPr>
        <w:t>年预算</w:t>
      </w:r>
      <w:r>
        <w:rPr>
          <w:rFonts w:hint="eastAsia" w:ascii="TimesNewRoman" w:hAnsi="TimesNewRoman" w:cs="TimesNewRoman"/>
          <w:szCs w:val="32"/>
          <w:lang w:eastAsia="zh-CN"/>
        </w:rPr>
        <w:t>增加</w:t>
      </w:r>
      <w:r>
        <w:rPr>
          <w:rFonts w:hint="eastAsia" w:ascii="TimesNewRoman" w:hAnsi="TimesNewRoman" w:cs="TimesNewRoman"/>
          <w:szCs w:val="32"/>
          <w:lang w:val="en-US" w:eastAsia="zh-CN"/>
        </w:rPr>
        <w:t>3</w:t>
      </w:r>
      <w:r>
        <w:rPr>
          <w:rFonts w:ascii="TimesNewRoman" w:hAnsi="TimesNewRoman" w:cs="TimesNewRoman"/>
          <w:szCs w:val="32"/>
        </w:rPr>
        <w:t>万元，</w:t>
      </w:r>
      <w:r>
        <w:rPr>
          <w:rFonts w:hint="eastAsia" w:ascii="TimesNewRoman" w:hAnsi="TimesNewRoman" w:cs="TimesNewRoman"/>
          <w:szCs w:val="32"/>
          <w:lang w:eastAsia="zh-CN"/>
        </w:rPr>
        <w:t>增长</w:t>
      </w:r>
      <w:r>
        <w:rPr>
          <w:rFonts w:hint="eastAsia" w:ascii="TimesNewRoman" w:hAnsi="TimesNewRoman" w:cs="TimesNewRoman"/>
          <w:szCs w:val="32"/>
          <w:lang w:val="en-US" w:eastAsia="zh-CN"/>
        </w:rPr>
        <w:t>8.11</w:t>
      </w:r>
      <w:r>
        <w:rPr>
          <w:rFonts w:ascii="TimesNewRoman" w:hAnsi="TimesNewRoman" w:cs="TimesNewRoman"/>
          <w:szCs w:val="32"/>
        </w:rPr>
        <w:t>%，</w:t>
      </w:r>
      <w:r>
        <w:rPr>
          <w:rFonts w:hint="eastAsia" w:ascii="TimesNewRoman" w:hAnsi="TimesNewRoman" w:cs="TimesNewRoman"/>
          <w:szCs w:val="32"/>
          <w:lang w:eastAsia="zh-CN"/>
        </w:rPr>
        <w:t>增长</w:t>
      </w:r>
      <w:r>
        <w:rPr>
          <w:rFonts w:ascii="TimesNewRoman" w:hAnsi="TimesNewRoman" w:cs="TimesNewRoman"/>
          <w:szCs w:val="32"/>
        </w:rPr>
        <w:t>原因主要是</w:t>
      </w:r>
      <w:r>
        <w:rPr>
          <w:rFonts w:hint="eastAsia" w:ascii="仿宋_GB2312" w:hAnsi="仿宋"/>
          <w:b w:val="0"/>
          <w:bCs w:val="0"/>
          <w:color w:val="auto"/>
          <w:sz w:val="32"/>
          <w:szCs w:val="32"/>
          <w:lang w:val="en-US" w:eastAsia="zh-CN"/>
        </w:rPr>
        <w:t>农村特困供养</w:t>
      </w:r>
      <w:r>
        <w:rPr>
          <w:rFonts w:hint="eastAsia" w:ascii="仿宋_GB2312" w:hAnsi="仿宋" w:eastAsia="仿宋_GB2312"/>
          <w:b w:val="0"/>
          <w:bCs w:val="0"/>
          <w:color w:val="auto"/>
          <w:sz w:val="32"/>
          <w:szCs w:val="32"/>
          <w:lang w:val="en-US" w:eastAsia="zh-CN"/>
        </w:rPr>
        <w:t>人数变动</w:t>
      </w:r>
      <w:r>
        <w:rPr>
          <w:rFonts w:hint="eastAsia" w:ascii="仿宋_GB2312" w:hAnsi="仿宋"/>
          <w:b w:val="0"/>
          <w:bCs w:val="0"/>
          <w:color w:val="auto"/>
          <w:sz w:val="32"/>
          <w:szCs w:val="32"/>
          <w:lang w:val="en-US" w:eastAsia="zh-CN"/>
        </w:rPr>
        <w:t>。</w:t>
      </w:r>
    </w:p>
    <w:p>
      <w:pPr>
        <w:adjustRightInd w:val="0"/>
        <w:snapToGrid w:val="0"/>
        <w:spacing w:line="560" w:lineRule="exact"/>
        <w:ind w:firstLine="664" w:firstLineChars="200"/>
        <w:rPr>
          <w:rFonts w:hint="eastAsia" w:ascii="仿宋_GB2312" w:hAnsi="仿宋" w:eastAsia="仿宋_GB2312"/>
          <w:sz w:val="32"/>
          <w:szCs w:val="32"/>
          <w:lang w:eastAsia="zh-CN"/>
        </w:rPr>
      </w:pPr>
      <w:r>
        <w:rPr>
          <w:rFonts w:hint="eastAsia" w:ascii="TimesNewRoman" w:hAnsi="TimesNewRoman" w:cs="TimesNewRoman"/>
          <w:b/>
          <w:szCs w:val="32"/>
          <w:lang w:val="en-US" w:eastAsia="zh-CN"/>
        </w:rPr>
        <w:t>18</w:t>
      </w:r>
      <w:r>
        <w:rPr>
          <w:rFonts w:ascii="TimesNewRoman" w:hAnsi="TimesNewRoman" w:cs="TimesNewRoman"/>
          <w:b/>
          <w:szCs w:val="32"/>
        </w:rPr>
        <w:t>.社会保障和就业支出（类）</w:t>
      </w:r>
      <w:r>
        <w:rPr>
          <w:rFonts w:hint="eastAsia" w:ascii="TimesNewRoman" w:hAnsi="TimesNewRoman" w:cs="TimesNewRoman"/>
          <w:b/>
          <w:szCs w:val="32"/>
          <w:lang w:eastAsia="zh-CN"/>
        </w:rPr>
        <w:t>其他生活救助</w:t>
      </w:r>
      <w:r>
        <w:rPr>
          <w:rFonts w:ascii="TimesNewRoman" w:hAnsi="TimesNewRoman" w:cs="TimesNewRoman"/>
          <w:b/>
          <w:szCs w:val="32"/>
        </w:rPr>
        <w:t>（款）</w:t>
      </w:r>
      <w:r>
        <w:rPr>
          <w:rFonts w:hint="eastAsia" w:ascii="TimesNewRoman" w:hAnsi="TimesNewRoman" w:cs="TimesNewRoman"/>
          <w:b/>
          <w:szCs w:val="32"/>
          <w:lang w:eastAsia="zh-CN"/>
        </w:rPr>
        <w:t>其他城市生活救助</w:t>
      </w:r>
      <w:r>
        <w:rPr>
          <w:rFonts w:ascii="TimesNewRoman" w:hAnsi="TimesNewRoman" w:cs="TimesNewRoman"/>
          <w:b/>
          <w:szCs w:val="32"/>
        </w:rPr>
        <w:t>（项）</w:t>
      </w:r>
      <w:r>
        <w:rPr>
          <w:rFonts w:ascii="TimesNewRoman" w:hAnsi="TimesNewRoman" w:cs="TimesNewRoman"/>
          <w:szCs w:val="32"/>
          <w:lang w:val="en"/>
        </w:rPr>
        <w:t>2024</w:t>
      </w:r>
      <w:r>
        <w:rPr>
          <w:rFonts w:ascii="TimesNewRoman" w:hAnsi="TimesNewRoman" w:cs="TimesNewRoman"/>
          <w:szCs w:val="32"/>
        </w:rPr>
        <w:t>年预算</w:t>
      </w:r>
      <w:r>
        <w:rPr>
          <w:rFonts w:hint="eastAsia" w:ascii="TimesNewRoman" w:hAnsi="TimesNewRoman" w:cs="TimesNewRoman"/>
          <w:szCs w:val="32"/>
          <w:lang w:val="en-US" w:eastAsia="zh-CN"/>
        </w:rPr>
        <w:t>0.18</w:t>
      </w:r>
      <w:r>
        <w:rPr>
          <w:rFonts w:ascii="TimesNewRoman" w:hAnsi="TimesNewRoman" w:cs="TimesNewRoman"/>
          <w:szCs w:val="32"/>
        </w:rPr>
        <w:t>万元，</w:t>
      </w:r>
      <w:r>
        <w:rPr>
          <w:rFonts w:hint="eastAsia" w:ascii="仿宋_GB2312" w:hAnsi="仿宋" w:eastAsia="仿宋_GB2312"/>
          <w:sz w:val="32"/>
          <w:szCs w:val="32"/>
          <w:lang w:eastAsia="zh-CN"/>
        </w:rPr>
        <w:t>与</w:t>
      </w:r>
      <w:r>
        <w:rPr>
          <w:rFonts w:hint="eastAsia" w:ascii="TimesNewRoman" w:hAnsi="TimesNewRoman" w:cs="TimesNewRoman"/>
          <w:szCs w:val="32"/>
          <w:lang w:eastAsia="zh-CN"/>
        </w:rPr>
        <w:t>20</w:t>
      </w:r>
      <w:r>
        <w:rPr>
          <w:rFonts w:hint="eastAsia" w:ascii="TimesNewRoman" w:hAnsi="TimesNewRoman" w:cs="TimesNewRoman"/>
          <w:szCs w:val="32"/>
          <w:lang w:val="en-US" w:eastAsia="zh-CN"/>
        </w:rPr>
        <w:t>23</w:t>
      </w:r>
      <w:r>
        <w:rPr>
          <w:rFonts w:hint="eastAsia" w:ascii="仿宋_GB2312" w:hAnsi="仿宋" w:eastAsia="仿宋_GB2312"/>
          <w:sz w:val="32"/>
          <w:szCs w:val="32"/>
        </w:rPr>
        <w:t>年预算</w:t>
      </w:r>
      <w:r>
        <w:rPr>
          <w:rFonts w:hint="eastAsia" w:ascii="仿宋_GB2312" w:hAnsi="仿宋" w:eastAsia="仿宋_GB2312"/>
          <w:sz w:val="32"/>
          <w:szCs w:val="32"/>
          <w:lang w:eastAsia="zh-CN"/>
        </w:rPr>
        <w:t>持平，原因主要是发放</w:t>
      </w:r>
      <w:r>
        <w:rPr>
          <w:rFonts w:hint="eastAsia" w:ascii="仿宋_GB2312" w:hAnsi="仿宋" w:eastAsia="仿宋_GB2312"/>
          <w:sz w:val="32"/>
          <w:szCs w:val="32"/>
          <w:lang w:val="en-US" w:eastAsia="zh-CN"/>
        </w:rPr>
        <w:t>1</w:t>
      </w:r>
      <w:r>
        <w:rPr>
          <w:rFonts w:hint="eastAsia" w:ascii="仿宋_GB2312" w:hAnsi="仿宋" w:eastAsia="仿宋_GB2312"/>
          <w:sz w:val="32"/>
          <w:szCs w:val="32"/>
          <w:lang w:eastAsia="zh-CN"/>
        </w:rPr>
        <w:t>958年前省农业劳模困难补助。</w:t>
      </w:r>
    </w:p>
    <w:p>
      <w:pPr>
        <w:adjustRightInd w:val="0"/>
        <w:snapToGrid w:val="0"/>
        <w:spacing w:line="560" w:lineRule="exact"/>
        <w:ind w:firstLine="664" w:firstLineChars="200"/>
        <w:rPr>
          <w:rFonts w:hint="eastAsia" w:ascii="仿宋_GB2312" w:hAnsi="仿宋" w:eastAsia="仿宋_GB2312"/>
          <w:sz w:val="32"/>
          <w:szCs w:val="32"/>
        </w:rPr>
      </w:pPr>
      <w:r>
        <w:rPr>
          <w:rFonts w:hint="eastAsia" w:ascii="TimesNewRoman" w:hAnsi="TimesNewRoman" w:cs="TimesNewRoman"/>
          <w:b/>
          <w:szCs w:val="32"/>
          <w:lang w:val="en-US" w:eastAsia="zh-CN"/>
        </w:rPr>
        <w:t>19</w:t>
      </w:r>
      <w:r>
        <w:rPr>
          <w:rFonts w:ascii="TimesNewRoman" w:hAnsi="TimesNewRoman" w:cs="TimesNewRoman"/>
          <w:b/>
          <w:szCs w:val="32"/>
        </w:rPr>
        <w:t>.社会保障和就业支出（类）</w:t>
      </w:r>
      <w:r>
        <w:rPr>
          <w:rFonts w:hint="eastAsia" w:ascii="TimesNewRoman" w:hAnsi="TimesNewRoman" w:cs="TimesNewRoman"/>
          <w:b/>
          <w:szCs w:val="32"/>
          <w:lang w:eastAsia="zh-CN"/>
        </w:rPr>
        <w:t>其他社会保险和就业支出</w:t>
      </w:r>
      <w:r>
        <w:rPr>
          <w:rFonts w:ascii="TimesNewRoman" w:hAnsi="TimesNewRoman" w:cs="TimesNewRoman"/>
          <w:b/>
          <w:szCs w:val="32"/>
        </w:rPr>
        <w:t>（款）</w:t>
      </w:r>
      <w:r>
        <w:rPr>
          <w:rFonts w:hint="eastAsia" w:ascii="TimesNewRoman" w:hAnsi="TimesNewRoman" w:cs="TimesNewRoman"/>
          <w:b/>
          <w:szCs w:val="32"/>
          <w:lang w:eastAsia="zh-CN"/>
        </w:rPr>
        <w:t>其他社会保险和就业支出</w:t>
      </w:r>
      <w:r>
        <w:rPr>
          <w:rFonts w:ascii="TimesNewRoman" w:hAnsi="TimesNewRoman" w:cs="TimesNewRoman"/>
          <w:b/>
          <w:szCs w:val="32"/>
        </w:rPr>
        <w:t>（项）</w:t>
      </w:r>
      <w:r>
        <w:rPr>
          <w:rFonts w:ascii="TimesNewRoman" w:hAnsi="TimesNewRoman" w:cs="TimesNewRoman"/>
          <w:szCs w:val="32"/>
          <w:lang w:val="en"/>
        </w:rPr>
        <w:t>2024</w:t>
      </w:r>
      <w:r>
        <w:rPr>
          <w:rFonts w:ascii="TimesNewRoman" w:hAnsi="TimesNewRoman" w:cs="TimesNewRoman"/>
          <w:szCs w:val="32"/>
        </w:rPr>
        <w:t>年预算</w:t>
      </w:r>
      <w:r>
        <w:rPr>
          <w:rFonts w:hint="eastAsia" w:ascii="TimesNewRoman" w:hAnsi="TimesNewRoman" w:cs="TimesNewRoman"/>
          <w:szCs w:val="32"/>
          <w:lang w:val="en-US" w:eastAsia="zh-CN"/>
        </w:rPr>
        <w:t>45.54</w:t>
      </w:r>
      <w:r>
        <w:rPr>
          <w:rFonts w:ascii="TimesNewRoman" w:hAnsi="TimesNewRoman" w:cs="TimesNewRoman"/>
          <w:szCs w:val="32"/>
        </w:rPr>
        <w:t>万元，比</w:t>
      </w:r>
      <w:r>
        <w:rPr>
          <w:rFonts w:hint="eastAsia" w:ascii="TimesNewRoman" w:hAnsi="TimesNewRoman" w:cs="TimesNewRoman"/>
          <w:szCs w:val="32"/>
        </w:rPr>
        <w:t>2023</w:t>
      </w:r>
      <w:r>
        <w:rPr>
          <w:rFonts w:ascii="TimesNewRoman" w:hAnsi="TimesNewRoman" w:cs="TimesNewRoman"/>
          <w:szCs w:val="32"/>
        </w:rPr>
        <w:t>年预算</w:t>
      </w:r>
      <w:r>
        <w:rPr>
          <w:rFonts w:hint="eastAsia" w:ascii="TimesNewRoman" w:hAnsi="TimesNewRoman" w:cs="TimesNewRoman"/>
          <w:szCs w:val="32"/>
          <w:lang w:eastAsia="zh-CN"/>
        </w:rPr>
        <w:t>增加</w:t>
      </w:r>
      <w:r>
        <w:rPr>
          <w:rFonts w:hint="eastAsia" w:ascii="TimesNewRoman" w:hAnsi="TimesNewRoman" w:cs="TimesNewRoman"/>
          <w:szCs w:val="32"/>
          <w:lang w:val="en-US" w:eastAsia="zh-CN"/>
        </w:rPr>
        <w:t>14.66</w:t>
      </w:r>
      <w:r>
        <w:rPr>
          <w:rFonts w:ascii="TimesNewRoman" w:hAnsi="TimesNewRoman" w:cs="TimesNewRoman"/>
          <w:szCs w:val="32"/>
        </w:rPr>
        <w:t>万元，</w:t>
      </w:r>
      <w:r>
        <w:rPr>
          <w:rFonts w:hint="eastAsia" w:ascii="TimesNewRoman" w:hAnsi="TimesNewRoman" w:cs="TimesNewRoman"/>
          <w:szCs w:val="32"/>
          <w:lang w:eastAsia="zh-CN"/>
        </w:rPr>
        <w:t>增长</w:t>
      </w:r>
      <w:r>
        <w:rPr>
          <w:rFonts w:hint="eastAsia" w:ascii="TimesNewRoman" w:hAnsi="TimesNewRoman" w:cs="TimesNewRoman"/>
          <w:szCs w:val="32"/>
          <w:lang w:val="en-US" w:eastAsia="zh-CN"/>
        </w:rPr>
        <w:t>47.47</w:t>
      </w:r>
      <w:r>
        <w:rPr>
          <w:rFonts w:ascii="TimesNewRoman" w:hAnsi="TimesNewRoman" w:cs="TimesNewRoman"/>
          <w:szCs w:val="32"/>
        </w:rPr>
        <w:t>%，</w:t>
      </w:r>
      <w:r>
        <w:rPr>
          <w:rFonts w:hint="eastAsia" w:ascii="仿宋_GB2312" w:hAnsi="仿宋" w:eastAsia="仿宋_GB2312"/>
          <w:sz w:val="32"/>
          <w:szCs w:val="32"/>
        </w:rPr>
        <w:t>增长原因主要是</w:t>
      </w:r>
      <w:r>
        <w:rPr>
          <w:rFonts w:hint="eastAsia" w:ascii="仿宋_GB2312" w:hAnsi="仿宋" w:eastAsia="仿宋_GB2312"/>
          <w:sz w:val="32"/>
          <w:szCs w:val="32"/>
          <w:lang w:eastAsia="zh-CN"/>
        </w:rPr>
        <w:t>人员变动、社保基数调整</w:t>
      </w:r>
      <w:r>
        <w:rPr>
          <w:rFonts w:hint="eastAsia" w:ascii="仿宋_GB2312" w:hAnsi="仿宋" w:eastAsia="仿宋_GB2312"/>
          <w:sz w:val="32"/>
          <w:szCs w:val="32"/>
        </w:rPr>
        <w:t>。</w:t>
      </w:r>
    </w:p>
    <w:p>
      <w:pPr>
        <w:adjustRightInd w:val="0"/>
        <w:snapToGrid w:val="0"/>
        <w:spacing w:line="560" w:lineRule="exact"/>
        <w:ind w:firstLine="664" w:firstLineChars="200"/>
        <w:rPr>
          <w:rFonts w:hint="eastAsia" w:ascii="仿宋_GB2312" w:hAnsi="仿宋" w:eastAsia="仿宋_GB2312"/>
          <w:sz w:val="32"/>
          <w:szCs w:val="32"/>
        </w:rPr>
      </w:pPr>
      <w:r>
        <w:rPr>
          <w:rFonts w:hint="eastAsia" w:ascii="TimesNewRoman" w:hAnsi="TimesNewRoman" w:cs="TimesNewRoman"/>
          <w:b/>
          <w:szCs w:val="32"/>
          <w:lang w:val="en-US" w:eastAsia="zh-CN"/>
        </w:rPr>
        <w:t>20</w:t>
      </w:r>
      <w:r>
        <w:rPr>
          <w:rFonts w:ascii="TimesNewRoman" w:hAnsi="TimesNewRoman" w:cs="TimesNewRoman"/>
          <w:b/>
          <w:szCs w:val="32"/>
        </w:rPr>
        <w:t>.</w:t>
      </w:r>
      <w:r>
        <w:rPr>
          <w:rFonts w:hint="eastAsia" w:ascii="TimesNewRoman" w:hAnsi="TimesNewRoman" w:cs="TimesNewRoman"/>
          <w:b/>
          <w:szCs w:val="32"/>
          <w:lang w:eastAsia="zh-CN"/>
        </w:rPr>
        <w:t>卫生健康支出</w:t>
      </w:r>
      <w:r>
        <w:rPr>
          <w:rFonts w:ascii="TimesNewRoman" w:hAnsi="TimesNewRoman" w:cs="TimesNewRoman"/>
          <w:b/>
          <w:szCs w:val="32"/>
        </w:rPr>
        <w:t>（类）</w:t>
      </w:r>
      <w:r>
        <w:rPr>
          <w:rFonts w:hint="eastAsia" w:ascii="TimesNewRoman" w:hAnsi="TimesNewRoman" w:cs="TimesNewRoman"/>
          <w:b/>
          <w:szCs w:val="32"/>
          <w:lang w:eastAsia="zh-CN"/>
        </w:rPr>
        <w:t>行政事业单位医疗</w:t>
      </w:r>
      <w:r>
        <w:rPr>
          <w:rFonts w:ascii="TimesNewRoman" w:hAnsi="TimesNewRoman" w:cs="TimesNewRoman"/>
          <w:b/>
          <w:szCs w:val="32"/>
        </w:rPr>
        <w:t>（款）</w:t>
      </w:r>
      <w:r>
        <w:rPr>
          <w:rFonts w:hint="eastAsia" w:ascii="TimesNewRoman" w:hAnsi="TimesNewRoman" w:cs="TimesNewRoman"/>
          <w:b/>
          <w:szCs w:val="32"/>
          <w:lang w:eastAsia="zh-CN"/>
        </w:rPr>
        <w:t>行政单位医疗</w:t>
      </w:r>
      <w:r>
        <w:rPr>
          <w:rFonts w:ascii="TimesNewRoman" w:hAnsi="TimesNewRoman" w:cs="TimesNewRoman"/>
          <w:b/>
          <w:szCs w:val="32"/>
        </w:rPr>
        <w:t>（项）</w:t>
      </w:r>
      <w:r>
        <w:rPr>
          <w:rFonts w:ascii="TimesNewRoman" w:hAnsi="TimesNewRoman" w:cs="TimesNewRoman"/>
          <w:szCs w:val="32"/>
          <w:lang w:val="en"/>
        </w:rPr>
        <w:t>2024</w:t>
      </w:r>
      <w:r>
        <w:rPr>
          <w:rFonts w:ascii="TimesNewRoman" w:hAnsi="TimesNewRoman" w:cs="TimesNewRoman"/>
          <w:szCs w:val="32"/>
        </w:rPr>
        <w:t>年预算</w:t>
      </w:r>
      <w:r>
        <w:rPr>
          <w:rFonts w:hint="eastAsia" w:ascii="TimesNewRoman" w:hAnsi="TimesNewRoman" w:cs="TimesNewRoman"/>
          <w:szCs w:val="32"/>
          <w:lang w:val="en-US" w:eastAsia="zh-CN"/>
        </w:rPr>
        <w:t>14.56</w:t>
      </w:r>
      <w:r>
        <w:rPr>
          <w:rFonts w:ascii="TimesNewRoman" w:hAnsi="TimesNewRoman" w:cs="TimesNewRoman"/>
          <w:szCs w:val="32"/>
        </w:rPr>
        <w:t>万元，比</w:t>
      </w:r>
      <w:r>
        <w:rPr>
          <w:rFonts w:hint="eastAsia" w:ascii="TimesNewRoman" w:hAnsi="TimesNewRoman" w:cs="TimesNewRoman"/>
          <w:szCs w:val="32"/>
        </w:rPr>
        <w:t>2023</w:t>
      </w:r>
      <w:r>
        <w:rPr>
          <w:rFonts w:ascii="TimesNewRoman" w:hAnsi="TimesNewRoman" w:cs="TimesNewRoman"/>
          <w:szCs w:val="32"/>
        </w:rPr>
        <w:t>年预算</w:t>
      </w:r>
      <w:r>
        <w:rPr>
          <w:rFonts w:hint="eastAsia" w:ascii="TimesNewRoman" w:hAnsi="TimesNewRoman" w:cs="TimesNewRoman"/>
          <w:szCs w:val="32"/>
          <w:lang w:eastAsia="zh-CN"/>
        </w:rPr>
        <w:t>减少</w:t>
      </w:r>
      <w:r>
        <w:rPr>
          <w:rFonts w:hint="eastAsia" w:ascii="TimesNewRoman" w:hAnsi="TimesNewRoman" w:cs="TimesNewRoman"/>
          <w:szCs w:val="32"/>
          <w:lang w:val="en-US" w:eastAsia="zh-CN"/>
        </w:rPr>
        <w:t>0.42</w:t>
      </w:r>
      <w:r>
        <w:rPr>
          <w:rFonts w:ascii="TimesNewRoman" w:hAnsi="TimesNewRoman" w:cs="TimesNewRoman"/>
          <w:szCs w:val="32"/>
        </w:rPr>
        <w:t>万元，</w:t>
      </w:r>
      <w:r>
        <w:rPr>
          <w:rFonts w:hint="eastAsia" w:ascii="TimesNewRoman" w:hAnsi="TimesNewRoman" w:cs="TimesNewRoman"/>
          <w:szCs w:val="32"/>
          <w:lang w:eastAsia="zh-CN"/>
        </w:rPr>
        <w:t>下降</w:t>
      </w:r>
      <w:r>
        <w:rPr>
          <w:rFonts w:hint="eastAsia" w:ascii="TimesNewRoman" w:hAnsi="TimesNewRoman" w:cs="TimesNewRoman"/>
          <w:szCs w:val="32"/>
          <w:lang w:val="en-US" w:eastAsia="zh-CN"/>
        </w:rPr>
        <w:t>2.8</w:t>
      </w:r>
      <w:r>
        <w:rPr>
          <w:rFonts w:ascii="TimesNewRoman" w:hAnsi="TimesNewRoman" w:cs="TimesNewRoman"/>
          <w:szCs w:val="32"/>
        </w:rPr>
        <w:t>%，</w:t>
      </w:r>
      <w:r>
        <w:rPr>
          <w:rFonts w:hint="eastAsia" w:ascii="仿宋_GB2312" w:hAnsi="仿宋"/>
          <w:sz w:val="32"/>
          <w:szCs w:val="32"/>
          <w:lang w:eastAsia="zh-CN"/>
        </w:rPr>
        <w:t>下降</w:t>
      </w:r>
      <w:r>
        <w:rPr>
          <w:rFonts w:hint="eastAsia" w:ascii="仿宋_GB2312" w:hAnsi="仿宋" w:eastAsia="仿宋_GB2312"/>
          <w:sz w:val="32"/>
          <w:szCs w:val="32"/>
        </w:rPr>
        <w:t>原因主要是</w:t>
      </w:r>
      <w:r>
        <w:rPr>
          <w:rFonts w:hint="eastAsia" w:ascii="仿宋_GB2312" w:hAnsi="仿宋" w:eastAsia="仿宋_GB2312"/>
          <w:sz w:val="32"/>
          <w:szCs w:val="32"/>
          <w:lang w:eastAsia="zh-CN"/>
        </w:rPr>
        <w:t>人员变动、社保基数调整</w:t>
      </w:r>
      <w:r>
        <w:rPr>
          <w:rFonts w:hint="eastAsia" w:ascii="仿宋_GB2312" w:hAnsi="仿宋" w:eastAsia="仿宋_GB2312"/>
          <w:sz w:val="32"/>
          <w:szCs w:val="32"/>
        </w:rPr>
        <w:t>。</w:t>
      </w:r>
    </w:p>
    <w:p>
      <w:pPr>
        <w:adjustRightInd w:val="0"/>
        <w:snapToGrid w:val="0"/>
        <w:spacing w:line="560" w:lineRule="exact"/>
        <w:ind w:firstLine="664" w:firstLineChars="200"/>
        <w:rPr>
          <w:rFonts w:hint="eastAsia" w:ascii="仿宋_GB2312" w:hAnsi="仿宋" w:eastAsia="仿宋_GB2312"/>
          <w:sz w:val="32"/>
          <w:szCs w:val="32"/>
        </w:rPr>
      </w:pPr>
      <w:r>
        <w:rPr>
          <w:rFonts w:hint="eastAsia" w:ascii="TimesNewRoman" w:hAnsi="TimesNewRoman" w:cs="TimesNewRoman"/>
          <w:b/>
          <w:szCs w:val="32"/>
          <w:lang w:val="en-US" w:eastAsia="zh-CN"/>
        </w:rPr>
        <w:t>21</w:t>
      </w:r>
      <w:r>
        <w:rPr>
          <w:rFonts w:ascii="TimesNewRoman" w:hAnsi="TimesNewRoman" w:cs="TimesNewRoman"/>
          <w:b/>
          <w:szCs w:val="32"/>
        </w:rPr>
        <w:t>.</w:t>
      </w:r>
      <w:r>
        <w:rPr>
          <w:rFonts w:hint="eastAsia" w:ascii="TimesNewRoman" w:hAnsi="TimesNewRoman" w:cs="TimesNewRoman"/>
          <w:b/>
          <w:szCs w:val="32"/>
          <w:lang w:eastAsia="zh-CN"/>
        </w:rPr>
        <w:t>卫生健康支出</w:t>
      </w:r>
      <w:r>
        <w:rPr>
          <w:rFonts w:ascii="TimesNewRoman" w:hAnsi="TimesNewRoman" w:cs="TimesNewRoman"/>
          <w:b/>
          <w:szCs w:val="32"/>
        </w:rPr>
        <w:t>（类）</w:t>
      </w:r>
      <w:r>
        <w:rPr>
          <w:rFonts w:hint="eastAsia" w:ascii="TimesNewRoman" w:hAnsi="TimesNewRoman" w:cs="TimesNewRoman"/>
          <w:b/>
          <w:szCs w:val="32"/>
          <w:lang w:eastAsia="zh-CN"/>
        </w:rPr>
        <w:t>行政事业单位医疗</w:t>
      </w:r>
      <w:r>
        <w:rPr>
          <w:rFonts w:ascii="TimesNewRoman" w:hAnsi="TimesNewRoman" w:cs="TimesNewRoman"/>
          <w:b/>
          <w:szCs w:val="32"/>
        </w:rPr>
        <w:t>（款）</w:t>
      </w:r>
      <w:r>
        <w:rPr>
          <w:rFonts w:hint="eastAsia" w:ascii="TimesNewRoman" w:hAnsi="TimesNewRoman" w:cs="TimesNewRoman"/>
          <w:b/>
          <w:szCs w:val="32"/>
          <w:lang w:eastAsia="zh-CN"/>
        </w:rPr>
        <w:t>公务员医疗补助</w:t>
      </w:r>
      <w:r>
        <w:rPr>
          <w:rFonts w:ascii="TimesNewRoman" w:hAnsi="TimesNewRoman" w:cs="TimesNewRoman"/>
          <w:b/>
          <w:szCs w:val="32"/>
        </w:rPr>
        <w:t>（项）</w:t>
      </w:r>
      <w:r>
        <w:rPr>
          <w:rFonts w:ascii="TimesNewRoman" w:hAnsi="TimesNewRoman" w:cs="TimesNewRoman"/>
          <w:szCs w:val="32"/>
          <w:lang w:val="en"/>
        </w:rPr>
        <w:t>2024</w:t>
      </w:r>
      <w:r>
        <w:rPr>
          <w:rFonts w:ascii="TimesNewRoman" w:hAnsi="TimesNewRoman" w:cs="TimesNewRoman"/>
          <w:szCs w:val="32"/>
        </w:rPr>
        <w:t>年预算</w:t>
      </w:r>
      <w:r>
        <w:rPr>
          <w:rFonts w:hint="eastAsia" w:ascii="TimesNewRoman" w:hAnsi="TimesNewRoman" w:cs="TimesNewRoman"/>
          <w:szCs w:val="32"/>
          <w:lang w:val="en-US" w:eastAsia="zh-CN"/>
        </w:rPr>
        <w:t>4.41</w:t>
      </w:r>
      <w:r>
        <w:rPr>
          <w:rFonts w:ascii="TimesNewRoman" w:hAnsi="TimesNewRoman" w:cs="TimesNewRoman"/>
          <w:szCs w:val="32"/>
        </w:rPr>
        <w:t>万元，比</w:t>
      </w:r>
      <w:r>
        <w:rPr>
          <w:rFonts w:hint="eastAsia" w:ascii="TimesNewRoman" w:hAnsi="TimesNewRoman" w:cs="TimesNewRoman"/>
          <w:szCs w:val="32"/>
        </w:rPr>
        <w:t>2023</w:t>
      </w:r>
      <w:r>
        <w:rPr>
          <w:rFonts w:ascii="TimesNewRoman" w:hAnsi="TimesNewRoman" w:cs="TimesNewRoman"/>
          <w:szCs w:val="32"/>
        </w:rPr>
        <w:t>年预算</w:t>
      </w:r>
      <w:r>
        <w:rPr>
          <w:rFonts w:hint="eastAsia" w:ascii="TimesNewRoman" w:hAnsi="TimesNewRoman" w:cs="TimesNewRoman"/>
          <w:szCs w:val="32"/>
          <w:lang w:eastAsia="zh-CN"/>
        </w:rPr>
        <w:t>减少</w:t>
      </w:r>
      <w:r>
        <w:rPr>
          <w:rFonts w:hint="eastAsia" w:ascii="TimesNewRoman" w:hAnsi="TimesNewRoman" w:cs="TimesNewRoman"/>
          <w:szCs w:val="32"/>
          <w:lang w:val="en-US" w:eastAsia="zh-CN"/>
        </w:rPr>
        <w:t>0.02</w:t>
      </w:r>
      <w:r>
        <w:rPr>
          <w:rFonts w:ascii="TimesNewRoman" w:hAnsi="TimesNewRoman" w:cs="TimesNewRoman"/>
          <w:szCs w:val="32"/>
        </w:rPr>
        <w:t>万元，</w:t>
      </w:r>
      <w:r>
        <w:rPr>
          <w:rFonts w:hint="eastAsia" w:ascii="TimesNewRoman" w:hAnsi="TimesNewRoman" w:cs="TimesNewRoman"/>
          <w:szCs w:val="32"/>
          <w:lang w:eastAsia="zh-CN"/>
        </w:rPr>
        <w:t>下降</w:t>
      </w:r>
      <w:r>
        <w:rPr>
          <w:rFonts w:hint="eastAsia" w:ascii="TimesNewRoman" w:hAnsi="TimesNewRoman" w:cs="TimesNewRoman"/>
          <w:szCs w:val="32"/>
          <w:lang w:val="en-US" w:eastAsia="zh-CN"/>
        </w:rPr>
        <w:t>0.45</w:t>
      </w:r>
      <w:r>
        <w:rPr>
          <w:rFonts w:ascii="TimesNewRoman" w:hAnsi="TimesNewRoman" w:cs="TimesNewRoman"/>
          <w:szCs w:val="32"/>
        </w:rPr>
        <w:t>%，</w:t>
      </w:r>
      <w:r>
        <w:rPr>
          <w:rFonts w:hint="eastAsia" w:ascii="仿宋_GB2312" w:hAnsi="仿宋"/>
          <w:sz w:val="32"/>
          <w:szCs w:val="32"/>
          <w:lang w:eastAsia="zh-CN"/>
        </w:rPr>
        <w:t>下降</w:t>
      </w:r>
      <w:r>
        <w:rPr>
          <w:rFonts w:hint="eastAsia" w:ascii="仿宋_GB2312" w:hAnsi="仿宋" w:eastAsia="仿宋_GB2312"/>
          <w:sz w:val="32"/>
          <w:szCs w:val="32"/>
        </w:rPr>
        <w:t>原因主要是</w:t>
      </w:r>
      <w:r>
        <w:rPr>
          <w:rFonts w:hint="eastAsia" w:ascii="仿宋_GB2312" w:hAnsi="仿宋" w:eastAsia="仿宋_GB2312"/>
          <w:sz w:val="32"/>
          <w:szCs w:val="32"/>
          <w:lang w:eastAsia="zh-CN"/>
        </w:rPr>
        <w:t>人员变动、社保基数调整</w:t>
      </w:r>
      <w:r>
        <w:rPr>
          <w:rFonts w:hint="eastAsia" w:ascii="仿宋_GB2312" w:hAnsi="仿宋" w:eastAsia="仿宋_GB2312"/>
          <w:sz w:val="32"/>
          <w:szCs w:val="32"/>
        </w:rPr>
        <w:t>。</w:t>
      </w:r>
    </w:p>
    <w:p>
      <w:pPr>
        <w:adjustRightInd w:val="0"/>
        <w:snapToGrid w:val="0"/>
        <w:spacing w:line="560" w:lineRule="exact"/>
        <w:ind w:firstLine="664" w:firstLineChars="200"/>
        <w:rPr>
          <w:rFonts w:hint="eastAsia" w:ascii="仿宋_GB2312" w:hAnsi="仿宋" w:eastAsia="仿宋_GB2312"/>
          <w:sz w:val="32"/>
          <w:szCs w:val="32"/>
        </w:rPr>
      </w:pPr>
      <w:r>
        <w:rPr>
          <w:rFonts w:hint="eastAsia" w:ascii="TimesNewRoman" w:hAnsi="TimesNewRoman" w:cs="TimesNewRoman"/>
          <w:b/>
          <w:szCs w:val="32"/>
          <w:lang w:val="en-US" w:eastAsia="zh-CN"/>
        </w:rPr>
        <w:t>22</w:t>
      </w:r>
      <w:r>
        <w:rPr>
          <w:rFonts w:ascii="TimesNewRoman" w:hAnsi="TimesNewRoman" w:cs="TimesNewRoman"/>
          <w:b/>
          <w:szCs w:val="32"/>
        </w:rPr>
        <w:t>.</w:t>
      </w:r>
      <w:r>
        <w:rPr>
          <w:rFonts w:hint="eastAsia" w:ascii="TimesNewRoman" w:hAnsi="TimesNewRoman" w:cs="TimesNewRoman"/>
          <w:b/>
          <w:szCs w:val="32"/>
          <w:lang w:eastAsia="zh-CN"/>
        </w:rPr>
        <w:t>农林水支出</w:t>
      </w:r>
      <w:r>
        <w:rPr>
          <w:rFonts w:ascii="TimesNewRoman" w:hAnsi="TimesNewRoman" w:cs="TimesNewRoman"/>
          <w:b/>
          <w:szCs w:val="32"/>
        </w:rPr>
        <w:t>（类）</w:t>
      </w:r>
      <w:r>
        <w:rPr>
          <w:rFonts w:hint="eastAsia" w:ascii="TimesNewRoman" w:hAnsi="TimesNewRoman" w:cs="TimesNewRoman"/>
          <w:b/>
          <w:szCs w:val="32"/>
          <w:lang w:eastAsia="zh-CN"/>
        </w:rPr>
        <w:t>巩固脱贫攻坚成果衔接乡村振兴</w:t>
      </w:r>
      <w:r>
        <w:rPr>
          <w:rFonts w:ascii="TimesNewRoman" w:hAnsi="TimesNewRoman" w:cs="TimesNewRoman"/>
          <w:b/>
          <w:szCs w:val="32"/>
        </w:rPr>
        <w:t>（款）</w:t>
      </w:r>
      <w:r>
        <w:rPr>
          <w:rFonts w:hint="eastAsia" w:ascii="TimesNewRoman" w:hAnsi="TimesNewRoman" w:cs="TimesNewRoman"/>
          <w:b/>
          <w:szCs w:val="32"/>
          <w:lang w:eastAsia="zh-CN"/>
        </w:rPr>
        <w:t>其他巩固脱贫攻坚成果衔接乡村振兴支出</w:t>
      </w:r>
      <w:r>
        <w:rPr>
          <w:rFonts w:ascii="TimesNewRoman" w:hAnsi="TimesNewRoman" w:cs="TimesNewRoman"/>
          <w:b/>
          <w:szCs w:val="32"/>
        </w:rPr>
        <w:t>（项）</w:t>
      </w:r>
      <w:r>
        <w:rPr>
          <w:rFonts w:ascii="TimesNewRoman" w:hAnsi="TimesNewRoman" w:cs="TimesNewRoman"/>
          <w:szCs w:val="32"/>
          <w:lang w:val="en"/>
        </w:rPr>
        <w:t>2024</w:t>
      </w:r>
      <w:r>
        <w:rPr>
          <w:rFonts w:ascii="TimesNewRoman" w:hAnsi="TimesNewRoman" w:cs="TimesNewRoman"/>
          <w:szCs w:val="32"/>
        </w:rPr>
        <w:t>年预算</w:t>
      </w:r>
      <w:r>
        <w:rPr>
          <w:rFonts w:hint="eastAsia" w:ascii="TimesNewRoman" w:hAnsi="TimesNewRoman" w:cs="TimesNewRoman"/>
          <w:szCs w:val="32"/>
          <w:lang w:val="en-US" w:eastAsia="zh-CN"/>
        </w:rPr>
        <w:t>3.24</w:t>
      </w:r>
      <w:r>
        <w:rPr>
          <w:rFonts w:ascii="TimesNewRoman" w:hAnsi="TimesNewRoman" w:cs="TimesNewRoman"/>
          <w:szCs w:val="32"/>
        </w:rPr>
        <w:t>万元，比</w:t>
      </w:r>
      <w:r>
        <w:rPr>
          <w:rFonts w:hint="eastAsia" w:ascii="TimesNewRoman" w:hAnsi="TimesNewRoman" w:cs="TimesNewRoman"/>
          <w:szCs w:val="32"/>
        </w:rPr>
        <w:t>2023</w:t>
      </w:r>
      <w:r>
        <w:rPr>
          <w:rFonts w:ascii="TimesNewRoman" w:hAnsi="TimesNewRoman" w:cs="TimesNewRoman"/>
          <w:szCs w:val="32"/>
        </w:rPr>
        <w:t>年预算</w:t>
      </w:r>
      <w:r>
        <w:rPr>
          <w:rFonts w:hint="eastAsia" w:ascii="TimesNewRoman" w:hAnsi="TimesNewRoman" w:cs="TimesNewRoman"/>
          <w:szCs w:val="32"/>
          <w:lang w:eastAsia="zh-CN"/>
        </w:rPr>
        <w:t>增加</w:t>
      </w:r>
      <w:r>
        <w:rPr>
          <w:rFonts w:hint="eastAsia" w:ascii="TimesNewRoman" w:hAnsi="TimesNewRoman" w:cs="TimesNewRoman"/>
          <w:szCs w:val="32"/>
          <w:lang w:val="en-US" w:eastAsia="zh-CN"/>
        </w:rPr>
        <w:t>0.65</w:t>
      </w:r>
      <w:r>
        <w:rPr>
          <w:rFonts w:ascii="TimesNewRoman" w:hAnsi="TimesNewRoman" w:cs="TimesNewRoman"/>
          <w:szCs w:val="32"/>
        </w:rPr>
        <w:t>万元，</w:t>
      </w:r>
      <w:r>
        <w:rPr>
          <w:rFonts w:hint="eastAsia" w:ascii="TimesNewRoman" w:hAnsi="TimesNewRoman" w:cs="TimesNewRoman"/>
          <w:szCs w:val="32"/>
          <w:lang w:eastAsia="zh-CN"/>
        </w:rPr>
        <w:t>增长</w:t>
      </w:r>
      <w:r>
        <w:rPr>
          <w:rFonts w:hint="eastAsia" w:ascii="TimesNewRoman" w:hAnsi="TimesNewRoman" w:cs="TimesNewRoman"/>
          <w:szCs w:val="32"/>
          <w:lang w:val="en-US" w:eastAsia="zh-CN"/>
        </w:rPr>
        <w:t>25.1</w:t>
      </w:r>
      <w:r>
        <w:rPr>
          <w:rFonts w:ascii="TimesNewRoman" w:hAnsi="TimesNewRoman" w:cs="TimesNewRoman"/>
          <w:szCs w:val="32"/>
        </w:rPr>
        <w:t>%，</w:t>
      </w:r>
      <w:r>
        <w:rPr>
          <w:rFonts w:hint="eastAsia" w:ascii="仿宋_GB2312" w:hAnsi="仿宋" w:eastAsia="仿宋_GB2312"/>
          <w:sz w:val="32"/>
          <w:szCs w:val="32"/>
        </w:rPr>
        <w:t>增长原因主要是</w:t>
      </w:r>
      <w:r>
        <w:rPr>
          <w:rFonts w:hint="eastAsia" w:ascii="仿宋_GB2312" w:hAnsi="仿宋" w:eastAsia="仿宋_GB2312"/>
          <w:sz w:val="32"/>
          <w:szCs w:val="32"/>
          <w:lang w:eastAsia="zh-CN"/>
        </w:rPr>
        <w:t>乡村振兴人员补助</w:t>
      </w:r>
      <w:r>
        <w:rPr>
          <w:rFonts w:hint="eastAsia" w:ascii="仿宋_GB2312" w:hAnsi="仿宋" w:eastAsia="仿宋_GB2312"/>
          <w:sz w:val="32"/>
          <w:szCs w:val="32"/>
        </w:rPr>
        <w:t>。</w:t>
      </w:r>
    </w:p>
    <w:p>
      <w:pPr>
        <w:adjustRightInd w:val="0"/>
        <w:snapToGrid w:val="0"/>
        <w:spacing w:line="560" w:lineRule="exact"/>
        <w:ind w:firstLine="664" w:firstLineChars="200"/>
        <w:rPr>
          <w:rFonts w:hint="eastAsia" w:ascii="仿宋_GB2312" w:hAnsi="仿宋" w:eastAsia="仿宋_GB2312"/>
          <w:sz w:val="32"/>
          <w:szCs w:val="32"/>
        </w:rPr>
      </w:pPr>
      <w:r>
        <w:rPr>
          <w:rFonts w:hint="eastAsia" w:ascii="TimesNewRoman" w:hAnsi="TimesNewRoman" w:cs="TimesNewRoman"/>
          <w:b/>
          <w:szCs w:val="32"/>
          <w:lang w:val="en-US" w:eastAsia="zh-CN"/>
        </w:rPr>
        <w:t>23</w:t>
      </w:r>
      <w:r>
        <w:rPr>
          <w:rFonts w:ascii="TimesNewRoman" w:hAnsi="TimesNewRoman" w:cs="TimesNewRoman"/>
          <w:b/>
          <w:szCs w:val="32"/>
        </w:rPr>
        <w:t>.</w:t>
      </w:r>
      <w:r>
        <w:rPr>
          <w:rFonts w:hint="eastAsia" w:ascii="TimesNewRoman" w:hAnsi="TimesNewRoman" w:cs="TimesNewRoman"/>
          <w:b/>
          <w:szCs w:val="32"/>
          <w:lang w:eastAsia="zh-CN"/>
        </w:rPr>
        <w:t>住房保障支出</w:t>
      </w:r>
      <w:r>
        <w:rPr>
          <w:rFonts w:ascii="TimesNewRoman" w:hAnsi="TimesNewRoman" w:cs="TimesNewRoman"/>
          <w:b/>
          <w:szCs w:val="32"/>
        </w:rPr>
        <w:t>（类）</w:t>
      </w:r>
      <w:r>
        <w:rPr>
          <w:rFonts w:hint="eastAsia" w:ascii="TimesNewRoman" w:hAnsi="TimesNewRoman" w:cs="TimesNewRoman"/>
          <w:b/>
          <w:szCs w:val="32"/>
          <w:lang w:eastAsia="zh-CN"/>
        </w:rPr>
        <w:t>住房改革支出</w:t>
      </w:r>
      <w:r>
        <w:rPr>
          <w:rFonts w:ascii="TimesNewRoman" w:hAnsi="TimesNewRoman" w:cs="TimesNewRoman"/>
          <w:b/>
          <w:szCs w:val="32"/>
        </w:rPr>
        <w:t>（款）</w:t>
      </w:r>
      <w:r>
        <w:rPr>
          <w:rFonts w:hint="eastAsia" w:ascii="TimesNewRoman" w:hAnsi="TimesNewRoman" w:cs="TimesNewRoman"/>
          <w:b/>
          <w:szCs w:val="32"/>
          <w:lang w:eastAsia="zh-CN"/>
        </w:rPr>
        <w:t>住房公积金</w:t>
      </w:r>
      <w:r>
        <w:rPr>
          <w:rFonts w:ascii="TimesNewRoman" w:hAnsi="TimesNewRoman" w:cs="TimesNewRoman"/>
          <w:b/>
          <w:szCs w:val="32"/>
        </w:rPr>
        <w:t>（项）</w:t>
      </w:r>
      <w:r>
        <w:rPr>
          <w:rFonts w:ascii="TimesNewRoman" w:hAnsi="TimesNewRoman" w:cs="TimesNewRoman"/>
          <w:szCs w:val="32"/>
          <w:lang w:val="en"/>
        </w:rPr>
        <w:t>2024</w:t>
      </w:r>
      <w:r>
        <w:rPr>
          <w:rFonts w:ascii="TimesNewRoman" w:hAnsi="TimesNewRoman" w:cs="TimesNewRoman"/>
          <w:szCs w:val="32"/>
        </w:rPr>
        <w:t>年预算</w:t>
      </w:r>
      <w:r>
        <w:rPr>
          <w:rFonts w:hint="eastAsia" w:ascii="TimesNewRoman" w:hAnsi="TimesNewRoman" w:cs="TimesNewRoman"/>
          <w:szCs w:val="32"/>
          <w:lang w:val="en-US" w:eastAsia="zh-CN"/>
        </w:rPr>
        <w:t>33.74</w:t>
      </w:r>
      <w:r>
        <w:rPr>
          <w:rFonts w:ascii="TimesNewRoman" w:hAnsi="TimesNewRoman" w:cs="TimesNewRoman"/>
          <w:szCs w:val="32"/>
        </w:rPr>
        <w:t>万元，比</w:t>
      </w:r>
      <w:r>
        <w:rPr>
          <w:rFonts w:hint="eastAsia" w:ascii="TimesNewRoman" w:hAnsi="TimesNewRoman" w:cs="TimesNewRoman"/>
          <w:szCs w:val="32"/>
        </w:rPr>
        <w:t>2023</w:t>
      </w:r>
      <w:r>
        <w:rPr>
          <w:rFonts w:ascii="TimesNewRoman" w:hAnsi="TimesNewRoman" w:cs="TimesNewRoman"/>
          <w:szCs w:val="32"/>
        </w:rPr>
        <w:t>年预算</w:t>
      </w:r>
      <w:r>
        <w:rPr>
          <w:rFonts w:hint="eastAsia" w:ascii="TimesNewRoman" w:hAnsi="TimesNewRoman" w:cs="TimesNewRoman"/>
          <w:szCs w:val="32"/>
          <w:lang w:eastAsia="zh-CN"/>
        </w:rPr>
        <w:t>增加</w:t>
      </w:r>
      <w:r>
        <w:rPr>
          <w:rFonts w:hint="eastAsia" w:ascii="TimesNewRoman" w:hAnsi="TimesNewRoman" w:cs="TimesNewRoman"/>
          <w:szCs w:val="32"/>
          <w:lang w:val="en-US" w:eastAsia="zh-CN"/>
        </w:rPr>
        <w:t>2.42</w:t>
      </w:r>
      <w:r>
        <w:rPr>
          <w:rFonts w:ascii="TimesNewRoman" w:hAnsi="TimesNewRoman" w:cs="TimesNewRoman"/>
          <w:szCs w:val="32"/>
        </w:rPr>
        <w:t>万元，</w:t>
      </w:r>
      <w:r>
        <w:rPr>
          <w:rFonts w:hint="eastAsia" w:ascii="TimesNewRoman" w:hAnsi="TimesNewRoman" w:cs="TimesNewRoman"/>
          <w:szCs w:val="32"/>
          <w:lang w:eastAsia="zh-CN"/>
        </w:rPr>
        <w:t>增长</w:t>
      </w:r>
      <w:r>
        <w:rPr>
          <w:rFonts w:hint="eastAsia" w:ascii="TimesNewRoman" w:hAnsi="TimesNewRoman" w:cs="TimesNewRoman"/>
          <w:szCs w:val="32"/>
          <w:lang w:val="en-US" w:eastAsia="zh-CN"/>
        </w:rPr>
        <w:t>7.73</w:t>
      </w:r>
      <w:r>
        <w:rPr>
          <w:rFonts w:ascii="TimesNewRoman" w:hAnsi="TimesNewRoman" w:cs="TimesNewRoman"/>
          <w:szCs w:val="32"/>
        </w:rPr>
        <w:t>%，</w:t>
      </w:r>
      <w:r>
        <w:rPr>
          <w:rFonts w:hint="eastAsia" w:ascii="仿宋_GB2312" w:hAnsi="仿宋" w:eastAsia="仿宋_GB2312"/>
          <w:sz w:val="32"/>
          <w:szCs w:val="32"/>
        </w:rPr>
        <w:t>增长原因主要是</w:t>
      </w:r>
      <w:r>
        <w:rPr>
          <w:rFonts w:hint="eastAsia" w:ascii="仿宋_GB2312" w:hAnsi="仿宋" w:eastAsia="仿宋_GB2312"/>
          <w:color w:val="auto"/>
          <w:sz w:val="32"/>
          <w:szCs w:val="32"/>
          <w:lang w:eastAsia="zh-CN"/>
        </w:rPr>
        <w:t>住房公积金基数调整</w:t>
      </w:r>
      <w:r>
        <w:rPr>
          <w:rFonts w:hint="eastAsia" w:ascii="仿宋_GB2312" w:hAnsi="仿宋" w:eastAsia="仿宋_GB2312"/>
          <w:sz w:val="32"/>
          <w:szCs w:val="32"/>
        </w:rPr>
        <w:t>。</w:t>
      </w:r>
    </w:p>
    <w:p>
      <w:pPr>
        <w:adjustRightInd w:val="0"/>
        <w:snapToGrid w:val="0"/>
        <w:spacing w:line="560" w:lineRule="exact"/>
        <w:ind w:firstLine="664" w:firstLineChars="200"/>
        <w:rPr>
          <w:rFonts w:hint="eastAsia" w:ascii="仿宋_GB2312" w:hAnsi="仿宋" w:eastAsia="仿宋_GB2312"/>
          <w:sz w:val="32"/>
          <w:szCs w:val="32"/>
        </w:rPr>
      </w:pPr>
      <w:r>
        <w:rPr>
          <w:rFonts w:hint="eastAsia" w:ascii="TimesNewRoman" w:hAnsi="TimesNewRoman" w:cs="TimesNewRoman"/>
          <w:b/>
          <w:szCs w:val="32"/>
          <w:lang w:val="en-US" w:eastAsia="zh-CN"/>
        </w:rPr>
        <w:t>24</w:t>
      </w:r>
      <w:r>
        <w:rPr>
          <w:rFonts w:ascii="TimesNewRoman" w:hAnsi="TimesNewRoman" w:cs="TimesNewRoman"/>
          <w:b/>
          <w:szCs w:val="32"/>
        </w:rPr>
        <w:t>.</w:t>
      </w:r>
      <w:r>
        <w:rPr>
          <w:rFonts w:hint="eastAsia" w:ascii="TimesNewRoman" w:hAnsi="TimesNewRoman" w:cs="TimesNewRoman"/>
          <w:b/>
          <w:szCs w:val="32"/>
          <w:lang w:eastAsia="zh-CN"/>
        </w:rPr>
        <w:t>住房保障支出</w:t>
      </w:r>
      <w:r>
        <w:rPr>
          <w:rFonts w:ascii="TimesNewRoman" w:hAnsi="TimesNewRoman" w:cs="TimesNewRoman"/>
          <w:b/>
          <w:szCs w:val="32"/>
        </w:rPr>
        <w:t>（类）</w:t>
      </w:r>
      <w:r>
        <w:rPr>
          <w:rFonts w:hint="eastAsia" w:ascii="TimesNewRoman" w:hAnsi="TimesNewRoman" w:cs="TimesNewRoman"/>
          <w:b/>
          <w:szCs w:val="32"/>
          <w:lang w:eastAsia="zh-CN"/>
        </w:rPr>
        <w:t>住房改革支出</w:t>
      </w:r>
      <w:r>
        <w:rPr>
          <w:rFonts w:ascii="TimesNewRoman" w:hAnsi="TimesNewRoman" w:cs="TimesNewRoman"/>
          <w:b/>
          <w:szCs w:val="32"/>
        </w:rPr>
        <w:t>（款）</w:t>
      </w:r>
      <w:r>
        <w:rPr>
          <w:rFonts w:hint="eastAsia" w:ascii="TimesNewRoman" w:hAnsi="TimesNewRoman" w:cs="TimesNewRoman"/>
          <w:b/>
          <w:szCs w:val="32"/>
          <w:lang w:eastAsia="zh-CN"/>
        </w:rPr>
        <w:t>提租补贴</w:t>
      </w:r>
      <w:r>
        <w:rPr>
          <w:rFonts w:ascii="TimesNewRoman" w:hAnsi="TimesNewRoman" w:cs="TimesNewRoman"/>
          <w:b/>
          <w:szCs w:val="32"/>
        </w:rPr>
        <w:t>（项）</w:t>
      </w:r>
      <w:r>
        <w:rPr>
          <w:rFonts w:ascii="TimesNewRoman" w:hAnsi="TimesNewRoman" w:cs="TimesNewRoman"/>
          <w:szCs w:val="32"/>
          <w:lang w:val="en"/>
        </w:rPr>
        <w:t>2024</w:t>
      </w:r>
      <w:r>
        <w:rPr>
          <w:rFonts w:ascii="TimesNewRoman" w:hAnsi="TimesNewRoman" w:cs="TimesNewRoman"/>
          <w:szCs w:val="32"/>
        </w:rPr>
        <w:t>年预算</w:t>
      </w:r>
      <w:r>
        <w:rPr>
          <w:rFonts w:hint="eastAsia" w:ascii="TimesNewRoman" w:hAnsi="TimesNewRoman" w:cs="TimesNewRoman"/>
          <w:szCs w:val="32"/>
          <w:lang w:val="en-US" w:eastAsia="zh-CN"/>
        </w:rPr>
        <w:t>8.44</w:t>
      </w:r>
      <w:r>
        <w:rPr>
          <w:rFonts w:ascii="TimesNewRoman" w:hAnsi="TimesNewRoman" w:cs="TimesNewRoman"/>
          <w:szCs w:val="32"/>
        </w:rPr>
        <w:t>万元，比</w:t>
      </w:r>
      <w:r>
        <w:rPr>
          <w:rFonts w:hint="eastAsia" w:ascii="TimesNewRoman" w:hAnsi="TimesNewRoman" w:cs="TimesNewRoman"/>
          <w:szCs w:val="32"/>
        </w:rPr>
        <w:t>2023</w:t>
      </w:r>
      <w:r>
        <w:rPr>
          <w:rFonts w:ascii="TimesNewRoman" w:hAnsi="TimesNewRoman" w:cs="TimesNewRoman"/>
          <w:szCs w:val="32"/>
        </w:rPr>
        <w:t>年预算</w:t>
      </w:r>
      <w:r>
        <w:rPr>
          <w:rFonts w:hint="eastAsia" w:ascii="TimesNewRoman" w:hAnsi="TimesNewRoman" w:cs="TimesNewRoman"/>
          <w:szCs w:val="32"/>
          <w:lang w:eastAsia="zh-CN"/>
        </w:rPr>
        <w:t>增加</w:t>
      </w:r>
      <w:r>
        <w:rPr>
          <w:rFonts w:hint="eastAsia" w:ascii="TimesNewRoman" w:hAnsi="TimesNewRoman" w:cs="TimesNewRoman"/>
          <w:szCs w:val="32"/>
          <w:lang w:val="en-US" w:eastAsia="zh-CN"/>
        </w:rPr>
        <w:t>8.44</w:t>
      </w:r>
      <w:r>
        <w:rPr>
          <w:rFonts w:ascii="TimesNewRoman" w:hAnsi="TimesNewRoman" w:cs="TimesNewRoman"/>
          <w:szCs w:val="32"/>
        </w:rPr>
        <w:t>万元，</w:t>
      </w:r>
      <w:r>
        <w:rPr>
          <w:rFonts w:hint="eastAsia" w:ascii="TimesNewRoman" w:hAnsi="TimesNewRoman" w:cs="TimesNewRoman"/>
          <w:szCs w:val="32"/>
          <w:lang w:eastAsia="zh-CN"/>
        </w:rPr>
        <w:t>增长</w:t>
      </w:r>
      <w:r>
        <w:rPr>
          <w:rFonts w:hint="eastAsia" w:ascii="TimesNewRoman" w:hAnsi="TimesNewRoman" w:cs="TimesNewRoman"/>
          <w:szCs w:val="32"/>
          <w:lang w:val="en-US" w:eastAsia="zh-CN"/>
        </w:rPr>
        <w:t>100</w:t>
      </w:r>
      <w:r>
        <w:rPr>
          <w:rFonts w:ascii="TimesNewRoman" w:hAnsi="TimesNewRoman" w:cs="TimesNewRoman"/>
          <w:szCs w:val="32"/>
        </w:rPr>
        <w:t>%，</w:t>
      </w:r>
      <w:r>
        <w:rPr>
          <w:rFonts w:hint="eastAsia" w:ascii="仿宋_GB2312" w:hAnsi="仿宋" w:eastAsia="仿宋_GB2312"/>
          <w:sz w:val="32"/>
          <w:szCs w:val="32"/>
        </w:rPr>
        <w:t>增长原因主要是</w:t>
      </w:r>
      <w:r>
        <w:rPr>
          <w:rFonts w:hint="eastAsia" w:ascii="仿宋_GB2312" w:hAnsi="仿宋"/>
          <w:color w:val="auto"/>
          <w:sz w:val="32"/>
          <w:szCs w:val="32"/>
          <w:lang w:eastAsia="zh-CN"/>
        </w:rPr>
        <w:t>提租补贴</w:t>
      </w:r>
      <w:r>
        <w:rPr>
          <w:rFonts w:hint="eastAsia" w:ascii="仿宋_GB2312" w:hAnsi="仿宋" w:eastAsia="仿宋_GB2312"/>
          <w:color w:val="auto"/>
          <w:sz w:val="32"/>
          <w:szCs w:val="32"/>
          <w:lang w:eastAsia="zh-CN"/>
        </w:rPr>
        <w:t>调整</w:t>
      </w:r>
      <w:r>
        <w:rPr>
          <w:rFonts w:hint="eastAsia" w:ascii="仿宋_GB2312" w:hAnsi="仿宋" w:eastAsia="仿宋_GB2312"/>
          <w:sz w:val="32"/>
          <w:szCs w:val="32"/>
        </w:rPr>
        <w:t>。</w:t>
      </w:r>
    </w:p>
    <w:p>
      <w:pPr>
        <w:adjustRightInd w:val="0"/>
        <w:snapToGrid w:val="0"/>
        <w:spacing w:line="560" w:lineRule="exact"/>
        <w:ind w:firstLine="664" w:firstLineChars="200"/>
        <w:rPr>
          <w:rFonts w:hint="eastAsia"/>
          <w:lang w:val="en-US" w:eastAsia="zh-CN"/>
        </w:rPr>
      </w:pPr>
      <w:r>
        <w:rPr>
          <w:rFonts w:hint="eastAsia" w:ascii="TimesNewRoman" w:hAnsi="TimesNewRoman" w:cs="TimesNewRoman"/>
          <w:b/>
          <w:szCs w:val="32"/>
          <w:lang w:val="en-US" w:eastAsia="zh-CN"/>
        </w:rPr>
        <w:t>25</w:t>
      </w:r>
      <w:r>
        <w:rPr>
          <w:rFonts w:ascii="TimesNewRoman" w:hAnsi="TimesNewRoman" w:cs="TimesNewRoman"/>
          <w:b/>
          <w:szCs w:val="32"/>
        </w:rPr>
        <w:t>.</w:t>
      </w:r>
      <w:r>
        <w:rPr>
          <w:rFonts w:hint="eastAsia" w:ascii="TimesNewRoman" w:hAnsi="TimesNewRoman" w:cs="TimesNewRoman"/>
          <w:b/>
          <w:szCs w:val="32"/>
          <w:lang w:eastAsia="zh-CN"/>
        </w:rPr>
        <w:t>住房保障支出</w:t>
      </w:r>
      <w:r>
        <w:rPr>
          <w:rFonts w:ascii="TimesNewRoman" w:hAnsi="TimesNewRoman" w:cs="TimesNewRoman"/>
          <w:b/>
          <w:szCs w:val="32"/>
        </w:rPr>
        <w:t>（类）</w:t>
      </w:r>
      <w:r>
        <w:rPr>
          <w:rFonts w:hint="eastAsia" w:ascii="TimesNewRoman" w:hAnsi="TimesNewRoman" w:cs="TimesNewRoman"/>
          <w:b/>
          <w:szCs w:val="32"/>
          <w:lang w:eastAsia="zh-CN"/>
        </w:rPr>
        <w:t>住房改革支出</w:t>
      </w:r>
      <w:r>
        <w:rPr>
          <w:rFonts w:ascii="TimesNewRoman" w:hAnsi="TimesNewRoman" w:cs="TimesNewRoman"/>
          <w:b/>
          <w:szCs w:val="32"/>
        </w:rPr>
        <w:t>（款）</w:t>
      </w:r>
      <w:r>
        <w:rPr>
          <w:rFonts w:hint="eastAsia" w:ascii="TimesNewRoman" w:hAnsi="TimesNewRoman" w:cs="TimesNewRoman"/>
          <w:b/>
          <w:szCs w:val="32"/>
          <w:lang w:eastAsia="zh-CN"/>
        </w:rPr>
        <w:t>购房补贴</w:t>
      </w:r>
      <w:r>
        <w:rPr>
          <w:rFonts w:ascii="TimesNewRoman" w:hAnsi="TimesNewRoman" w:cs="TimesNewRoman"/>
          <w:b/>
          <w:szCs w:val="32"/>
        </w:rPr>
        <w:t>（项）</w:t>
      </w:r>
      <w:r>
        <w:rPr>
          <w:rFonts w:ascii="TimesNewRoman" w:hAnsi="TimesNewRoman" w:cs="TimesNewRoman"/>
          <w:szCs w:val="32"/>
          <w:lang w:val="en"/>
        </w:rPr>
        <w:t>2024</w:t>
      </w:r>
      <w:r>
        <w:rPr>
          <w:rFonts w:ascii="TimesNewRoman" w:hAnsi="TimesNewRoman" w:cs="TimesNewRoman"/>
          <w:szCs w:val="32"/>
        </w:rPr>
        <w:t>年预算</w:t>
      </w:r>
      <w:r>
        <w:rPr>
          <w:rFonts w:hint="eastAsia" w:ascii="TimesNewRoman" w:hAnsi="TimesNewRoman" w:cs="TimesNewRoman"/>
          <w:szCs w:val="32"/>
          <w:lang w:val="en-US" w:eastAsia="zh-CN"/>
        </w:rPr>
        <w:t>8.44</w:t>
      </w:r>
      <w:r>
        <w:rPr>
          <w:rFonts w:ascii="TimesNewRoman" w:hAnsi="TimesNewRoman" w:cs="TimesNewRoman"/>
          <w:szCs w:val="32"/>
        </w:rPr>
        <w:t>万元，比</w:t>
      </w:r>
      <w:r>
        <w:rPr>
          <w:rFonts w:hint="eastAsia" w:ascii="TimesNewRoman" w:hAnsi="TimesNewRoman" w:cs="TimesNewRoman"/>
          <w:szCs w:val="32"/>
        </w:rPr>
        <w:t>2023</w:t>
      </w:r>
      <w:r>
        <w:rPr>
          <w:rFonts w:ascii="TimesNewRoman" w:hAnsi="TimesNewRoman" w:cs="TimesNewRoman"/>
          <w:szCs w:val="32"/>
        </w:rPr>
        <w:t>年预算</w:t>
      </w:r>
      <w:r>
        <w:rPr>
          <w:rFonts w:hint="eastAsia" w:ascii="TimesNewRoman" w:hAnsi="TimesNewRoman" w:cs="TimesNewRoman"/>
          <w:szCs w:val="32"/>
          <w:lang w:eastAsia="zh-CN"/>
        </w:rPr>
        <w:t>减少</w:t>
      </w:r>
      <w:r>
        <w:rPr>
          <w:rFonts w:hint="eastAsia" w:ascii="TimesNewRoman" w:hAnsi="TimesNewRoman" w:cs="TimesNewRoman"/>
          <w:szCs w:val="32"/>
          <w:lang w:val="en-US" w:eastAsia="zh-CN"/>
        </w:rPr>
        <w:t>4.64</w:t>
      </w:r>
      <w:r>
        <w:rPr>
          <w:rFonts w:ascii="TimesNewRoman" w:hAnsi="TimesNewRoman" w:cs="TimesNewRoman"/>
          <w:szCs w:val="32"/>
        </w:rPr>
        <w:t>万元，</w:t>
      </w:r>
      <w:r>
        <w:rPr>
          <w:rFonts w:hint="eastAsia" w:ascii="TimesNewRoman" w:hAnsi="TimesNewRoman" w:cs="TimesNewRoman"/>
          <w:szCs w:val="32"/>
          <w:lang w:eastAsia="zh-CN"/>
        </w:rPr>
        <w:t>下降</w:t>
      </w:r>
      <w:r>
        <w:rPr>
          <w:rFonts w:hint="eastAsia" w:ascii="TimesNewRoman" w:hAnsi="TimesNewRoman" w:cs="TimesNewRoman"/>
          <w:szCs w:val="32"/>
          <w:lang w:val="en-US" w:eastAsia="zh-CN"/>
        </w:rPr>
        <w:t>35.33</w:t>
      </w:r>
      <w:r>
        <w:rPr>
          <w:rFonts w:ascii="TimesNewRoman" w:hAnsi="TimesNewRoman" w:cs="TimesNewRoman"/>
          <w:szCs w:val="32"/>
        </w:rPr>
        <w:t>%，</w:t>
      </w:r>
      <w:r>
        <w:rPr>
          <w:rFonts w:hint="eastAsia" w:ascii="仿宋_GB2312" w:hAnsi="仿宋" w:eastAsia="仿宋_GB2312"/>
          <w:sz w:val="32"/>
          <w:szCs w:val="32"/>
        </w:rPr>
        <w:t>增长原因主要是</w:t>
      </w:r>
      <w:r>
        <w:rPr>
          <w:rFonts w:hint="eastAsia" w:ascii="仿宋_GB2312" w:hAnsi="仿宋"/>
          <w:color w:val="auto"/>
          <w:sz w:val="32"/>
          <w:szCs w:val="32"/>
          <w:lang w:eastAsia="zh-CN"/>
        </w:rPr>
        <w:t>购房补贴支出</w:t>
      </w:r>
      <w:r>
        <w:rPr>
          <w:rFonts w:hint="eastAsia" w:ascii="仿宋_GB2312" w:hAnsi="仿宋" w:eastAsia="仿宋_GB2312"/>
          <w:color w:val="auto"/>
          <w:sz w:val="32"/>
          <w:szCs w:val="32"/>
          <w:lang w:eastAsia="zh-CN"/>
        </w:rPr>
        <w:t>调整</w:t>
      </w:r>
      <w:r>
        <w:rPr>
          <w:rFonts w:hint="eastAsia" w:ascii="仿宋_GB2312" w:hAnsi="仿宋" w:eastAsia="仿宋_GB2312"/>
          <w:sz w:val="32"/>
          <w:szCs w:val="32"/>
        </w:rPr>
        <w:t>。</w:t>
      </w:r>
    </w:p>
    <w:p>
      <w:pPr>
        <w:pStyle w:val="10"/>
        <w:adjustRightInd w:val="0"/>
        <w:snapToGrid w:val="0"/>
        <w:spacing w:line="560" w:lineRule="exact"/>
        <w:ind w:firstLine="664" w:firstLineChars="200"/>
        <w:rPr>
          <w:rFonts w:ascii="TimesNewRoman" w:hAnsi="TimesNewRoman" w:eastAsia="黑体" w:cs="TimesNewRoman"/>
        </w:rPr>
      </w:pPr>
      <w:r>
        <w:rPr>
          <w:rFonts w:ascii="TimesNewRoman" w:hAnsi="TimesNewRoman" w:eastAsia="黑体" w:cs="TimesNewRoman"/>
          <w:sz w:val="32"/>
          <w:szCs w:val="32"/>
        </w:rPr>
        <w:t>六、关于</w:t>
      </w:r>
      <w:r>
        <w:rPr>
          <w:rFonts w:ascii="TimesNewRoman" w:hAnsi="TimesNewRoman" w:eastAsia="黑体" w:cs="TimesNewRoman"/>
          <w:sz w:val="32"/>
          <w:szCs w:val="32"/>
          <w:lang w:val="en"/>
        </w:rPr>
        <w:t>2024</w:t>
      </w:r>
      <w:r>
        <w:rPr>
          <w:rFonts w:ascii="TimesNewRoman" w:hAnsi="TimesNewRoman" w:eastAsia="黑体" w:cs="TimesNewRoman"/>
          <w:sz w:val="32"/>
          <w:szCs w:val="32"/>
        </w:rPr>
        <w:t>年一般公共预算基本支出表的说明</w:t>
      </w:r>
    </w:p>
    <w:p>
      <w:pPr>
        <w:spacing w:line="560" w:lineRule="exact"/>
        <w:ind w:firstLine="664" w:firstLineChars="200"/>
        <w:rPr>
          <w:rFonts w:ascii="TimesNewRoman" w:hAnsi="TimesNewRoman" w:cs="TimesNewRoman"/>
          <w:szCs w:val="32"/>
        </w:rPr>
      </w:pPr>
      <w:r>
        <w:rPr>
          <w:rFonts w:ascii="TimesNewRoman" w:hAnsi="TimesNewRoman" w:cs="TimesNewRoman"/>
          <w:szCs w:val="32"/>
        </w:rPr>
        <w:t>相山区</w:t>
      </w:r>
      <w:r>
        <w:rPr>
          <w:rFonts w:hint="eastAsia" w:ascii="TimesNewRoman" w:hAnsi="TimesNewRoman" w:cs="TimesNewRoman"/>
          <w:szCs w:val="32"/>
          <w:lang w:eastAsia="zh-CN"/>
        </w:rPr>
        <w:t>民政局</w:t>
      </w:r>
      <w:r>
        <w:rPr>
          <w:rFonts w:ascii="TimesNewRoman" w:hAnsi="TimesNewRoman" w:cs="TimesNewRoman"/>
          <w:szCs w:val="32"/>
          <w:lang w:val="en"/>
        </w:rPr>
        <w:t>2024</w:t>
      </w:r>
      <w:r>
        <w:rPr>
          <w:rFonts w:ascii="TimesNewRoman" w:hAnsi="TimesNewRoman" w:cs="TimesNewRoman"/>
          <w:szCs w:val="32"/>
        </w:rPr>
        <w:t>年一般公共预算基本支出</w:t>
      </w:r>
      <w:r>
        <w:rPr>
          <w:rFonts w:hint="eastAsia" w:ascii="TimesNewRoman" w:hAnsi="TimesNewRoman" w:cs="TimesNewRoman"/>
          <w:szCs w:val="32"/>
          <w:lang w:val="en-US" w:eastAsia="zh-CN"/>
        </w:rPr>
        <w:t>516.66</w:t>
      </w:r>
      <w:r>
        <w:rPr>
          <w:rFonts w:ascii="TimesNewRoman" w:hAnsi="TimesNewRoman" w:cs="TimesNewRoman"/>
          <w:szCs w:val="32"/>
        </w:rPr>
        <w:t>万元，其中，人员经费</w:t>
      </w:r>
      <w:r>
        <w:rPr>
          <w:rFonts w:hint="eastAsia" w:ascii="TimesNewRoman" w:hAnsi="TimesNewRoman" w:cs="TimesNewRoman"/>
          <w:szCs w:val="32"/>
          <w:lang w:val="en-US" w:eastAsia="zh-CN"/>
        </w:rPr>
        <w:t>485.29</w:t>
      </w:r>
      <w:r>
        <w:rPr>
          <w:rFonts w:ascii="TimesNewRoman" w:hAnsi="TimesNewRoman" w:cs="TimesNewRoman"/>
          <w:szCs w:val="32"/>
        </w:rPr>
        <w:t>万元，公用经费</w:t>
      </w:r>
      <w:r>
        <w:rPr>
          <w:rFonts w:hint="eastAsia" w:ascii="TimesNewRoman" w:hAnsi="TimesNewRoman" w:cs="TimesNewRoman"/>
          <w:szCs w:val="32"/>
          <w:lang w:val="en-US" w:eastAsia="zh-CN"/>
        </w:rPr>
        <w:t>31.37</w:t>
      </w:r>
      <w:r>
        <w:rPr>
          <w:rFonts w:ascii="TimesNewRoman" w:hAnsi="TimesNewRoman" w:cs="TimesNewRoman"/>
          <w:szCs w:val="32"/>
        </w:rPr>
        <w:t>万元。</w:t>
      </w:r>
    </w:p>
    <w:p>
      <w:pPr>
        <w:spacing w:line="560" w:lineRule="exact"/>
        <w:ind w:firstLine="664" w:firstLineChars="200"/>
        <w:rPr>
          <w:rFonts w:ascii="TimesNewRoman" w:hAnsi="TimesNewRoman" w:cs="TimesNewRoman"/>
          <w:szCs w:val="32"/>
        </w:rPr>
      </w:pPr>
      <w:r>
        <w:rPr>
          <w:rFonts w:ascii="TimesNewRoman" w:hAnsi="TimesNewRoman" w:cs="TimesNewRoman"/>
          <w:szCs w:val="32"/>
        </w:rPr>
        <w:t>（一）人员经费</w:t>
      </w:r>
      <w:r>
        <w:rPr>
          <w:rFonts w:hint="eastAsia" w:ascii="TimesNewRoman" w:hAnsi="TimesNewRoman" w:cs="TimesNewRoman"/>
          <w:szCs w:val="32"/>
          <w:lang w:val="en-US" w:eastAsia="zh-CN"/>
        </w:rPr>
        <w:t>485.29</w:t>
      </w:r>
      <w:r>
        <w:rPr>
          <w:rFonts w:ascii="TimesNewRoman" w:hAnsi="TimesNewRoman" w:cs="TimesNewRoman"/>
          <w:szCs w:val="32"/>
        </w:rPr>
        <w:t>万元，主要包括:</w:t>
      </w:r>
      <w:r>
        <w:rPr>
          <w:rFonts w:hint="eastAsia" w:ascii="TimesNewRoman" w:hAnsi="TimesNewRoman" w:cs="TimesNewRoman"/>
          <w:szCs w:val="32"/>
        </w:rPr>
        <w:t>基本工资、津贴补贴、奖金、绩效工资、机关事业单位基本养老保险费、职业年金缴费、职工基本医疗保险缴费、公务员医疗补助缴费、其他社会保障缴费、住房公积金、其他工资福利支出</w:t>
      </w:r>
      <w:r>
        <w:rPr>
          <w:rFonts w:hint="eastAsia" w:ascii="TimesNewRoman" w:hAnsi="TimesNewRoman" w:cs="TimesNewRoman"/>
          <w:szCs w:val="32"/>
          <w:lang w:eastAsia="zh-CN"/>
        </w:rPr>
        <w:t>、</w:t>
      </w:r>
      <w:r>
        <w:rPr>
          <w:rFonts w:hint="eastAsia" w:ascii="TimesNewRoman" w:hAnsi="TimesNewRoman" w:cs="TimesNewRoman"/>
          <w:szCs w:val="32"/>
        </w:rPr>
        <w:t>培训费、工会经费、福利费</w:t>
      </w:r>
      <w:r>
        <w:rPr>
          <w:rFonts w:hint="eastAsia" w:ascii="TimesNewRoman" w:hAnsi="TimesNewRoman" w:cs="TimesNewRoman"/>
          <w:szCs w:val="32"/>
          <w:lang w:eastAsia="zh-CN"/>
        </w:rPr>
        <w:t>、生活补助、其他对个人和家庭补助的支出</w:t>
      </w:r>
      <w:r>
        <w:rPr>
          <w:rFonts w:hint="eastAsia" w:ascii="TimesNewRoman" w:hAnsi="TimesNewRoman" w:cs="TimesNewRoman"/>
          <w:szCs w:val="32"/>
        </w:rPr>
        <w:t>。</w:t>
      </w:r>
    </w:p>
    <w:p>
      <w:pPr>
        <w:spacing w:line="560" w:lineRule="exact"/>
        <w:ind w:firstLine="664" w:firstLineChars="200"/>
        <w:rPr>
          <w:rFonts w:ascii="TimesNewRoman" w:hAnsi="TimesNewRoman" w:cs="TimesNewRoman"/>
          <w:szCs w:val="32"/>
        </w:rPr>
      </w:pPr>
      <w:r>
        <w:rPr>
          <w:rFonts w:ascii="TimesNewRoman" w:hAnsi="TimesNewRoman" w:cs="TimesNewRoman"/>
          <w:szCs w:val="32"/>
        </w:rPr>
        <w:t>（二）公用经费</w:t>
      </w:r>
      <w:r>
        <w:rPr>
          <w:rFonts w:hint="eastAsia" w:ascii="TimesNewRoman" w:hAnsi="TimesNewRoman" w:cs="TimesNewRoman"/>
          <w:szCs w:val="32"/>
          <w:lang w:val="en-US" w:eastAsia="zh-CN"/>
        </w:rPr>
        <w:t>31.37</w:t>
      </w:r>
      <w:r>
        <w:rPr>
          <w:rFonts w:ascii="TimesNewRoman" w:hAnsi="TimesNewRoman" w:cs="TimesNewRoman"/>
          <w:szCs w:val="32"/>
        </w:rPr>
        <w:t>万元，主要包括：</w:t>
      </w:r>
      <w:r>
        <w:rPr>
          <w:rFonts w:hint="eastAsia" w:ascii="TimesNewRoman" w:hAnsi="TimesNewRoman" w:cs="TimesNewRoman"/>
          <w:szCs w:val="32"/>
        </w:rPr>
        <w:t>办公费、</w:t>
      </w:r>
      <w:r>
        <w:rPr>
          <w:rFonts w:hint="eastAsia" w:ascii="TimesNewRoman" w:hAnsi="TimesNewRoman" w:cs="TimesNewRoman"/>
          <w:szCs w:val="32"/>
          <w:lang w:eastAsia="zh-CN"/>
        </w:rPr>
        <w:t>印刷费、差旅费、公务接待费</w:t>
      </w:r>
      <w:r>
        <w:rPr>
          <w:rFonts w:hint="eastAsia" w:ascii="TimesNewRoman" w:hAnsi="TimesNewRoman" w:cs="TimesNewRoman"/>
          <w:szCs w:val="32"/>
        </w:rPr>
        <w:t>、</w:t>
      </w:r>
      <w:r>
        <w:rPr>
          <w:rFonts w:hint="eastAsia" w:ascii="TimesNewRoman" w:hAnsi="TimesNewRoman" w:cs="TimesNewRoman"/>
          <w:szCs w:val="32"/>
          <w:lang w:eastAsia="zh-CN"/>
        </w:rPr>
        <w:t>委托业务</w:t>
      </w:r>
      <w:r>
        <w:rPr>
          <w:rFonts w:hint="eastAsia" w:ascii="TimesNewRoman" w:hAnsi="TimesNewRoman" w:cs="TimesNewRoman"/>
          <w:szCs w:val="32"/>
        </w:rPr>
        <w:t>费、其他交通费用</w:t>
      </w:r>
      <w:r>
        <w:rPr>
          <w:rFonts w:hint="eastAsia" w:ascii="TimesNewRoman" w:hAnsi="TimesNewRoman" w:cs="TimesNewRoman"/>
          <w:szCs w:val="32"/>
          <w:lang w:eastAsia="zh-CN"/>
        </w:rPr>
        <w:t>、其他商品和服务支出</w:t>
      </w:r>
      <w:r>
        <w:rPr>
          <w:rFonts w:hint="eastAsia" w:ascii="TimesNewRoman" w:hAnsi="TimesNewRoman" w:cs="TimesNewRoman"/>
          <w:szCs w:val="32"/>
        </w:rPr>
        <w:t>。</w:t>
      </w:r>
    </w:p>
    <w:p>
      <w:pPr>
        <w:pStyle w:val="10"/>
        <w:adjustRightInd w:val="0"/>
        <w:snapToGrid w:val="0"/>
        <w:spacing w:line="560" w:lineRule="exact"/>
        <w:ind w:firstLine="664" w:firstLineChars="200"/>
        <w:rPr>
          <w:rFonts w:ascii="TimesNewRoman" w:hAnsi="TimesNewRoman" w:eastAsia="黑体" w:cs="TimesNewRoman"/>
          <w:sz w:val="32"/>
          <w:szCs w:val="32"/>
        </w:rPr>
      </w:pPr>
      <w:r>
        <w:rPr>
          <w:rFonts w:ascii="TimesNewRoman" w:hAnsi="TimesNewRoman" w:eastAsia="黑体" w:cs="TimesNewRoman"/>
          <w:sz w:val="32"/>
          <w:szCs w:val="32"/>
        </w:rPr>
        <w:t>七、关于</w:t>
      </w:r>
      <w:r>
        <w:rPr>
          <w:rFonts w:ascii="TimesNewRoman" w:hAnsi="TimesNewRoman" w:eastAsia="黑体" w:cs="TimesNewRoman"/>
          <w:sz w:val="32"/>
          <w:szCs w:val="32"/>
          <w:lang w:val="en"/>
        </w:rPr>
        <w:t>2024</w:t>
      </w:r>
      <w:r>
        <w:rPr>
          <w:rFonts w:ascii="TimesNewRoman" w:hAnsi="TimesNewRoman" w:eastAsia="黑体" w:cs="TimesNewRoman"/>
          <w:sz w:val="32"/>
          <w:szCs w:val="32"/>
        </w:rPr>
        <w:t>年政府性基金预算支出表的说明</w:t>
      </w:r>
    </w:p>
    <w:p>
      <w:pPr>
        <w:pStyle w:val="10"/>
        <w:adjustRightInd w:val="0"/>
        <w:snapToGrid w:val="0"/>
        <w:spacing w:line="560" w:lineRule="exact"/>
        <w:ind w:firstLine="498" w:firstLineChars="150"/>
        <w:outlineLvl w:val="0"/>
        <w:rPr>
          <w:rFonts w:ascii="TimesNewRoman" w:hAnsi="TimesNewRoman" w:eastAsia="仿宋_GB2312" w:cs="TimesNewRoman"/>
          <w:sz w:val="32"/>
          <w:szCs w:val="32"/>
        </w:rPr>
      </w:pPr>
      <w:r>
        <w:rPr>
          <w:rFonts w:ascii="TimesNewRoman" w:hAnsi="TimesNewRoman" w:eastAsia="仿宋_GB2312" w:cs="TimesNewRoman"/>
          <w:sz w:val="32"/>
          <w:szCs w:val="32"/>
        </w:rPr>
        <w:t>相山区</w:t>
      </w:r>
      <w:r>
        <w:rPr>
          <w:rFonts w:hint="eastAsia" w:ascii="TimesNewRoman" w:hAnsi="TimesNewRoman" w:eastAsia="仿宋_GB2312" w:cs="TimesNewRoman"/>
          <w:sz w:val="32"/>
          <w:szCs w:val="32"/>
          <w:lang w:eastAsia="zh-CN"/>
        </w:rPr>
        <w:t>民政局</w:t>
      </w:r>
      <w:r>
        <w:rPr>
          <w:rFonts w:ascii="TimesNewRoman" w:hAnsi="TimesNewRoman" w:eastAsia="仿宋_GB2312" w:cs="TimesNewRoman"/>
          <w:sz w:val="32"/>
          <w:szCs w:val="32"/>
          <w:lang w:val="en"/>
        </w:rPr>
        <w:t>2024</w:t>
      </w:r>
      <w:r>
        <w:rPr>
          <w:rFonts w:ascii="TimesNewRoman" w:hAnsi="TimesNewRoman" w:eastAsia="仿宋_GB2312" w:cs="TimesNewRoman"/>
          <w:sz w:val="32"/>
          <w:szCs w:val="32"/>
        </w:rPr>
        <w:t>年没有政府性基金预算拨款收入，也没有使用政府性基金预算拨款安排的支出。</w:t>
      </w:r>
    </w:p>
    <w:p>
      <w:pPr>
        <w:pStyle w:val="10"/>
        <w:adjustRightInd w:val="0"/>
        <w:snapToGrid w:val="0"/>
        <w:spacing w:line="560" w:lineRule="exact"/>
        <w:ind w:firstLine="664" w:firstLineChars="200"/>
        <w:rPr>
          <w:rFonts w:ascii="TimesNewRoman" w:hAnsi="TimesNewRoman" w:eastAsia="黑体" w:cs="TimesNewRoman"/>
          <w:sz w:val="32"/>
          <w:szCs w:val="32"/>
        </w:rPr>
      </w:pPr>
      <w:r>
        <w:rPr>
          <w:rFonts w:ascii="TimesNewRoman" w:hAnsi="TimesNewRoman" w:eastAsia="黑体" w:cs="TimesNewRoman"/>
          <w:sz w:val="32"/>
          <w:szCs w:val="32"/>
        </w:rPr>
        <w:t>八、关于</w:t>
      </w:r>
      <w:r>
        <w:rPr>
          <w:rFonts w:ascii="TimesNewRoman" w:hAnsi="TimesNewRoman" w:eastAsia="黑体" w:cs="TimesNewRoman"/>
          <w:sz w:val="32"/>
          <w:szCs w:val="32"/>
          <w:lang w:val="en"/>
        </w:rPr>
        <w:t>2024</w:t>
      </w:r>
      <w:r>
        <w:rPr>
          <w:rFonts w:ascii="TimesNewRoman" w:hAnsi="TimesNewRoman" w:eastAsia="黑体" w:cs="TimesNewRoman"/>
          <w:sz w:val="32"/>
          <w:szCs w:val="32"/>
        </w:rPr>
        <w:t>年国有资本经营预算支出表的说明</w:t>
      </w:r>
    </w:p>
    <w:p>
      <w:pPr>
        <w:pStyle w:val="10"/>
        <w:adjustRightInd w:val="0"/>
        <w:snapToGrid w:val="0"/>
        <w:spacing w:line="560" w:lineRule="exact"/>
        <w:ind w:firstLine="664" w:firstLineChars="200"/>
        <w:rPr>
          <w:rFonts w:ascii="TimesNewRoman" w:hAnsi="TimesNewRoman" w:eastAsia="仿宋_GB2312" w:cs="TimesNewRoman"/>
          <w:sz w:val="32"/>
          <w:szCs w:val="32"/>
        </w:rPr>
      </w:pPr>
      <w:r>
        <w:rPr>
          <w:rFonts w:ascii="TimesNewRoman" w:hAnsi="TimesNewRoman" w:eastAsia="仿宋_GB2312" w:cs="TimesNewRoman"/>
          <w:sz w:val="32"/>
          <w:szCs w:val="32"/>
        </w:rPr>
        <w:t>相山区</w:t>
      </w:r>
      <w:r>
        <w:rPr>
          <w:rFonts w:hint="eastAsia" w:ascii="TimesNewRoman" w:hAnsi="TimesNewRoman" w:eastAsia="仿宋_GB2312" w:cs="TimesNewRoman"/>
          <w:sz w:val="32"/>
          <w:szCs w:val="32"/>
          <w:lang w:eastAsia="zh-CN"/>
        </w:rPr>
        <w:t>民政局</w:t>
      </w:r>
      <w:r>
        <w:rPr>
          <w:rFonts w:ascii="TimesNewRoman" w:hAnsi="TimesNewRoman" w:eastAsia="仿宋_GB2312" w:cs="TimesNewRoman"/>
          <w:sz w:val="32"/>
          <w:szCs w:val="32"/>
          <w:lang w:val="en"/>
        </w:rPr>
        <w:t>2024</w:t>
      </w:r>
      <w:r>
        <w:rPr>
          <w:rFonts w:ascii="TimesNewRoman" w:hAnsi="TimesNewRoman" w:eastAsia="仿宋_GB2312" w:cs="TimesNewRoman"/>
          <w:sz w:val="32"/>
          <w:szCs w:val="32"/>
        </w:rPr>
        <w:t>年没有国有资本经营预算拨款收入，也没有使用国有资本经营预算拨款安排的支出。</w:t>
      </w:r>
    </w:p>
    <w:p>
      <w:pPr>
        <w:pStyle w:val="10"/>
        <w:adjustRightInd w:val="0"/>
        <w:snapToGrid w:val="0"/>
        <w:spacing w:line="560" w:lineRule="exact"/>
        <w:ind w:firstLine="664" w:firstLineChars="200"/>
        <w:rPr>
          <w:rFonts w:ascii="TimesNewRoman" w:hAnsi="TimesNewRoman" w:eastAsia="黑体" w:cs="TimesNewRoman"/>
          <w:sz w:val="32"/>
          <w:szCs w:val="32"/>
        </w:rPr>
      </w:pPr>
      <w:r>
        <w:rPr>
          <w:rFonts w:ascii="TimesNewRoman" w:hAnsi="TimesNewRoman" w:eastAsia="黑体" w:cs="TimesNewRoman"/>
          <w:sz w:val="32"/>
          <w:szCs w:val="32"/>
        </w:rPr>
        <w:t>九、关于</w:t>
      </w:r>
      <w:r>
        <w:rPr>
          <w:rFonts w:ascii="TimesNewRoman" w:hAnsi="TimesNewRoman" w:eastAsia="黑体" w:cs="TimesNewRoman"/>
          <w:sz w:val="32"/>
          <w:szCs w:val="32"/>
          <w:lang w:val="en"/>
        </w:rPr>
        <w:t>2024</w:t>
      </w:r>
      <w:r>
        <w:rPr>
          <w:rFonts w:ascii="TimesNewRoman" w:hAnsi="TimesNewRoman" w:eastAsia="黑体" w:cs="TimesNewRoman"/>
          <w:sz w:val="32"/>
          <w:szCs w:val="32"/>
        </w:rPr>
        <w:t>年项目支出表的说明</w:t>
      </w:r>
    </w:p>
    <w:p>
      <w:pPr>
        <w:pStyle w:val="10"/>
        <w:adjustRightInd w:val="0"/>
        <w:snapToGrid w:val="0"/>
        <w:spacing w:line="560" w:lineRule="exact"/>
        <w:ind w:firstLine="664" w:firstLineChars="200"/>
        <w:rPr>
          <w:rFonts w:ascii="TimesNewRoman" w:hAnsi="TimesNewRoman" w:eastAsia="仿宋_GB2312" w:cs="TimesNewRoman"/>
          <w:sz w:val="32"/>
          <w:szCs w:val="32"/>
        </w:rPr>
      </w:pPr>
      <w:r>
        <w:rPr>
          <w:rFonts w:ascii="TimesNewRoman" w:hAnsi="TimesNewRoman" w:eastAsia="仿宋_GB2312" w:cs="TimesNewRoman"/>
          <w:sz w:val="32"/>
          <w:szCs w:val="32"/>
        </w:rPr>
        <w:t>相山区</w:t>
      </w:r>
      <w:r>
        <w:rPr>
          <w:rFonts w:hint="eastAsia" w:ascii="TimesNewRoman" w:hAnsi="TimesNewRoman" w:eastAsia="仿宋_GB2312" w:cs="TimesNewRoman"/>
          <w:sz w:val="32"/>
          <w:szCs w:val="32"/>
          <w:lang w:eastAsia="zh-CN"/>
        </w:rPr>
        <w:t>民政局</w:t>
      </w:r>
      <w:r>
        <w:rPr>
          <w:rFonts w:ascii="TimesNewRoman" w:hAnsi="TimesNewRoman" w:eastAsia="仿宋_GB2312" w:cs="TimesNewRoman"/>
          <w:sz w:val="32"/>
          <w:szCs w:val="32"/>
          <w:lang w:val="en"/>
        </w:rPr>
        <w:t>2024</w:t>
      </w:r>
      <w:r>
        <w:rPr>
          <w:rFonts w:ascii="TimesNewRoman" w:hAnsi="TimesNewRoman" w:eastAsia="仿宋_GB2312" w:cs="TimesNewRoman"/>
          <w:sz w:val="32"/>
          <w:szCs w:val="32"/>
        </w:rPr>
        <w:t>年预算共安排项目支出</w:t>
      </w:r>
      <w:r>
        <w:rPr>
          <w:rFonts w:hint="eastAsia" w:ascii="TimesNewRoman" w:hAnsi="TimesNewRoman" w:eastAsia="仿宋_GB2312" w:cs="TimesNewRoman"/>
          <w:sz w:val="32"/>
          <w:szCs w:val="32"/>
          <w:lang w:val="en-US" w:eastAsia="zh-CN"/>
        </w:rPr>
        <w:t>1510.52</w:t>
      </w:r>
      <w:r>
        <w:rPr>
          <w:rFonts w:ascii="TimesNewRoman" w:hAnsi="TimesNewRoman" w:eastAsia="仿宋_GB2312" w:cs="TimesNewRoman"/>
          <w:sz w:val="32"/>
          <w:szCs w:val="32"/>
        </w:rPr>
        <w:t>万元，比</w:t>
      </w:r>
      <w:r>
        <w:rPr>
          <w:rFonts w:hint="eastAsia" w:ascii="TimesNewRoman" w:hAnsi="TimesNewRoman" w:eastAsia="仿宋_GB2312" w:cs="TimesNewRoman"/>
          <w:sz w:val="32"/>
          <w:szCs w:val="32"/>
        </w:rPr>
        <w:t>2023</w:t>
      </w:r>
      <w:r>
        <w:rPr>
          <w:rFonts w:ascii="TimesNewRoman" w:hAnsi="TimesNewRoman" w:eastAsia="仿宋_GB2312" w:cs="TimesNewRoman"/>
          <w:sz w:val="32"/>
          <w:szCs w:val="32"/>
        </w:rPr>
        <w:t>年预算增加</w:t>
      </w:r>
      <w:r>
        <w:rPr>
          <w:rFonts w:hint="eastAsia" w:ascii="TimesNewRoman" w:hAnsi="TimesNewRoman" w:eastAsia="仿宋_GB2312" w:cs="TimesNewRoman"/>
          <w:sz w:val="32"/>
          <w:szCs w:val="32"/>
          <w:lang w:val="en-US" w:eastAsia="zh-CN"/>
        </w:rPr>
        <w:t>614.64</w:t>
      </w:r>
      <w:r>
        <w:rPr>
          <w:rFonts w:ascii="TimesNewRoman" w:hAnsi="TimesNewRoman" w:eastAsia="仿宋_GB2312" w:cs="TimesNewRoman"/>
          <w:sz w:val="32"/>
          <w:szCs w:val="32"/>
        </w:rPr>
        <w:t>万元，增长</w:t>
      </w:r>
      <w:r>
        <w:rPr>
          <w:rFonts w:hint="eastAsia" w:ascii="TimesNewRoman" w:hAnsi="TimesNewRoman" w:eastAsia="仿宋_GB2312" w:cs="TimesNewRoman"/>
          <w:sz w:val="32"/>
          <w:szCs w:val="32"/>
          <w:lang w:val="en-US" w:eastAsia="zh-CN"/>
        </w:rPr>
        <w:t>68.61</w:t>
      </w:r>
      <w:r>
        <w:rPr>
          <w:rFonts w:ascii="TimesNewRoman" w:hAnsi="TimesNewRoman" w:eastAsia="仿宋_GB2312" w:cs="TimesNewRoman"/>
          <w:sz w:val="32"/>
          <w:szCs w:val="32"/>
        </w:rPr>
        <w:t>%，增长原因主要是</w:t>
      </w:r>
      <w:r>
        <w:rPr>
          <w:rFonts w:hint="eastAsia" w:ascii="TimesNewRoman" w:hAnsi="TimesNewRoman" w:eastAsia="仿宋_GB2312" w:cs="TimesNewRoman"/>
          <w:sz w:val="32"/>
          <w:szCs w:val="32"/>
          <w:lang w:eastAsia="zh-CN"/>
        </w:rPr>
        <w:t>暖民心工程老年助餐项目及民生工程项目资金发放标准提高</w:t>
      </w:r>
      <w:r>
        <w:rPr>
          <w:rFonts w:ascii="TimesNewRoman" w:hAnsi="TimesNewRoman" w:eastAsia="仿宋_GB2312" w:cs="TimesNewRoman"/>
          <w:sz w:val="32"/>
          <w:szCs w:val="32"/>
        </w:rPr>
        <w:t>。主要包括：本年财政拨款安排</w:t>
      </w:r>
      <w:r>
        <w:rPr>
          <w:rFonts w:hint="eastAsia" w:ascii="TimesNewRoman" w:hAnsi="TimesNewRoman" w:eastAsia="仿宋_GB2312" w:cs="TimesNewRoman"/>
          <w:sz w:val="32"/>
          <w:szCs w:val="32"/>
          <w:lang w:val="en-US" w:eastAsia="zh-CN"/>
        </w:rPr>
        <w:t>1510.52</w:t>
      </w:r>
      <w:r>
        <w:rPr>
          <w:rFonts w:ascii="TimesNewRoman" w:hAnsi="TimesNewRoman" w:eastAsia="仿宋_GB2312" w:cs="TimesNewRoman"/>
          <w:sz w:val="32"/>
          <w:szCs w:val="32"/>
        </w:rPr>
        <w:t>万元（其中，一般公共预算拨款安排</w:t>
      </w:r>
      <w:r>
        <w:rPr>
          <w:rFonts w:hint="eastAsia" w:ascii="TimesNewRoman" w:hAnsi="TimesNewRoman" w:eastAsia="仿宋_GB2312" w:cs="TimesNewRoman"/>
          <w:sz w:val="32"/>
          <w:szCs w:val="32"/>
          <w:lang w:val="en-US" w:eastAsia="zh-CN"/>
        </w:rPr>
        <w:t>1510.52</w:t>
      </w:r>
      <w:r>
        <w:rPr>
          <w:rFonts w:ascii="TimesNewRoman" w:hAnsi="TimesNewRoman" w:eastAsia="仿宋_GB2312" w:cs="TimesNewRoman"/>
          <w:sz w:val="32"/>
          <w:szCs w:val="32"/>
        </w:rPr>
        <w:t>万元，政府性基金预算拨款安排</w:t>
      </w:r>
      <w:r>
        <w:rPr>
          <w:rFonts w:hint="eastAsia" w:ascii="TimesNewRoman" w:hAnsi="TimesNewRoman" w:eastAsia="仿宋_GB2312" w:cs="TimesNewRoman"/>
          <w:sz w:val="32"/>
          <w:szCs w:val="32"/>
          <w:lang w:val="en-US" w:eastAsia="zh-CN"/>
        </w:rPr>
        <w:t>0</w:t>
      </w:r>
      <w:r>
        <w:rPr>
          <w:rFonts w:ascii="TimesNewRoman" w:hAnsi="TimesNewRoman" w:eastAsia="仿宋_GB2312" w:cs="TimesNewRoman"/>
          <w:sz w:val="32"/>
          <w:szCs w:val="32"/>
        </w:rPr>
        <w:t>万元，国有资本经营预算拨款安排</w:t>
      </w:r>
      <w:r>
        <w:rPr>
          <w:rFonts w:hint="eastAsia" w:ascii="TimesNewRoman" w:hAnsi="TimesNewRoman" w:eastAsia="仿宋_GB2312" w:cs="TimesNewRoman"/>
          <w:sz w:val="32"/>
          <w:szCs w:val="32"/>
          <w:lang w:val="en-US" w:eastAsia="zh-CN"/>
        </w:rPr>
        <w:t>0</w:t>
      </w:r>
      <w:r>
        <w:rPr>
          <w:rFonts w:ascii="TimesNewRoman" w:hAnsi="TimesNewRoman" w:eastAsia="仿宋_GB2312" w:cs="TimesNewRoman"/>
          <w:sz w:val="32"/>
          <w:szCs w:val="32"/>
        </w:rPr>
        <w:t>万元），财政拨款</w:t>
      </w:r>
      <w:r>
        <w:rPr>
          <w:rFonts w:hint="eastAsia" w:ascii="TimesNewRoman" w:hAnsi="TimesNewRoman" w:eastAsia="仿宋_GB2312" w:cs="TimesNewRoman"/>
          <w:sz w:val="32"/>
          <w:szCs w:val="32"/>
        </w:rPr>
        <w:t>上年</w:t>
      </w:r>
      <w:r>
        <w:rPr>
          <w:rFonts w:ascii="TimesNewRoman" w:hAnsi="TimesNewRoman" w:eastAsia="仿宋_GB2312" w:cs="TimesNewRoman"/>
          <w:sz w:val="32"/>
          <w:szCs w:val="32"/>
        </w:rPr>
        <w:t>结转安排</w:t>
      </w:r>
      <w:r>
        <w:rPr>
          <w:rFonts w:hint="eastAsia" w:ascii="TimesNewRoman" w:hAnsi="TimesNewRoman" w:eastAsia="仿宋_GB2312" w:cs="TimesNewRoman"/>
          <w:sz w:val="32"/>
          <w:szCs w:val="32"/>
          <w:lang w:val="en-US" w:eastAsia="zh-CN"/>
        </w:rPr>
        <w:t>0</w:t>
      </w:r>
      <w:r>
        <w:rPr>
          <w:rFonts w:ascii="TimesNewRoman" w:hAnsi="TimesNewRoman" w:eastAsia="仿宋_GB2312" w:cs="TimesNewRoman"/>
          <w:sz w:val="32"/>
          <w:szCs w:val="32"/>
        </w:rPr>
        <w:t>万元（其中，一般公共预算拨款安排</w:t>
      </w:r>
      <w:r>
        <w:rPr>
          <w:rFonts w:hint="eastAsia" w:ascii="TimesNewRoman" w:hAnsi="TimesNewRoman" w:eastAsia="仿宋_GB2312" w:cs="TimesNewRoman"/>
          <w:sz w:val="32"/>
          <w:szCs w:val="32"/>
          <w:lang w:val="en-US" w:eastAsia="zh-CN"/>
        </w:rPr>
        <w:t>0</w:t>
      </w:r>
      <w:r>
        <w:rPr>
          <w:rFonts w:ascii="TimesNewRoman" w:hAnsi="TimesNewRoman" w:eastAsia="仿宋_GB2312" w:cs="TimesNewRoman"/>
          <w:sz w:val="32"/>
          <w:szCs w:val="32"/>
        </w:rPr>
        <w:t>万元，政府性基金预算拨款安排</w:t>
      </w:r>
      <w:r>
        <w:rPr>
          <w:rFonts w:hint="eastAsia" w:ascii="TimesNewRoman" w:hAnsi="TimesNewRoman" w:eastAsia="仿宋_GB2312" w:cs="TimesNewRoman"/>
          <w:sz w:val="32"/>
          <w:szCs w:val="32"/>
          <w:lang w:val="en-US" w:eastAsia="zh-CN"/>
        </w:rPr>
        <w:t>0</w:t>
      </w:r>
      <w:r>
        <w:rPr>
          <w:rFonts w:ascii="TimesNewRoman" w:hAnsi="TimesNewRoman" w:eastAsia="仿宋_GB2312" w:cs="TimesNewRoman"/>
          <w:sz w:val="32"/>
          <w:szCs w:val="32"/>
        </w:rPr>
        <w:t>万元，国有资本经营预算拨款安排</w:t>
      </w:r>
      <w:r>
        <w:rPr>
          <w:rFonts w:hint="eastAsia" w:ascii="TimesNewRoman" w:hAnsi="TimesNewRoman" w:eastAsia="仿宋_GB2312" w:cs="TimesNewRoman"/>
          <w:sz w:val="32"/>
          <w:szCs w:val="32"/>
          <w:lang w:val="en-US" w:eastAsia="zh-CN"/>
        </w:rPr>
        <w:t>0</w:t>
      </w:r>
      <w:r>
        <w:rPr>
          <w:rFonts w:ascii="TimesNewRoman" w:hAnsi="TimesNewRoman" w:eastAsia="仿宋_GB2312" w:cs="TimesNewRoman"/>
          <w:sz w:val="32"/>
          <w:szCs w:val="32"/>
        </w:rPr>
        <w:t>万元）、财政专户管理资金安排</w:t>
      </w:r>
      <w:r>
        <w:rPr>
          <w:rFonts w:hint="eastAsia" w:ascii="TimesNewRoman" w:hAnsi="TimesNewRoman" w:eastAsia="仿宋_GB2312" w:cs="TimesNewRoman"/>
          <w:sz w:val="32"/>
          <w:szCs w:val="32"/>
          <w:lang w:val="en-US" w:eastAsia="zh-CN"/>
        </w:rPr>
        <w:t>0</w:t>
      </w:r>
      <w:r>
        <w:rPr>
          <w:rFonts w:ascii="TimesNewRoman" w:hAnsi="TimesNewRoman" w:eastAsia="仿宋_GB2312" w:cs="TimesNewRoman"/>
          <w:sz w:val="32"/>
          <w:szCs w:val="32"/>
        </w:rPr>
        <w:t>万元和单位资金安排</w:t>
      </w:r>
      <w:r>
        <w:rPr>
          <w:rFonts w:hint="eastAsia" w:ascii="TimesNewRoman" w:hAnsi="TimesNewRoman" w:eastAsia="仿宋_GB2312" w:cs="TimesNewRoman"/>
          <w:sz w:val="32"/>
          <w:szCs w:val="32"/>
          <w:lang w:val="en-US" w:eastAsia="zh-CN"/>
        </w:rPr>
        <w:t>0</w:t>
      </w:r>
      <w:r>
        <w:rPr>
          <w:rFonts w:ascii="TimesNewRoman" w:hAnsi="TimesNewRoman" w:eastAsia="仿宋_GB2312" w:cs="TimesNewRoman"/>
          <w:sz w:val="32"/>
          <w:szCs w:val="32"/>
        </w:rPr>
        <w:t>万元。</w:t>
      </w:r>
    </w:p>
    <w:p>
      <w:pPr>
        <w:pStyle w:val="10"/>
        <w:adjustRightInd w:val="0"/>
        <w:snapToGrid w:val="0"/>
        <w:spacing w:line="560" w:lineRule="exact"/>
        <w:ind w:firstLine="664" w:firstLineChars="200"/>
        <w:rPr>
          <w:rFonts w:ascii="TimesNewRoman" w:hAnsi="TimesNewRoman" w:eastAsia="黑体" w:cs="TimesNewRoman"/>
          <w:sz w:val="32"/>
          <w:szCs w:val="32"/>
        </w:rPr>
      </w:pPr>
      <w:r>
        <w:rPr>
          <w:rFonts w:ascii="TimesNewRoman" w:hAnsi="TimesNewRoman" w:eastAsia="黑体" w:cs="TimesNewRoman"/>
          <w:sz w:val="32"/>
          <w:szCs w:val="32"/>
        </w:rPr>
        <w:t>十、关于</w:t>
      </w:r>
      <w:r>
        <w:rPr>
          <w:rFonts w:ascii="TimesNewRoman" w:hAnsi="TimesNewRoman" w:eastAsia="黑体" w:cs="TimesNewRoman"/>
          <w:sz w:val="32"/>
          <w:szCs w:val="32"/>
          <w:lang w:val="en"/>
        </w:rPr>
        <w:t>2024</w:t>
      </w:r>
      <w:r>
        <w:rPr>
          <w:rFonts w:ascii="TimesNewRoman" w:hAnsi="TimesNewRoman" w:eastAsia="黑体" w:cs="TimesNewRoman"/>
          <w:sz w:val="32"/>
          <w:szCs w:val="32"/>
        </w:rPr>
        <w:t>年政府采购支出表的说明</w:t>
      </w:r>
    </w:p>
    <w:p>
      <w:pPr>
        <w:pStyle w:val="10"/>
        <w:adjustRightInd w:val="0"/>
        <w:snapToGrid w:val="0"/>
        <w:spacing w:line="560" w:lineRule="exact"/>
        <w:ind w:firstLine="664" w:firstLineChars="200"/>
        <w:outlineLvl w:val="0"/>
        <w:rPr>
          <w:rFonts w:ascii="TimesNewRoman" w:hAnsi="TimesNewRoman" w:eastAsia="仿宋_GB2312" w:cs="TimesNewRoman"/>
          <w:sz w:val="32"/>
          <w:szCs w:val="32"/>
        </w:rPr>
      </w:pPr>
      <w:r>
        <w:rPr>
          <w:rFonts w:ascii="TimesNewRoman" w:hAnsi="TimesNewRoman" w:eastAsia="仿宋_GB2312" w:cs="TimesNewRoman"/>
          <w:sz w:val="32"/>
          <w:szCs w:val="32"/>
        </w:rPr>
        <w:t>相山区</w:t>
      </w:r>
      <w:r>
        <w:rPr>
          <w:rFonts w:hint="eastAsia" w:ascii="TimesNewRoman" w:hAnsi="TimesNewRoman" w:eastAsia="仿宋_GB2312" w:cs="TimesNewRoman"/>
          <w:sz w:val="32"/>
          <w:szCs w:val="32"/>
          <w:lang w:eastAsia="zh-CN"/>
        </w:rPr>
        <w:t>民政局</w:t>
      </w:r>
      <w:r>
        <w:rPr>
          <w:rFonts w:ascii="TimesNewRoman" w:hAnsi="TimesNewRoman" w:eastAsia="仿宋_GB2312" w:cs="TimesNewRoman"/>
          <w:sz w:val="32"/>
          <w:szCs w:val="32"/>
          <w:lang w:val="en"/>
        </w:rPr>
        <w:t>2024</w:t>
      </w:r>
      <w:r>
        <w:rPr>
          <w:rFonts w:ascii="TimesNewRoman" w:hAnsi="TimesNewRoman" w:eastAsia="仿宋_GB2312" w:cs="TimesNewRoman"/>
          <w:sz w:val="32"/>
          <w:szCs w:val="32"/>
        </w:rPr>
        <w:t>年没有使用一般公共预算拨款、政府性基金预算拨款、国有资本经营预算拨款、财政专户管理资金和单位资金安排的政府采购支出。</w:t>
      </w:r>
    </w:p>
    <w:p>
      <w:pPr>
        <w:pStyle w:val="10"/>
        <w:adjustRightInd w:val="0"/>
        <w:snapToGrid w:val="0"/>
        <w:spacing w:line="560" w:lineRule="exact"/>
        <w:ind w:firstLine="664" w:firstLineChars="200"/>
        <w:rPr>
          <w:rFonts w:ascii="TimesNewRoman" w:hAnsi="TimesNewRoman" w:eastAsia="黑体" w:cs="TimesNewRoman"/>
          <w:sz w:val="32"/>
          <w:szCs w:val="32"/>
        </w:rPr>
      </w:pPr>
      <w:r>
        <w:rPr>
          <w:rFonts w:ascii="TimesNewRoman" w:hAnsi="TimesNewRoman" w:eastAsia="黑体" w:cs="TimesNewRoman"/>
          <w:sz w:val="32"/>
          <w:szCs w:val="32"/>
        </w:rPr>
        <w:t>十一、关于</w:t>
      </w:r>
      <w:r>
        <w:rPr>
          <w:rFonts w:ascii="TimesNewRoman" w:hAnsi="TimesNewRoman" w:eastAsia="黑体" w:cs="TimesNewRoman"/>
          <w:sz w:val="32"/>
          <w:szCs w:val="32"/>
          <w:lang w:val="en"/>
        </w:rPr>
        <w:t>2024</w:t>
      </w:r>
      <w:r>
        <w:rPr>
          <w:rFonts w:ascii="TimesNewRoman" w:hAnsi="TimesNewRoman" w:eastAsia="黑体" w:cs="TimesNewRoman"/>
          <w:sz w:val="32"/>
          <w:szCs w:val="32"/>
        </w:rPr>
        <w:t>年政府购买服务支出表的说明</w:t>
      </w:r>
    </w:p>
    <w:p>
      <w:pPr>
        <w:pStyle w:val="10"/>
        <w:adjustRightInd w:val="0"/>
        <w:snapToGrid w:val="0"/>
        <w:spacing w:line="560" w:lineRule="exact"/>
        <w:ind w:firstLine="664" w:firstLineChars="200"/>
        <w:outlineLvl w:val="0"/>
        <w:rPr>
          <w:rFonts w:ascii="TimesNewRoman" w:hAnsi="TimesNewRoman" w:eastAsia="仿宋_GB2312" w:cs="TimesNewRoman"/>
          <w:sz w:val="32"/>
          <w:szCs w:val="32"/>
        </w:rPr>
      </w:pPr>
      <w:r>
        <w:rPr>
          <w:rFonts w:ascii="TimesNewRoman" w:hAnsi="TimesNewRoman" w:eastAsia="仿宋_GB2312" w:cs="TimesNewRoman"/>
          <w:sz w:val="32"/>
          <w:szCs w:val="32"/>
        </w:rPr>
        <w:t>相山区</w:t>
      </w:r>
      <w:r>
        <w:rPr>
          <w:rFonts w:hint="eastAsia" w:ascii="TimesNewRoman" w:hAnsi="TimesNewRoman" w:eastAsia="仿宋_GB2312" w:cs="TimesNewRoman"/>
          <w:sz w:val="32"/>
          <w:szCs w:val="32"/>
          <w:lang w:eastAsia="zh-CN"/>
        </w:rPr>
        <w:t>民政局</w:t>
      </w:r>
      <w:r>
        <w:rPr>
          <w:rFonts w:ascii="TimesNewRoman" w:hAnsi="TimesNewRoman" w:eastAsia="仿宋_GB2312" w:cs="TimesNewRoman"/>
          <w:sz w:val="32"/>
          <w:szCs w:val="32"/>
          <w:lang w:val="en"/>
        </w:rPr>
        <w:t>2024</w:t>
      </w:r>
      <w:r>
        <w:rPr>
          <w:rFonts w:ascii="TimesNewRoman" w:hAnsi="TimesNewRoman" w:eastAsia="仿宋_GB2312" w:cs="TimesNewRoman"/>
          <w:sz w:val="32"/>
          <w:szCs w:val="32"/>
        </w:rPr>
        <w:t>年没有安排政府购买服务支出。</w:t>
      </w:r>
    </w:p>
    <w:p>
      <w:pPr>
        <w:pStyle w:val="10"/>
        <w:adjustRightInd w:val="0"/>
        <w:snapToGrid w:val="0"/>
        <w:spacing w:line="560" w:lineRule="exact"/>
        <w:ind w:firstLine="664" w:firstLineChars="200"/>
        <w:rPr>
          <w:rFonts w:ascii="TimesNewRoman" w:hAnsi="TimesNewRoman" w:eastAsia="黑体" w:cs="TimesNewRoman"/>
          <w:sz w:val="32"/>
          <w:szCs w:val="32"/>
        </w:rPr>
      </w:pPr>
      <w:r>
        <w:rPr>
          <w:rFonts w:ascii="TimesNewRoman" w:hAnsi="TimesNewRoman" w:eastAsia="黑体" w:cs="TimesNewRoman"/>
          <w:sz w:val="32"/>
          <w:szCs w:val="32"/>
        </w:rPr>
        <w:t>十</w:t>
      </w:r>
      <w:r>
        <w:rPr>
          <w:rFonts w:hint="eastAsia" w:ascii="TimesNewRoman" w:hAnsi="TimesNewRoman" w:eastAsia="黑体" w:cs="TimesNewRoman"/>
          <w:sz w:val="32"/>
          <w:szCs w:val="32"/>
        </w:rPr>
        <w:t>二</w:t>
      </w:r>
      <w:r>
        <w:rPr>
          <w:rFonts w:ascii="TimesNewRoman" w:hAnsi="TimesNewRoman" w:eastAsia="黑体" w:cs="TimesNewRoman"/>
          <w:sz w:val="32"/>
          <w:szCs w:val="32"/>
        </w:rPr>
        <w:t>、关于</w:t>
      </w:r>
      <w:r>
        <w:rPr>
          <w:rFonts w:ascii="TimesNewRoman" w:hAnsi="TimesNewRoman" w:eastAsia="黑体" w:cs="TimesNewRoman"/>
          <w:sz w:val="32"/>
          <w:szCs w:val="32"/>
          <w:lang w:val="en"/>
        </w:rPr>
        <w:t>2024年通用资产配置支出表</w:t>
      </w:r>
      <w:r>
        <w:rPr>
          <w:rFonts w:ascii="TimesNewRoman" w:hAnsi="TimesNewRoman" w:eastAsia="黑体" w:cs="TimesNewRoman"/>
          <w:sz w:val="32"/>
          <w:szCs w:val="32"/>
        </w:rPr>
        <w:t>的说明</w:t>
      </w:r>
    </w:p>
    <w:p>
      <w:pPr>
        <w:pStyle w:val="10"/>
        <w:adjustRightInd w:val="0"/>
        <w:snapToGrid w:val="0"/>
        <w:spacing w:line="560" w:lineRule="exact"/>
        <w:ind w:firstLine="664" w:firstLineChars="200"/>
        <w:outlineLvl w:val="0"/>
        <w:rPr>
          <w:rFonts w:ascii="TimesNewRoman" w:hAnsi="TimesNewRoman" w:eastAsia="仿宋_GB2312" w:cs="TimesNewRoman"/>
          <w:sz w:val="32"/>
          <w:szCs w:val="32"/>
        </w:rPr>
      </w:pPr>
      <w:r>
        <w:rPr>
          <w:rFonts w:ascii="TimesNewRoman" w:hAnsi="TimesNewRoman" w:eastAsia="仿宋_GB2312" w:cs="TimesNewRoman"/>
          <w:sz w:val="32"/>
          <w:szCs w:val="32"/>
        </w:rPr>
        <w:t>相山区</w:t>
      </w:r>
      <w:r>
        <w:rPr>
          <w:rFonts w:hint="eastAsia" w:ascii="TimesNewRoman" w:hAnsi="TimesNewRoman" w:eastAsia="仿宋_GB2312" w:cs="TimesNewRoman"/>
          <w:sz w:val="32"/>
          <w:szCs w:val="32"/>
          <w:lang w:eastAsia="zh-CN"/>
        </w:rPr>
        <w:t>民政局</w:t>
      </w:r>
      <w:r>
        <w:rPr>
          <w:rFonts w:ascii="TimesNewRoman" w:hAnsi="TimesNewRoman" w:eastAsia="仿宋_GB2312" w:cs="TimesNewRoman"/>
          <w:sz w:val="32"/>
          <w:szCs w:val="32"/>
          <w:lang w:val="en"/>
        </w:rPr>
        <w:t>2024</w:t>
      </w:r>
      <w:r>
        <w:rPr>
          <w:rFonts w:ascii="TimesNewRoman" w:hAnsi="TimesNewRoman" w:eastAsia="仿宋_GB2312" w:cs="TimesNewRoman"/>
          <w:sz w:val="32"/>
          <w:szCs w:val="32"/>
        </w:rPr>
        <w:t>年没有安排通用资产配置支出。</w:t>
      </w:r>
    </w:p>
    <w:p>
      <w:pPr>
        <w:adjustRightInd w:val="0"/>
        <w:snapToGrid w:val="0"/>
        <w:spacing w:line="580" w:lineRule="exact"/>
        <w:ind w:firstLine="664" w:firstLineChars="200"/>
        <w:rPr>
          <w:rFonts w:ascii="黑体" w:hAnsi="黑体" w:eastAsia="黑体"/>
          <w:szCs w:val="32"/>
        </w:rPr>
      </w:pPr>
      <w:r>
        <w:rPr>
          <w:rFonts w:hint="eastAsia" w:ascii="黑体" w:hAnsi="黑体" w:eastAsia="黑体"/>
          <w:szCs w:val="32"/>
        </w:rPr>
        <w:t>十三、其他重要事项情况说明</w:t>
      </w:r>
    </w:p>
    <w:p>
      <w:pPr>
        <w:adjustRightInd w:val="0"/>
        <w:snapToGrid w:val="0"/>
        <w:spacing w:line="580" w:lineRule="exact"/>
        <w:ind w:firstLine="664" w:firstLineChars="200"/>
        <w:rPr>
          <w:rFonts w:ascii="TimesNewRoman" w:hAnsi="TimesNewRoman" w:cs="TimesNewRoman"/>
          <w:b/>
          <w:szCs w:val="32"/>
        </w:rPr>
      </w:pPr>
      <w:r>
        <w:rPr>
          <w:rFonts w:hint="eastAsia" w:ascii="TimesNewRoman" w:hAnsi="TimesNewRoman" w:cs="TimesNewRoman"/>
          <w:b/>
          <w:szCs w:val="32"/>
        </w:rPr>
        <w:t>（一）项目及绩效目标情况。</w:t>
      </w:r>
    </w:p>
    <w:p>
      <w:pPr>
        <w:adjustRightInd w:val="0"/>
        <w:snapToGrid w:val="0"/>
        <w:spacing w:line="560" w:lineRule="exact"/>
        <w:ind w:firstLine="664" w:firstLineChars="200"/>
        <w:rPr>
          <w:rFonts w:hint="eastAsia" w:ascii="方正仿宋_GBK" w:hAnsi="方正仿宋_GBK" w:eastAsia="方正仿宋_GBK" w:cs="方正仿宋_GBK"/>
          <w:b/>
          <w:szCs w:val="32"/>
        </w:rPr>
      </w:pPr>
      <w:r>
        <w:rPr>
          <w:rFonts w:ascii="TimesNewRoman" w:hAnsi="TimesNewRoman" w:eastAsia="方正仿宋_GBK" w:cs="TimesNewRoman"/>
          <w:b/>
          <w:szCs w:val="32"/>
        </w:rPr>
        <w:t>1.</w:t>
      </w:r>
      <w:r>
        <w:rPr>
          <w:rFonts w:hint="eastAsia" w:ascii="方正仿宋_GBK" w:hAnsi="方正仿宋_GBK" w:eastAsia="方正仿宋_GBK" w:cs="方正仿宋_GBK"/>
          <w:b/>
          <w:szCs w:val="32"/>
        </w:rPr>
        <w:t>“</w:t>
      </w:r>
      <w:r>
        <w:rPr>
          <w:rFonts w:hint="eastAsia" w:ascii="方正仿宋_GBK" w:hAnsi="方正仿宋_GBK" w:eastAsia="方正仿宋_GBK" w:cs="方正仿宋_GBK"/>
          <w:b/>
          <w:szCs w:val="32"/>
          <w:lang w:val="en-US" w:eastAsia="zh-CN"/>
        </w:rPr>
        <w:t>2024困难群众救助</w:t>
      </w:r>
      <w:r>
        <w:rPr>
          <w:rFonts w:hint="eastAsia" w:ascii="方正仿宋_GBK" w:hAnsi="方正仿宋_GBK" w:eastAsia="方正仿宋_GBK" w:cs="方正仿宋_GBK"/>
          <w:b/>
          <w:szCs w:val="32"/>
          <w:lang w:eastAsia="zh-CN"/>
        </w:rPr>
        <w:t>最低生活保障</w:t>
      </w:r>
      <w:r>
        <w:rPr>
          <w:rFonts w:hint="eastAsia" w:ascii="方正仿宋_GBK" w:hAnsi="方正仿宋_GBK" w:eastAsia="方正仿宋_GBK" w:cs="方正仿宋_GBK"/>
          <w:b/>
          <w:szCs w:val="32"/>
        </w:rPr>
        <w:t>”项目。</w:t>
      </w:r>
    </w:p>
    <w:p>
      <w:pPr>
        <w:spacing w:line="600" w:lineRule="exact"/>
        <w:ind w:firstLine="642"/>
        <w:rPr>
          <w:rFonts w:hint="eastAsia" w:ascii="仿宋_GB2312" w:hAnsi="仿宋_GB2312" w:eastAsia="仿宋_GB2312" w:cs="仿宋_GB2312"/>
          <w:sz w:val="32"/>
          <w:szCs w:val="32"/>
        </w:rPr>
      </w:pPr>
      <w:r>
        <w:rPr>
          <w:rFonts w:hint="eastAsia" w:ascii="TimesNewRoman" w:hAnsi="TimesNewRoman" w:cs="TimesNewRoman"/>
          <w:szCs w:val="32"/>
        </w:rPr>
        <w:t>（</w:t>
      </w:r>
      <w:r>
        <w:rPr>
          <w:rFonts w:ascii="TimesNewRoman" w:hAnsi="TimesNewRoman" w:cs="TimesNewRoman"/>
          <w:szCs w:val="32"/>
        </w:rPr>
        <w:t>1</w:t>
      </w:r>
      <w:r>
        <w:rPr>
          <w:rFonts w:hint="eastAsia" w:ascii="TimesNewRoman" w:hAnsi="TimesNewRoman" w:cs="TimesNewRoman"/>
          <w:szCs w:val="32"/>
        </w:rPr>
        <w:t>）项目概述。</w:t>
      </w:r>
      <w:r>
        <w:rPr>
          <w:rFonts w:hint="eastAsia" w:ascii="仿宋_GB2312" w:hAnsi="仿宋_GB2312" w:eastAsia="仿宋_GB2312" w:cs="仿宋_GB2312"/>
          <w:sz w:val="32"/>
          <w:szCs w:val="32"/>
        </w:rPr>
        <w:t>近年来，我区社会经济发展步伐明显加快，但仍有部份城市居民未脱离最低生活保障线。</w:t>
      </w:r>
      <w:r>
        <w:rPr>
          <w:rFonts w:hint="eastAsia" w:ascii="仿宋_GB2312" w:hAnsi="仿宋_GB2312" w:eastAsia="仿宋_GB2312" w:cs="仿宋_GB2312"/>
          <w:color w:val="000000"/>
          <w:sz w:val="32"/>
          <w:szCs w:val="32"/>
        </w:rPr>
        <w:t>通过城市最低生活保障项目的实施，将有效解决城市困难群众的生活问题。</w:t>
      </w:r>
      <w:r>
        <w:rPr>
          <w:rFonts w:hint="eastAsia" w:ascii="仿宋_GB2312" w:hAnsi="仿宋_GB2312" w:eastAsia="仿宋_GB2312" w:cs="仿宋_GB2312"/>
          <w:sz w:val="32"/>
          <w:szCs w:val="32"/>
        </w:rPr>
        <w:t>城市最低生活保障资金以中央、省级、市级资金为主，区级作相应的配套，用以保障相山区城市低保对象家庭生活。</w:t>
      </w:r>
    </w:p>
    <w:p>
      <w:pPr>
        <w:spacing w:line="600" w:lineRule="exact"/>
        <w:ind w:firstLine="606" w:firstLineChars="183"/>
        <w:rPr>
          <w:rFonts w:ascii="TimesNewRoman" w:hAnsi="TimesNewRoman" w:cs="TimesNewRoman"/>
          <w:szCs w:val="32"/>
        </w:rPr>
      </w:pPr>
      <w:r>
        <w:rPr>
          <w:rFonts w:hint="eastAsia" w:ascii="TimesNewRoman" w:hAnsi="TimesNewRoman" w:cs="TimesNewRoman"/>
          <w:szCs w:val="32"/>
        </w:rPr>
        <w:t>（</w:t>
      </w:r>
      <w:r>
        <w:rPr>
          <w:rFonts w:ascii="TimesNewRoman" w:hAnsi="TimesNewRoman" w:cs="TimesNewRoman"/>
          <w:szCs w:val="32"/>
        </w:rPr>
        <w:t>2</w:t>
      </w:r>
      <w:r>
        <w:rPr>
          <w:rFonts w:hint="eastAsia" w:ascii="TimesNewRoman" w:hAnsi="TimesNewRoman" w:cs="TimesNewRoman"/>
          <w:szCs w:val="32"/>
        </w:rPr>
        <w:t>）立项依据。</w:t>
      </w:r>
      <w:r>
        <w:rPr>
          <w:rFonts w:hint="eastAsia" w:ascii="仿宋_GB2312" w:hAnsi="仿宋_GB2312" w:eastAsia="仿宋_GB2312" w:cs="仿宋_GB2312"/>
          <w:sz w:val="32"/>
          <w:szCs w:val="32"/>
        </w:rPr>
        <w:t>《社会救助暂行办法》（国务院令第649号）、《安徽省最低生活保障办法》（省政府令268号）、《安徽省最低生活保障操作规程》和其他有关政策规定。</w:t>
      </w:r>
    </w:p>
    <w:p>
      <w:pPr>
        <w:adjustRightInd w:val="0"/>
        <w:snapToGrid w:val="0"/>
        <w:spacing w:line="580" w:lineRule="exact"/>
        <w:ind w:firstLine="664" w:firstLineChars="200"/>
        <w:rPr>
          <w:rFonts w:hint="eastAsia" w:ascii="仿宋_GB2312" w:hAnsi="楷体" w:eastAsia="仿宋_GB2312"/>
          <w:sz w:val="32"/>
          <w:szCs w:val="32"/>
          <w:lang w:eastAsia="zh-CN"/>
        </w:rPr>
      </w:pPr>
      <w:r>
        <w:rPr>
          <w:rFonts w:hint="eastAsia" w:ascii="TimesNewRoman" w:hAnsi="TimesNewRoman" w:cs="TimesNewRoman"/>
          <w:szCs w:val="32"/>
        </w:rPr>
        <w:t>（</w:t>
      </w:r>
      <w:r>
        <w:rPr>
          <w:rFonts w:ascii="TimesNewRoman" w:hAnsi="TimesNewRoman" w:cs="TimesNewRoman"/>
          <w:szCs w:val="32"/>
        </w:rPr>
        <w:t>3</w:t>
      </w:r>
      <w:r>
        <w:rPr>
          <w:rFonts w:hint="eastAsia" w:ascii="TimesNewRoman" w:hAnsi="TimesNewRoman" w:cs="TimesNewRoman"/>
          <w:szCs w:val="32"/>
        </w:rPr>
        <w:t>）实施主体。</w:t>
      </w:r>
      <w:r>
        <w:rPr>
          <w:rFonts w:hint="eastAsia" w:ascii="仿宋_GB2312" w:hAnsi="楷体" w:eastAsia="仿宋_GB2312"/>
          <w:sz w:val="32"/>
          <w:szCs w:val="32"/>
          <w:lang w:eastAsia="zh-CN"/>
        </w:rPr>
        <w:t>相山区民政局</w:t>
      </w:r>
    </w:p>
    <w:p>
      <w:pPr>
        <w:adjustRightInd w:val="0"/>
        <w:snapToGrid w:val="0"/>
        <w:spacing w:line="580" w:lineRule="exact"/>
        <w:ind w:firstLine="664" w:firstLineChars="200"/>
        <w:rPr>
          <w:rFonts w:hint="eastAsia" w:ascii="TimesNewRoman" w:hAnsi="TimesNewRoman" w:cs="TimesNewRoman"/>
          <w:szCs w:val="32"/>
          <w:lang w:val="en-US" w:eastAsia="zh-CN"/>
        </w:rPr>
      </w:pPr>
      <w:r>
        <w:rPr>
          <w:rFonts w:hint="eastAsia" w:ascii="TimesNewRoman" w:hAnsi="TimesNewRoman" w:cs="TimesNewRoman"/>
          <w:szCs w:val="32"/>
        </w:rPr>
        <w:t>（</w:t>
      </w:r>
      <w:r>
        <w:rPr>
          <w:rFonts w:ascii="TimesNewRoman" w:hAnsi="TimesNewRoman" w:cs="TimesNewRoman"/>
          <w:szCs w:val="32"/>
        </w:rPr>
        <w:t>4</w:t>
      </w:r>
      <w:r>
        <w:rPr>
          <w:rFonts w:hint="eastAsia" w:ascii="TimesNewRoman" w:hAnsi="TimesNewRoman" w:cs="TimesNewRoman"/>
          <w:szCs w:val="32"/>
        </w:rPr>
        <w:t>）起止时间。</w:t>
      </w:r>
      <w:r>
        <w:rPr>
          <w:rFonts w:hint="eastAsia" w:ascii="TimesNewRoman" w:hAnsi="TimesNewRoman" w:cs="TimesNewRoman"/>
          <w:szCs w:val="32"/>
          <w:lang w:val="en-US" w:eastAsia="zh-CN"/>
        </w:rPr>
        <w:t>2024年1月-12月</w:t>
      </w:r>
    </w:p>
    <w:p>
      <w:pPr>
        <w:adjustRightInd w:val="0"/>
        <w:snapToGrid w:val="0"/>
        <w:spacing w:line="580" w:lineRule="exact"/>
        <w:ind w:firstLine="664" w:firstLineChars="200"/>
        <w:rPr>
          <w:rFonts w:hint="eastAsia" w:ascii="仿宋_GB2312" w:hAnsi="仿宋_GB2312" w:eastAsia="仿宋_GB2312" w:cs="仿宋_GB2312"/>
          <w:sz w:val="32"/>
          <w:szCs w:val="32"/>
        </w:rPr>
      </w:pPr>
      <w:r>
        <w:rPr>
          <w:rFonts w:hint="eastAsia" w:ascii="TimesNewRoman" w:hAnsi="TimesNewRoman" w:cs="TimesNewRoman"/>
          <w:szCs w:val="32"/>
        </w:rPr>
        <w:t>（</w:t>
      </w:r>
      <w:r>
        <w:rPr>
          <w:rFonts w:ascii="TimesNewRoman" w:hAnsi="TimesNewRoman" w:cs="TimesNewRoman"/>
          <w:szCs w:val="32"/>
        </w:rPr>
        <w:t>5</w:t>
      </w:r>
      <w:r>
        <w:rPr>
          <w:rFonts w:hint="eastAsia" w:ascii="TimesNewRoman" w:hAnsi="TimesNewRoman" w:cs="TimesNewRoman"/>
          <w:szCs w:val="32"/>
        </w:rPr>
        <w:t>）项目内容。</w:t>
      </w:r>
      <w:r>
        <w:rPr>
          <w:rFonts w:hint="eastAsia" w:ascii="仿宋_GB2312" w:hAnsi="仿宋_GB2312" w:eastAsia="仿宋_GB2312" w:cs="仿宋_GB2312"/>
          <w:color w:val="000000"/>
          <w:sz w:val="32"/>
          <w:szCs w:val="32"/>
        </w:rPr>
        <w:t>有效解决城市困难群众的生活问题</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sz w:val="32"/>
          <w:szCs w:val="32"/>
        </w:rPr>
        <w:t>保障相山区城市低保对象家庭生活。</w:t>
      </w:r>
    </w:p>
    <w:p>
      <w:pPr>
        <w:adjustRightInd w:val="0"/>
        <w:snapToGrid w:val="0"/>
        <w:spacing w:line="580" w:lineRule="exact"/>
        <w:ind w:firstLine="664" w:firstLineChars="200"/>
        <w:rPr>
          <w:rFonts w:hint="eastAsia" w:ascii="TimesNewRoman" w:hAnsi="TimesNewRoman" w:cs="TimesNewRoman"/>
          <w:szCs w:val="32"/>
          <w:lang w:val="en-US" w:eastAsia="zh-CN"/>
        </w:rPr>
      </w:pPr>
      <w:r>
        <w:rPr>
          <w:rFonts w:hint="eastAsia" w:ascii="TimesNewRoman" w:hAnsi="TimesNewRoman" w:cs="TimesNewRoman"/>
          <w:szCs w:val="32"/>
        </w:rPr>
        <w:t>（</w:t>
      </w:r>
      <w:r>
        <w:rPr>
          <w:rFonts w:ascii="TimesNewRoman" w:hAnsi="TimesNewRoman" w:cs="TimesNewRoman"/>
          <w:szCs w:val="32"/>
        </w:rPr>
        <w:t>6</w:t>
      </w:r>
      <w:r>
        <w:rPr>
          <w:rFonts w:hint="eastAsia" w:ascii="TimesNewRoman" w:hAnsi="TimesNewRoman" w:cs="TimesNewRoman"/>
          <w:szCs w:val="32"/>
        </w:rPr>
        <w:t>）年度预算安排。</w:t>
      </w:r>
      <w:r>
        <w:rPr>
          <w:rFonts w:hint="eastAsia" w:ascii="TimesNewRoman" w:hAnsi="TimesNewRoman" w:cs="TimesNewRoman"/>
          <w:szCs w:val="32"/>
          <w:lang w:val="en-US" w:eastAsia="zh-CN"/>
        </w:rPr>
        <w:t>2024年预算安排447万元。</w:t>
      </w:r>
    </w:p>
    <w:p>
      <w:pPr>
        <w:adjustRightInd w:val="0"/>
        <w:snapToGrid w:val="0"/>
        <w:spacing w:line="580" w:lineRule="exact"/>
        <w:ind w:firstLine="664" w:firstLineChars="200"/>
        <w:rPr>
          <w:rFonts w:ascii="仿宋_GB2312" w:hAnsi="楷体"/>
          <w:szCs w:val="32"/>
        </w:rPr>
      </w:pPr>
      <w:r>
        <w:rPr>
          <w:rFonts w:hint="eastAsia" w:ascii="TimesNewRoman" w:hAnsi="TimesNewRoman" w:cs="TimesNewRoman"/>
          <w:szCs w:val="32"/>
        </w:rPr>
        <w:t>（</w:t>
      </w:r>
      <w:r>
        <w:rPr>
          <w:rFonts w:ascii="TimesNewRoman" w:hAnsi="TimesNewRoman" w:cs="TimesNewRoman"/>
          <w:szCs w:val="32"/>
        </w:rPr>
        <w:t>7</w:t>
      </w:r>
      <w:r>
        <w:rPr>
          <w:rFonts w:hint="eastAsia" w:ascii="TimesNewRoman" w:hAnsi="TimesNewRoman" w:cs="TimesNewRoman"/>
          <w:szCs w:val="32"/>
        </w:rPr>
        <w:t>）绩效目标。</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
        <w:gridCol w:w="723"/>
        <w:gridCol w:w="282"/>
        <w:gridCol w:w="477"/>
        <w:gridCol w:w="2872"/>
        <w:gridCol w:w="1848"/>
        <w:gridCol w:w="2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9020" w:type="dxa"/>
            <w:gridSpan w:val="7"/>
            <w:tcBorders>
              <w:top w:val="nil"/>
              <w:left w:val="nil"/>
              <w:bottom w:val="nil"/>
              <w:right w:val="nil"/>
            </w:tcBorders>
            <w:noWrap w:val="0"/>
            <w:vAlign w:val="center"/>
          </w:tcPr>
          <w:p>
            <w:pPr>
              <w:widowControl/>
              <w:jc w:val="center"/>
              <w:textAlignment w:val="center"/>
              <w:rPr>
                <w:rFonts w:ascii="宋体" w:cs="宋体"/>
                <w:b/>
                <w:bCs/>
                <w:szCs w:val="32"/>
              </w:rPr>
            </w:pPr>
            <w:r>
              <w:rPr>
                <w:rFonts w:hint="eastAsia" w:ascii="宋体" w:hAnsi="宋体" w:eastAsia="宋体" w:cs="宋体"/>
                <w:b/>
                <w:color w:val="000000"/>
                <w:kern w:val="0"/>
                <w:sz w:val="28"/>
                <w:szCs w:val="28"/>
                <w:lang w:bidi="ar"/>
              </w:rPr>
              <w:t>项目支出绩效目标表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020" w:type="dxa"/>
            <w:gridSpan w:val="7"/>
            <w:tcBorders>
              <w:top w:val="nil"/>
              <w:left w:val="nil"/>
              <w:right w:val="nil"/>
            </w:tcBorders>
            <w:noWrap w:val="0"/>
            <w:vAlign w:val="center"/>
          </w:tcPr>
          <w:p>
            <w:pPr>
              <w:widowControl/>
              <w:jc w:val="center"/>
              <w:textAlignment w:val="center"/>
              <w:rPr>
                <w:rFonts w:ascii="宋体" w:cs="宋体"/>
                <w:sz w:val="20"/>
              </w:rPr>
            </w:pPr>
            <w:r>
              <w:rPr>
                <w:rFonts w:hint="eastAsia" w:ascii="宋体" w:hAnsi="宋体" w:eastAsia="宋体" w:cs="宋体"/>
                <w:color w:val="000000"/>
                <w:kern w:val="0"/>
                <w:sz w:val="20"/>
                <w:lang w:bidi="ar"/>
              </w:rPr>
              <w:t xml:space="preserve"> （</w:t>
            </w:r>
            <w:r>
              <w:rPr>
                <w:rFonts w:ascii="宋体" w:hAnsi="宋体" w:eastAsia="宋体" w:cs="宋体"/>
                <w:color w:val="000000"/>
                <w:kern w:val="0"/>
                <w:sz w:val="20"/>
                <w:lang w:val="en" w:bidi="ar"/>
              </w:rPr>
              <w:t>2024</w:t>
            </w:r>
            <w:r>
              <w:rPr>
                <w:rFonts w:hint="eastAsia" w:ascii="宋体" w:hAnsi="宋体" w:eastAsia="宋体" w:cs="宋体"/>
                <w:color w:val="000000"/>
                <w:kern w:val="0"/>
                <w:sz w:val="20"/>
                <w:lang w:bidi="ar"/>
              </w:rPr>
              <w:t xml:space="preserve">年度）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noWrap w:val="0"/>
            <w:vAlign w:val="center"/>
          </w:tcPr>
          <w:p>
            <w:pPr>
              <w:widowControl/>
              <w:jc w:val="center"/>
              <w:textAlignment w:val="center"/>
              <w:rPr>
                <w:rFonts w:ascii="宋体" w:cs="宋体"/>
                <w:sz w:val="20"/>
              </w:rPr>
            </w:pPr>
            <w:r>
              <w:rPr>
                <w:rFonts w:hint="eastAsia" w:ascii="宋体" w:hAnsi="宋体" w:eastAsia="宋体" w:cs="宋体"/>
                <w:color w:val="000000"/>
                <w:kern w:val="0"/>
                <w:sz w:val="20"/>
                <w:lang w:bidi="ar"/>
              </w:rPr>
              <w:t>项目名称</w:t>
            </w:r>
          </w:p>
        </w:tc>
        <w:tc>
          <w:tcPr>
            <w:tcW w:w="7577" w:type="dxa"/>
            <w:gridSpan w:val="4"/>
            <w:noWrap w:val="0"/>
            <w:vAlign w:val="center"/>
          </w:tcPr>
          <w:p>
            <w:pPr>
              <w:jc w:val="center"/>
              <w:rPr>
                <w:rFonts w:hint="default" w:ascii="宋体" w:eastAsia="仿宋_GB2312" w:cs="宋体"/>
                <w:sz w:val="20"/>
                <w:lang w:val="en-US" w:eastAsia="zh-CN"/>
              </w:rPr>
            </w:pPr>
            <w:r>
              <w:rPr>
                <w:rFonts w:hint="eastAsia" w:ascii="宋体" w:cs="宋体"/>
                <w:sz w:val="20"/>
                <w:lang w:val="en-US" w:eastAsia="zh-CN"/>
              </w:rPr>
              <w:t>2024困难群众救助最低生活保障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443" w:type="dxa"/>
            <w:gridSpan w:val="3"/>
            <w:noWrap w:val="0"/>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lang w:bidi="ar"/>
              </w:rPr>
              <w:t>主管部门   及代码</w:t>
            </w:r>
          </w:p>
        </w:tc>
        <w:tc>
          <w:tcPr>
            <w:tcW w:w="3349" w:type="dxa"/>
            <w:gridSpan w:val="2"/>
            <w:noWrap w:val="0"/>
            <w:vAlign w:val="center"/>
          </w:tcPr>
          <w:p>
            <w:pPr>
              <w:jc w:val="center"/>
              <w:rPr>
                <w:rFonts w:hint="default" w:ascii="宋体" w:eastAsia="仿宋_GB2312" w:cs="宋体"/>
                <w:sz w:val="20"/>
                <w:lang w:val="en-US" w:eastAsia="zh-CN"/>
              </w:rPr>
            </w:pPr>
            <w:r>
              <w:rPr>
                <w:rFonts w:hint="eastAsia" w:ascii="宋体" w:cs="宋体"/>
                <w:sz w:val="20"/>
                <w:lang w:val="en-US" w:eastAsia="zh-CN"/>
              </w:rPr>
              <w:t>149001</w:t>
            </w:r>
          </w:p>
        </w:tc>
        <w:tc>
          <w:tcPr>
            <w:tcW w:w="1848" w:type="dxa"/>
            <w:noWrap w:val="0"/>
            <w:vAlign w:val="center"/>
          </w:tcPr>
          <w:p>
            <w:pPr>
              <w:widowControl/>
              <w:jc w:val="center"/>
              <w:textAlignment w:val="center"/>
              <w:rPr>
                <w:rFonts w:hint="eastAsia" w:ascii="宋体" w:hAnsi="宋体" w:eastAsia="宋体" w:cs="宋体"/>
              </w:rPr>
            </w:pPr>
            <w:r>
              <w:rPr>
                <w:rFonts w:hint="eastAsia" w:ascii="宋体" w:hAnsi="宋体" w:eastAsia="宋体" w:cs="宋体"/>
                <w:color w:val="000000"/>
                <w:kern w:val="0"/>
                <w:sz w:val="20"/>
                <w:lang w:bidi="ar"/>
              </w:rPr>
              <w:t>实施单位</w:t>
            </w:r>
          </w:p>
        </w:tc>
        <w:tc>
          <w:tcPr>
            <w:tcW w:w="2380" w:type="dxa"/>
            <w:noWrap w:val="0"/>
            <w:vAlign w:val="center"/>
          </w:tcPr>
          <w:p>
            <w:pPr>
              <w:jc w:val="center"/>
              <w:rPr>
                <w:rFonts w:hint="eastAsia" w:ascii="宋体" w:hAnsi="宋体" w:eastAsia="宋体" w:cs="宋体"/>
                <w:lang w:eastAsia="zh-CN"/>
              </w:rPr>
            </w:pPr>
            <w:r>
              <w:rPr>
                <w:rFonts w:hint="eastAsia" w:ascii="宋体" w:hAnsi="宋体" w:eastAsia="宋体" w:cs="宋体"/>
                <w:sz w:val="18"/>
                <w:szCs w:val="18"/>
                <w:lang w:eastAsia="zh-CN"/>
              </w:rPr>
              <w:t>相山区民政局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noWrap w:val="0"/>
            <w:vAlign w:val="center"/>
          </w:tcPr>
          <w:p>
            <w:pPr>
              <w:widowControl/>
              <w:jc w:val="center"/>
              <w:textAlignment w:val="center"/>
              <w:rPr>
                <w:rFonts w:ascii="宋体" w:cs="宋体"/>
                <w:sz w:val="20"/>
              </w:rPr>
            </w:pPr>
            <w:r>
              <w:rPr>
                <w:rFonts w:hint="eastAsia" w:ascii="宋体" w:hAnsi="宋体" w:eastAsia="宋体" w:cs="宋体"/>
                <w:color w:val="000000"/>
                <w:kern w:val="0"/>
                <w:sz w:val="20"/>
                <w:lang w:bidi="ar"/>
              </w:rPr>
              <w:t>项目来源</w:t>
            </w:r>
          </w:p>
        </w:tc>
        <w:tc>
          <w:tcPr>
            <w:tcW w:w="3349" w:type="dxa"/>
            <w:gridSpan w:val="2"/>
            <w:noWrap w:val="0"/>
            <w:vAlign w:val="center"/>
          </w:tcPr>
          <w:p>
            <w:pPr>
              <w:jc w:val="center"/>
              <w:rPr>
                <w:rFonts w:ascii="宋体" w:cs="宋体"/>
                <w:sz w:val="20"/>
              </w:rPr>
            </w:pPr>
          </w:p>
        </w:tc>
        <w:tc>
          <w:tcPr>
            <w:tcW w:w="1848" w:type="dxa"/>
            <w:noWrap w:val="0"/>
            <w:vAlign w:val="center"/>
          </w:tcPr>
          <w:p>
            <w:pPr>
              <w:widowControl/>
              <w:jc w:val="center"/>
              <w:textAlignment w:val="center"/>
              <w:rPr>
                <w:rFonts w:hint="eastAsia" w:ascii="宋体" w:hAnsi="宋体" w:eastAsia="宋体" w:cs="宋体"/>
              </w:rPr>
            </w:pPr>
            <w:r>
              <w:rPr>
                <w:rFonts w:hint="eastAsia" w:ascii="宋体" w:hAnsi="宋体" w:eastAsia="宋体" w:cs="宋体"/>
                <w:color w:val="000000"/>
                <w:kern w:val="0"/>
                <w:sz w:val="20"/>
                <w:lang w:bidi="ar"/>
              </w:rPr>
              <w:t>项目期</w:t>
            </w:r>
          </w:p>
        </w:tc>
        <w:tc>
          <w:tcPr>
            <w:tcW w:w="2380" w:type="dxa"/>
            <w:noWrap w:val="0"/>
            <w:vAlign w:val="center"/>
          </w:tcPr>
          <w:p>
            <w:pPr>
              <w:jc w:val="center"/>
              <w:rPr>
                <w:rFonts w:hint="eastAsia" w:ascii="宋体" w:hAnsi="宋体" w:eastAsia="宋体" w:cs="宋体"/>
                <w:lang w:eastAsia="zh-CN"/>
              </w:rPr>
            </w:pPr>
            <w:r>
              <w:rPr>
                <w:rFonts w:hint="eastAsia" w:ascii="宋体" w:hAnsi="宋体" w:eastAsia="宋体" w:cs="宋体"/>
                <w:sz w:val="21"/>
                <w:szCs w:val="21"/>
                <w:lang w:eastAsia="zh-CN"/>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restart"/>
            <w:noWrap w:val="0"/>
            <w:vAlign w:val="center"/>
          </w:tcPr>
          <w:p>
            <w:pPr>
              <w:widowControl/>
              <w:jc w:val="center"/>
              <w:textAlignment w:val="center"/>
              <w:rPr>
                <w:rFonts w:ascii="宋体" w:cs="宋体"/>
                <w:sz w:val="20"/>
              </w:rPr>
            </w:pPr>
            <w:r>
              <w:rPr>
                <w:rFonts w:hint="eastAsia" w:ascii="宋体" w:hAnsi="宋体" w:eastAsia="宋体" w:cs="宋体"/>
                <w:color w:val="000000"/>
                <w:kern w:val="0"/>
                <w:sz w:val="20"/>
                <w:lang w:bidi="ar"/>
              </w:rPr>
              <w:t>项目资金</w:t>
            </w:r>
            <w:r>
              <w:rPr>
                <w:rFonts w:hint="eastAsia" w:ascii="宋体" w:hAnsi="宋体" w:eastAsia="宋体" w:cs="宋体"/>
                <w:color w:val="000000"/>
                <w:kern w:val="0"/>
                <w:sz w:val="20"/>
                <w:lang w:bidi="ar"/>
              </w:rPr>
              <w:br w:type="textWrapping"/>
            </w:r>
            <w:r>
              <w:rPr>
                <w:rFonts w:hint="eastAsia" w:ascii="宋体" w:hAnsi="宋体" w:eastAsia="宋体" w:cs="宋体"/>
                <w:color w:val="000000"/>
                <w:kern w:val="0"/>
                <w:sz w:val="20"/>
                <w:lang w:bidi="ar"/>
              </w:rPr>
              <w:t>（万元）</w:t>
            </w:r>
          </w:p>
        </w:tc>
        <w:tc>
          <w:tcPr>
            <w:tcW w:w="3349" w:type="dxa"/>
            <w:gridSpan w:val="2"/>
            <w:noWrap w:val="0"/>
            <w:vAlign w:val="center"/>
          </w:tcPr>
          <w:p>
            <w:pPr>
              <w:widowControl/>
              <w:jc w:val="left"/>
              <w:textAlignment w:val="center"/>
              <w:rPr>
                <w:rFonts w:ascii="宋体" w:cs="宋体"/>
                <w:sz w:val="20"/>
              </w:rPr>
            </w:pPr>
            <w:r>
              <w:rPr>
                <w:rFonts w:hint="eastAsia" w:ascii="宋体" w:hAnsi="宋体" w:eastAsia="宋体" w:cs="宋体"/>
                <w:color w:val="000000"/>
                <w:kern w:val="0"/>
                <w:sz w:val="20"/>
                <w:lang w:bidi="ar"/>
              </w:rPr>
              <w:t xml:space="preserve"> 年度资金总额：</w:t>
            </w:r>
          </w:p>
        </w:tc>
        <w:tc>
          <w:tcPr>
            <w:tcW w:w="4228" w:type="dxa"/>
            <w:gridSpan w:val="2"/>
            <w:noWrap w:val="0"/>
            <w:vAlign w:val="center"/>
          </w:tcPr>
          <w:p>
            <w:pPr>
              <w:jc w:val="center"/>
              <w:rPr>
                <w:rFonts w:hint="eastAsia" w:ascii="宋体" w:hAnsi="宋体" w:eastAsia="宋体" w:cs="宋体"/>
                <w:sz w:val="20"/>
                <w:lang w:val="en-US" w:eastAsia="zh-CN"/>
              </w:rPr>
            </w:pPr>
            <w:r>
              <w:rPr>
                <w:rFonts w:hint="eastAsia" w:ascii="宋体" w:hAnsi="宋体" w:eastAsia="宋体" w:cs="宋体"/>
                <w:sz w:val="20"/>
                <w:lang w:val="en-US" w:eastAsia="zh-CN"/>
              </w:rPr>
              <w:t xml:space="preserve">                              447万元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noWrap w:val="0"/>
            <w:vAlign w:val="center"/>
          </w:tcPr>
          <w:p>
            <w:pPr>
              <w:jc w:val="center"/>
              <w:rPr>
                <w:rFonts w:ascii="宋体" w:cs="宋体"/>
                <w:sz w:val="20"/>
              </w:rPr>
            </w:pPr>
          </w:p>
        </w:tc>
        <w:tc>
          <w:tcPr>
            <w:tcW w:w="3349" w:type="dxa"/>
            <w:gridSpan w:val="2"/>
            <w:noWrap w:val="0"/>
            <w:vAlign w:val="center"/>
          </w:tcPr>
          <w:p>
            <w:pPr>
              <w:widowControl/>
              <w:jc w:val="left"/>
              <w:textAlignment w:val="center"/>
              <w:rPr>
                <w:rFonts w:ascii="宋体" w:cs="宋体"/>
                <w:sz w:val="20"/>
              </w:rPr>
            </w:pPr>
            <w:r>
              <w:rPr>
                <w:rFonts w:hint="eastAsia" w:ascii="宋体" w:hAnsi="宋体" w:eastAsia="宋体" w:cs="宋体"/>
                <w:color w:val="000000"/>
                <w:kern w:val="0"/>
                <w:sz w:val="20"/>
                <w:lang w:bidi="ar"/>
              </w:rPr>
              <w:t xml:space="preserve">   其中：财政拨款</w:t>
            </w:r>
          </w:p>
        </w:tc>
        <w:tc>
          <w:tcPr>
            <w:tcW w:w="4228" w:type="dxa"/>
            <w:gridSpan w:val="2"/>
            <w:noWrap w:val="0"/>
            <w:vAlign w:val="center"/>
          </w:tcPr>
          <w:p>
            <w:pPr>
              <w:jc w:val="right"/>
              <w:rPr>
                <w:rFonts w:hint="eastAsia" w:ascii="宋体" w:hAnsi="宋体" w:eastAsia="宋体" w:cs="宋体"/>
                <w:sz w:val="20"/>
                <w:lang w:val="en-US" w:eastAsia="zh-CN"/>
              </w:rPr>
            </w:pPr>
            <w:r>
              <w:rPr>
                <w:rFonts w:hint="eastAsia" w:ascii="宋体" w:hAnsi="宋体" w:eastAsia="宋体" w:cs="宋体"/>
                <w:sz w:val="20"/>
                <w:lang w:val="en-US" w:eastAsia="zh-CN"/>
              </w:rPr>
              <w:t>447万元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noWrap w:val="0"/>
            <w:vAlign w:val="center"/>
          </w:tcPr>
          <w:p>
            <w:pPr>
              <w:jc w:val="center"/>
              <w:rPr>
                <w:rFonts w:ascii="宋体" w:cs="宋体"/>
                <w:sz w:val="20"/>
              </w:rPr>
            </w:pPr>
          </w:p>
        </w:tc>
        <w:tc>
          <w:tcPr>
            <w:tcW w:w="3349" w:type="dxa"/>
            <w:gridSpan w:val="2"/>
            <w:noWrap w:val="0"/>
            <w:vAlign w:val="center"/>
          </w:tcPr>
          <w:p>
            <w:pPr>
              <w:widowControl/>
              <w:jc w:val="left"/>
              <w:textAlignment w:val="center"/>
              <w:rPr>
                <w:rFonts w:ascii="宋体" w:cs="宋体"/>
                <w:sz w:val="20"/>
              </w:rPr>
            </w:pPr>
            <w:r>
              <w:rPr>
                <w:rFonts w:hint="eastAsia" w:ascii="宋体" w:hAnsi="宋体" w:eastAsia="宋体" w:cs="宋体"/>
                <w:color w:val="000000"/>
                <w:kern w:val="0"/>
                <w:sz w:val="20"/>
                <w:lang w:bidi="ar"/>
              </w:rPr>
              <w:t xml:space="preserve">         上年结转</w:t>
            </w:r>
          </w:p>
        </w:tc>
        <w:tc>
          <w:tcPr>
            <w:tcW w:w="4228" w:type="dxa"/>
            <w:gridSpan w:val="2"/>
            <w:noWrap w:val="0"/>
            <w:vAlign w:val="center"/>
          </w:tcPr>
          <w:p>
            <w:pPr>
              <w:jc w:val="center"/>
              <w:rPr>
                <w:rFonts w:hint="eastAsia" w:ascii="宋体" w:hAnsi="宋体" w:eastAsia="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noWrap w:val="0"/>
            <w:vAlign w:val="center"/>
          </w:tcPr>
          <w:p>
            <w:pPr>
              <w:jc w:val="center"/>
              <w:rPr>
                <w:rFonts w:ascii="宋体" w:cs="宋体"/>
                <w:sz w:val="20"/>
              </w:rPr>
            </w:pPr>
          </w:p>
        </w:tc>
        <w:tc>
          <w:tcPr>
            <w:tcW w:w="3349" w:type="dxa"/>
            <w:gridSpan w:val="2"/>
            <w:noWrap w:val="0"/>
            <w:vAlign w:val="center"/>
          </w:tcPr>
          <w:p>
            <w:pPr>
              <w:widowControl/>
              <w:jc w:val="left"/>
              <w:textAlignment w:val="center"/>
              <w:rPr>
                <w:rFonts w:ascii="宋体" w:cs="宋体"/>
                <w:sz w:val="20"/>
              </w:rPr>
            </w:pPr>
            <w:r>
              <w:rPr>
                <w:rFonts w:hint="eastAsia" w:ascii="宋体" w:hAnsi="宋体" w:eastAsia="宋体" w:cs="宋体"/>
                <w:color w:val="000000"/>
                <w:kern w:val="0"/>
                <w:sz w:val="20"/>
                <w:lang w:bidi="ar"/>
              </w:rPr>
              <w:t xml:space="preserve">         其他资金</w:t>
            </w:r>
          </w:p>
        </w:tc>
        <w:tc>
          <w:tcPr>
            <w:tcW w:w="4228" w:type="dxa"/>
            <w:gridSpan w:val="2"/>
            <w:noWrap w:val="0"/>
            <w:vAlign w:val="center"/>
          </w:tcPr>
          <w:p>
            <w:pPr>
              <w:jc w:val="right"/>
              <w:rPr>
                <w:rFonts w:asci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438" w:type="dxa"/>
            <w:noWrap w:val="0"/>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lang w:bidi="ar"/>
              </w:rPr>
              <w:t>年度</w:t>
            </w:r>
            <w:r>
              <w:rPr>
                <w:rFonts w:hint="eastAsia" w:ascii="宋体" w:hAnsi="宋体" w:eastAsia="宋体" w:cs="宋体"/>
                <w:color w:val="000000"/>
                <w:kern w:val="0"/>
                <w:sz w:val="20"/>
                <w:lang w:bidi="ar"/>
              </w:rPr>
              <w:br w:type="textWrapping"/>
            </w:r>
            <w:r>
              <w:rPr>
                <w:rFonts w:hint="eastAsia" w:ascii="宋体" w:hAnsi="宋体" w:eastAsia="宋体" w:cs="宋体"/>
                <w:color w:val="000000"/>
                <w:kern w:val="0"/>
                <w:sz w:val="20"/>
                <w:lang w:bidi="ar"/>
              </w:rPr>
              <w:t>目标</w:t>
            </w:r>
          </w:p>
        </w:tc>
        <w:tc>
          <w:tcPr>
            <w:tcW w:w="8582" w:type="dxa"/>
            <w:gridSpan w:val="6"/>
            <w:noWrap w:val="0"/>
            <w:vAlign w:val="center"/>
          </w:tcPr>
          <w:p>
            <w:pPr>
              <w:jc w:val="left"/>
              <w:rPr>
                <w:rFonts w:asci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438" w:type="dxa"/>
            <w:vMerge w:val="restart"/>
            <w:noWrap w:val="0"/>
            <w:vAlign w:val="center"/>
          </w:tcPr>
          <w:p>
            <w:pPr>
              <w:widowControl/>
              <w:jc w:val="center"/>
              <w:textAlignment w:val="center"/>
              <w:rPr>
                <w:rFonts w:ascii="宋体" w:cs="宋体"/>
                <w:sz w:val="20"/>
              </w:rPr>
            </w:pPr>
            <w:r>
              <w:rPr>
                <w:rFonts w:hint="eastAsia" w:ascii="宋体" w:hAnsi="宋体" w:eastAsia="宋体" w:cs="宋体"/>
                <w:color w:val="000000"/>
                <w:kern w:val="0"/>
                <w:sz w:val="20"/>
                <w:lang w:bidi="ar"/>
              </w:rPr>
              <w:t>绩</w:t>
            </w:r>
            <w:r>
              <w:rPr>
                <w:rFonts w:hint="eastAsia" w:ascii="宋体" w:hAnsi="宋体" w:eastAsia="宋体" w:cs="宋体"/>
                <w:color w:val="000000"/>
                <w:kern w:val="0"/>
                <w:sz w:val="20"/>
                <w:lang w:bidi="ar"/>
              </w:rPr>
              <w:br w:type="textWrapping"/>
            </w:r>
            <w:r>
              <w:rPr>
                <w:rFonts w:hint="eastAsia" w:ascii="宋体" w:hAnsi="宋体" w:eastAsia="宋体" w:cs="宋体"/>
                <w:color w:val="000000"/>
                <w:kern w:val="0"/>
                <w:sz w:val="20"/>
                <w:lang w:bidi="ar"/>
              </w:rPr>
              <w:t>效</w:t>
            </w:r>
            <w:r>
              <w:rPr>
                <w:rFonts w:hint="eastAsia" w:ascii="宋体" w:hAnsi="宋体" w:eastAsia="宋体" w:cs="宋体"/>
                <w:color w:val="000000"/>
                <w:kern w:val="0"/>
                <w:sz w:val="20"/>
                <w:lang w:bidi="ar"/>
              </w:rPr>
              <w:br w:type="textWrapping"/>
            </w:r>
            <w:r>
              <w:rPr>
                <w:rFonts w:hint="eastAsia" w:ascii="宋体" w:hAnsi="宋体" w:eastAsia="宋体" w:cs="宋体"/>
                <w:color w:val="000000"/>
                <w:kern w:val="0"/>
                <w:sz w:val="20"/>
                <w:lang w:bidi="ar"/>
              </w:rPr>
              <w:t>指</w:t>
            </w:r>
            <w:r>
              <w:rPr>
                <w:rFonts w:hint="eastAsia" w:ascii="宋体" w:hAnsi="宋体" w:eastAsia="宋体" w:cs="宋体"/>
                <w:color w:val="000000"/>
                <w:kern w:val="0"/>
                <w:sz w:val="20"/>
                <w:lang w:bidi="ar"/>
              </w:rPr>
              <w:br w:type="textWrapping"/>
            </w:r>
            <w:r>
              <w:rPr>
                <w:rFonts w:hint="eastAsia" w:ascii="宋体" w:hAnsi="宋体" w:eastAsia="宋体" w:cs="宋体"/>
                <w:color w:val="000000"/>
                <w:kern w:val="0"/>
                <w:sz w:val="20"/>
                <w:lang w:bidi="ar"/>
              </w:rPr>
              <w:t>标</w:t>
            </w:r>
          </w:p>
        </w:tc>
        <w:tc>
          <w:tcPr>
            <w:tcW w:w="723" w:type="dxa"/>
            <w:noWrap w:val="0"/>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lang w:bidi="ar"/>
              </w:rPr>
              <w:t>一级</w:t>
            </w:r>
            <w:r>
              <w:rPr>
                <w:rFonts w:hint="eastAsia" w:ascii="宋体" w:hAnsi="宋体" w:eastAsia="宋体" w:cs="宋体"/>
                <w:color w:val="000000"/>
                <w:kern w:val="0"/>
                <w:sz w:val="20"/>
                <w:lang w:bidi="ar"/>
              </w:rPr>
              <w:br w:type="textWrapping"/>
            </w:r>
            <w:r>
              <w:rPr>
                <w:rFonts w:hint="eastAsia" w:ascii="宋体" w:hAnsi="宋体" w:eastAsia="宋体" w:cs="宋体"/>
                <w:color w:val="000000"/>
                <w:kern w:val="0"/>
                <w:sz w:val="20"/>
                <w:lang w:bidi="ar"/>
              </w:rPr>
              <w:t>指标</w:t>
            </w:r>
          </w:p>
        </w:tc>
        <w:tc>
          <w:tcPr>
            <w:tcW w:w="759" w:type="dxa"/>
            <w:gridSpan w:val="2"/>
            <w:noWrap w:val="0"/>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lang w:bidi="ar"/>
              </w:rPr>
              <w:t>二级指标</w:t>
            </w:r>
          </w:p>
        </w:tc>
        <w:tc>
          <w:tcPr>
            <w:tcW w:w="2872" w:type="dxa"/>
            <w:noWrap w:val="0"/>
            <w:vAlign w:val="center"/>
          </w:tcPr>
          <w:p>
            <w:pPr>
              <w:widowControl/>
              <w:jc w:val="center"/>
              <w:textAlignment w:val="center"/>
              <w:rPr>
                <w:rFonts w:ascii="宋体" w:cs="宋体"/>
                <w:sz w:val="20"/>
              </w:rPr>
            </w:pPr>
            <w:r>
              <w:rPr>
                <w:rFonts w:hint="eastAsia" w:ascii="宋体" w:hAnsi="宋体" w:eastAsia="宋体" w:cs="宋体"/>
                <w:color w:val="000000"/>
                <w:kern w:val="0"/>
                <w:sz w:val="20"/>
                <w:lang w:bidi="ar"/>
              </w:rPr>
              <w:t>三级指标</w:t>
            </w:r>
          </w:p>
        </w:tc>
        <w:tc>
          <w:tcPr>
            <w:tcW w:w="4228" w:type="dxa"/>
            <w:gridSpan w:val="2"/>
            <w:noWrap w:val="0"/>
            <w:vAlign w:val="center"/>
          </w:tcPr>
          <w:p>
            <w:pPr>
              <w:widowControl/>
              <w:jc w:val="center"/>
              <w:textAlignment w:val="center"/>
              <w:rPr>
                <w:rFonts w:ascii="宋体" w:cs="宋体"/>
                <w:sz w:val="20"/>
              </w:rPr>
            </w:pPr>
            <w:r>
              <w:rPr>
                <w:rFonts w:hint="eastAsia" w:ascii="宋体" w:hAnsi="宋体" w:eastAsia="宋体" w:cs="宋体"/>
                <w:color w:val="000000"/>
                <w:kern w:val="0"/>
                <w:sz w:val="20"/>
                <w:lang w:bidi="ar"/>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noWrap w:val="0"/>
            <w:vAlign w:val="center"/>
          </w:tcPr>
          <w:p>
            <w:pPr>
              <w:jc w:val="center"/>
              <w:rPr>
                <w:rFonts w:ascii="宋体" w:cs="宋体"/>
                <w:sz w:val="20"/>
              </w:rPr>
            </w:pPr>
          </w:p>
        </w:tc>
        <w:tc>
          <w:tcPr>
            <w:tcW w:w="723" w:type="dxa"/>
            <w:vMerge w:val="restart"/>
            <w:noWrap w:val="0"/>
            <w:vAlign w:val="center"/>
          </w:tcPr>
          <w:p>
            <w:pPr>
              <w:widowControl/>
              <w:jc w:val="center"/>
              <w:textAlignment w:val="center"/>
              <w:rPr>
                <w:rFonts w:ascii="宋体" w:cs="宋体"/>
                <w:sz w:val="20"/>
              </w:rPr>
            </w:pPr>
            <w:r>
              <w:rPr>
                <w:rFonts w:hint="eastAsia" w:ascii="宋体" w:hAnsi="宋体" w:eastAsia="宋体" w:cs="宋体"/>
                <w:color w:val="000000"/>
                <w:kern w:val="0"/>
                <w:sz w:val="20"/>
                <w:lang w:bidi="ar"/>
              </w:rPr>
              <w:t>产出指标</w:t>
            </w:r>
          </w:p>
        </w:tc>
        <w:tc>
          <w:tcPr>
            <w:tcW w:w="759" w:type="dxa"/>
            <w:gridSpan w:val="2"/>
            <w:vMerge w:val="restart"/>
            <w:noWrap w:val="0"/>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lang w:bidi="ar"/>
              </w:rPr>
              <w:t>数量指标</w:t>
            </w:r>
          </w:p>
        </w:tc>
        <w:tc>
          <w:tcPr>
            <w:tcW w:w="2872" w:type="dxa"/>
            <w:noWrap w:val="0"/>
            <w:vAlign w:val="center"/>
          </w:tcPr>
          <w:p>
            <w:pPr>
              <w:widowControl/>
              <w:jc w:val="left"/>
              <w:textAlignment w:val="center"/>
              <w:rPr>
                <w:rFonts w:ascii="宋体" w:cs="宋体"/>
                <w:sz w:val="20"/>
              </w:rPr>
            </w:pPr>
            <w:r>
              <w:rPr>
                <w:rFonts w:hint="eastAsia" w:ascii="宋体" w:hAnsi="宋体" w:eastAsia="宋体" w:cs="宋体"/>
                <w:color w:val="000000"/>
                <w:kern w:val="0"/>
                <w:sz w:val="20"/>
                <w:lang w:bidi="ar"/>
              </w:rPr>
              <w:t>指标1：低保救助人数</w:t>
            </w:r>
          </w:p>
        </w:tc>
        <w:tc>
          <w:tcPr>
            <w:tcW w:w="4228" w:type="dxa"/>
            <w:gridSpan w:val="2"/>
            <w:noWrap w:val="0"/>
            <w:vAlign w:val="center"/>
          </w:tcPr>
          <w:p>
            <w:pPr>
              <w:jc w:val="center"/>
              <w:rPr>
                <w:rFonts w:hint="eastAsia" w:ascii="宋体" w:hAnsi="宋体" w:eastAsia="宋体" w:cs="宋体"/>
                <w:sz w:val="20"/>
                <w:lang w:eastAsia="zh-CN"/>
              </w:rPr>
            </w:pPr>
            <w:r>
              <w:rPr>
                <w:rFonts w:hint="eastAsia" w:ascii="宋体" w:hAnsi="宋体" w:eastAsia="宋体" w:cs="宋体"/>
                <w:sz w:val="20"/>
                <w:lang w:eastAsia="zh-CN"/>
              </w:rPr>
              <w:t>应保尽保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noWrap w:val="0"/>
            <w:vAlign w:val="center"/>
          </w:tcPr>
          <w:p>
            <w:pPr>
              <w:jc w:val="center"/>
              <w:rPr>
                <w:rFonts w:ascii="宋体" w:cs="宋体"/>
                <w:sz w:val="20"/>
              </w:rPr>
            </w:pPr>
          </w:p>
        </w:tc>
        <w:tc>
          <w:tcPr>
            <w:tcW w:w="723" w:type="dxa"/>
            <w:vMerge w:val="continue"/>
            <w:noWrap w:val="0"/>
            <w:vAlign w:val="center"/>
          </w:tcPr>
          <w:p>
            <w:pPr>
              <w:jc w:val="center"/>
              <w:rPr>
                <w:rFonts w:ascii="宋体" w:cs="宋体"/>
                <w:sz w:val="20"/>
              </w:rPr>
            </w:pPr>
          </w:p>
        </w:tc>
        <w:tc>
          <w:tcPr>
            <w:tcW w:w="759" w:type="dxa"/>
            <w:gridSpan w:val="2"/>
            <w:vMerge w:val="continue"/>
            <w:noWrap w:val="0"/>
            <w:vAlign w:val="center"/>
          </w:tcPr>
          <w:p>
            <w:pPr>
              <w:jc w:val="center"/>
              <w:rPr>
                <w:rFonts w:ascii="宋体" w:cs="宋体"/>
                <w:sz w:val="20"/>
              </w:rPr>
            </w:pPr>
          </w:p>
        </w:tc>
        <w:tc>
          <w:tcPr>
            <w:tcW w:w="2872" w:type="dxa"/>
            <w:noWrap w:val="0"/>
            <w:vAlign w:val="center"/>
          </w:tcPr>
          <w:p>
            <w:pPr>
              <w:widowControl/>
              <w:jc w:val="left"/>
              <w:textAlignment w:val="center"/>
              <w:rPr>
                <w:rFonts w:ascii="宋体" w:cs="宋体"/>
                <w:sz w:val="20"/>
              </w:rPr>
            </w:pPr>
            <w:r>
              <w:rPr>
                <w:rFonts w:ascii="汉仪中秀体简" w:hAnsi="汉仪中秀体简" w:eastAsia="汉仪中秀体简" w:cs="汉仪中秀体简"/>
                <w:color w:val="000000"/>
                <w:kern w:val="0"/>
                <w:sz w:val="20"/>
                <w:lang w:bidi="ar"/>
              </w:rPr>
              <w:t>…</w:t>
            </w:r>
          </w:p>
        </w:tc>
        <w:tc>
          <w:tcPr>
            <w:tcW w:w="4228" w:type="dxa"/>
            <w:gridSpan w:val="2"/>
            <w:noWrap w:val="0"/>
            <w:vAlign w:val="center"/>
          </w:tcPr>
          <w:p>
            <w:pPr>
              <w:jc w:val="center"/>
              <w:rPr>
                <w:rFonts w:hint="eastAsia" w:ascii="宋体" w:hAnsi="宋体" w:eastAsia="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noWrap w:val="0"/>
            <w:vAlign w:val="center"/>
          </w:tcPr>
          <w:p>
            <w:pPr>
              <w:jc w:val="center"/>
              <w:rPr>
                <w:rFonts w:ascii="宋体" w:cs="宋体"/>
                <w:sz w:val="20"/>
              </w:rPr>
            </w:pPr>
          </w:p>
        </w:tc>
        <w:tc>
          <w:tcPr>
            <w:tcW w:w="723" w:type="dxa"/>
            <w:vMerge w:val="continue"/>
            <w:noWrap w:val="0"/>
            <w:vAlign w:val="center"/>
          </w:tcPr>
          <w:p>
            <w:pPr>
              <w:jc w:val="center"/>
              <w:rPr>
                <w:rFonts w:ascii="宋体" w:cs="宋体"/>
                <w:sz w:val="20"/>
              </w:rPr>
            </w:pPr>
          </w:p>
        </w:tc>
        <w:tc>
          <w:tcPr>
            <w:tcW w:w="759" w:type="dxa"/>
            <w:gridSpan w:val="2"/>
            <w:vMerge w:val="restart"/>
            <w:noWrap w:val="0"/>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lang w:bidi="ar"/>
              </w:rPr>
              <w:t>质量指标</w:t>
            </w:r>
          </w:p>
        </w:tc>
        <w:tc>
          <w:tcPr>
            <w:tcW w:w="2872" w:type="dxa"/>
            <w:noWrap w:val="0"/>
            <w:vAlign w:val="center"/>
          </w:tcPr>
          <w:p>
            <w:pPr>
              <w:widowControl/>
              <w:jc w:val="left"/>
              <w:textAlignment w:val="center"/>
              <w:rPr>
                <w:rFonts w:hint="eastAsia" w:ascii="宋体" w:eastAsia="宋体" w:cs="宋体"/>
                <w:sz w:val="20"/>
                <w:lang w:eastAsia="zh-CN"/>
              </w:rPr>
            </w:pPr>
            <w:r>
              <w:rPr>
                <w:rFonts w:hint="eastAsia" w:ascii="宋体" w:hAnsi="宋体" w:eastAsia="宋体" w:cs="宋体"/>
                <w:color w:val="000000"/>
                <w:kern w:val="0"/>
                <w:sz w:val="20"/>
                <w:lang w:bidi="ar"/>
              </w:rPr>
              <w:t>指标1：</w:t>
            </w:r>
            <w:r>
              <w:rPr>
                <w:rFonts w:hint="eastAsia" w:ascii="宋体" w:hAnsi="宋体" w:eastAsia="宋体" w:cs="宋体"/>
                <w:color w:val="000000"/>
                <w:kern w:val="0"/>
                <w:sz w:val="20"/>
                <w:lang w:eastAsia="zh-CN" w:bidi="ar"/>
              </w:rPr>
              <w:t>低保标准</w:t>
            </w:r>
          </w:p>
        </w:tc>
        <w:tc>
          <w:tcPr>
            <w:tcW w:w="4228" w:type="dxa"/>
            <w:gridSpan w:val="2"/>
            <w:noWrap w:val="0"/>
            <w:vAlign w:val="center"/>
          </w:tcPr>
          <w:p>
            <w:pPr>
              <w:jc w:val="center"/>
              <w:rPr>
                <w:rFonts w:hint="eastAsia" w:ascii="宋体" w:hAnsi="宋体" w:eastAsia="宋体" w:cs="宋体"/>
                <w:sz w:val="20"/>
                <w:lang w:eastAsia="zh-CN"/>
              </w:rPr>
            </w:pPr>
            <w:r>
              <w:rPr>
                <w:rFonts w:hint="eastAsia" w:ascii="宋体" w:hAnsi="宋体" w:eastAsia="宋体" w:cs="宋体"/>
                <w:sz w:val="20"/>
                <w:lang w:eastAsia="zh-CN"/>
              </w:rPr>
              <w:t>稳步提升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noWrap w:val="0"/>
            <w:vAlign w:val="center"/>
          </w:tcPr>
          <w:p>
            <w:pPr>
              <w:jc w:val="center"/>
              <w:rPr>
                <w:rFonts w:ascii="宋体" w:cs="宋体"/>
                <w:sz w:val="20"/>
              </w:rPr>
            </w:pPr>
          </w:p>
        </w:tc>
        <w:tc>
          <w:tcPr>
            <w:tcW w:w="723" w:type="dxa"/>
            <w:vMerge w:val="continue"/>
            <w:noWrap w:val="0"/>
            <w:vAlign w:val="center"/>
          </w:tcPr>
          <w:p>
            <w:pPr>
              <w:jc w:val="center"/>
              <w:rPr>
                <w:rFonts w:ascii="宋体" w:cs="宋体"/>
                <w:sz w:val="20"/>
              </w:rPr>
            </w:pPr>
          </w:p>
        </w:tc>
        <w:tc>
          <w:tcPr>
            <w:tcW w:w="759" w:type="dxa"/>
            <w:gridSpan w:val="2"/>
            <w:vMerge w:val="continue"/>
            <w:noWrap w:val="0"/>
            <w:vAlign w:val="center"/>
          </w:tcPr>
          <w:p>
            <w:pPr>
              <w:jc w:val="center"/>
              <w:rPr>
                <w:rFonts w:ascii="宋体" w:cs="宋体"/>
                <w:sz w:val="20"/>
              </w:rPr>
            </w:pPr>
          </w:p>
        </w:tc>
        <w:tc>
          <w:tcPr>
            <w:tcW w:w="2872" w:type="dxa"/>
            <w:noWrap w:val="0"/>
            <w:vAlign w:val="center"/>
          </w:tcPr>
          <w:p>
            <w:pPr>
              <w:widowControl/>
              <w:jc w:val="left"/>
              <w:textAlignment w:val="center"/>
              <w:rPr>
                <w:rFonts w:ascii="宋体" w:cs="宋体"/>
                <w:sz w:val="20"/>
              </w:rPr>
            </w:pPr>
            <w:r>
              <w:rPr>
                <w:rFonts w:ascii="汉仪中秀体简" w:hAnsi="汉仪中秀体简" w:eastAsia="汉仪中秀体简" w:cs="汉仪中秀体简"/>
                <w:color w:val="000000"/>
                <w:kern w:val="0"/>
                <w:sz w:val="20"/>
                <w:lang w:bidi="ar"/>
              </w:rPr>
              <w:t>…</w:t>
            </w:r>
          </w:p>
        </w:tc>
        <w:tc>
          <w:tcPr>
            <w:tcW w:w="4228" w:type="dxa"/>
            <w:gridSpan w:val="2"/>
            <w:noWrap w:val="0"/>
            <w:vAlign w:val="center"/>
          </w:tcPr>
          <w:p>
            <w:pPr>
              <w:jc w:val="center"/>
              <w:rPr>
                <w:rFonts w:hint="eastAsia" w:ascii="宋体" w:hAnsi="宋体" w:eastAsia="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noWrap w:val="0"/>
            <w:vAlign w:val="center"/>
          </w:tcPr>
          <w:p>
            <w:pPr>
              <w:jc w:val="center"/>
              <w:rPr>
                <w:rFonts w:ascii="宋体" w:cs="宋体"/>
                <w:sz w:val="20"/>
              </w:rPr>
            </w:pPr>
          </w:p>
        </w:tc>
        <w:tc>
          <w:tcPr>
            <w:tcW w:w="723" w:type="dxa"/>
            <w:vMerge w:val="continue"/>
            <w:noWrap w:val="0"/>
            <w:vAlign w:val="center"/>
          </w:tcPr>
          <w:p>
            <w:pPr>
              <w:jc w:val="center"/>
              <w:rPr>
                <w:rFonts w:ascii="宋体" w:cs="宋体"/>
                <w:sz w:val="20"/>
              </w:rPr>
            </w:pPr>
          </w:p>
        </w:tc>
        <w:tc>
          <w:tcPr>
            <w:tcW w:w="759" w:type="dxa"/>
            <w:gridSpan w:val="2"/>
            <w:vMerge w:val="restart"/>
            <w:noWrap w:val="0"/>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lang w:bidi="ar"/>
              </w:rPr>
              <w:t>时效指标</w:t>
            </w:r>
          </w:p>
        </w:tc>
        <w:tc>
          <w:tcPr>
            <w:tcW w:w="2872" w:type="dxa"/>
            <w:noWrap w:val="0"/>
            <w:vAlign w:val="center"/>
          </w:tcPr>
          <w:p>
            <w:pPr>
              <w:widowControl/>
              <w:jc w:val="left"/>
              <w:textAlignment w:val="center"/>
              <w:rPr>
                <w:rFonts w:ascii="宋体" w:cs="宋体"/>
                <w:sz w:val="20"/>
              </w:rPr>
            </w:pPr>
            <w:r>
              <w:rPr>
                <w:rFonts w:hint="eastAsia" w:ascii="宋体" w:hAnsi="宋体" w:eastAsia="宋体" w:cs="宋体"/>
                <w:color w:val="000000"/>
                <w:kern w:val="0"/>
                <w:sz w:val="20"/>
                <w:lang w:bidi="ar"/>
              </w:rPr>
              <w:t>指标1：城市低保按时发放率</w:t>
            </w:r>
          </w:p>
        </w:tc>
        <w:tc>
          <w:tcPr>
            <w:tcW w:w="4228" w:type="dxa"/>
            <w:gridSpan w:val="2"/>
            <w:noWrap w:val="0"/>
            <w:vAlign w:val="center"/>
          </w:tcPr>
          <w:p>
            <w:pPr>
              <w:jc w:val="center"/>
              <w:rPr>
                <w:rFonts w:hint="eastAsia" w:ascii="宋体" w:hAnsi="宋体" w:eastAsia="宋体" w:cs="宋体"/>
                <w:sz w:val="20"/>
              </w:rPr>
            </w:pPr>
            <w:r>
              <w:rPr>
                <w:rFonts w:hint="default" w:ascii="宋体" w:hAnsi="宋体" w:eastAsia="宋体" w:cs="宋体"/>
                <w:sz w:val="20"/>
                <w:lang w:eastAsia="zh-CN"/>
              </w:rPr>
              <w:t>≥</w:t>
            </w:r>
            <w:r>
              <w:rPr>
                <w:rFonts w:hint="eastAsia" w:ascii="宋体" w:hAnsi="宋体" w:eastAsia="宋体" w:cs="宋体"/>
                <w:sz w:val="20"/>
                <w:lang w:eastAsia="zh-CN"/>
              </w:rPr>
              <w:t>9</w:t>
            </w:r>
            <w:r>
              <w:rPr>
                <w:rFonts w:hint="eastAsia" w:ascii="宋体" w:hAnsi="宋体" w:eastAsia="宋体" w:cs="宋体"/>
                <w:sz w:val="20"/>
                <w:lang w:val="en-US" w:eastAsia="zh-CN"/>
              </w:rPr>
              <w:t>9</w:t>
            </w:r>
            <w:r>
              <w:rPr>
                <w:rFonts w:hint="eastAsia" w:ascii="宋体" w:hAnsi="宋体" w:eastAsia="宋体" w:cs="宋体"/>
                <w:sz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noWrap w:val="0"/>
            <w:vAlign w:val="center"/>
          </w:tcPr>
          <w:p>
            <w:pPr>
              <w:jc w:val="center"/>
              <w:rPr>
                <w:rFonts w:ascii="宋体" w:cs="宋体"/>
                <w:sz w:val="20"/>
              </w:rPr>
            </w:pPr>
          </w:p>
        </w:tc>
        <w:tc>
          <w:tcPr>
            <w:tcW w:w="723" w:type="dxa"/>
            <w:vMerge w:val="continue"/>
            <w:noWrap w:val="0"/>
            <w:vAlign w:val="center"/>
          </w:tcPr>
          <w:p>
            <w:pPr>
              <w:jc w:val="center"/>
              <w:rPr>
                <w:rFonts w:ascii="宋体" w:cs="宋体"/>
                <w:sz w:val="20"/>
              </w:rPr>
            </w:pPr>
          </w:p>
        </w:tc>
        <w:tc>
          <w:tcPr>
            <w:tcW w:w="759" w:type="dxa"/>
            <w:gridSpan w:val="2"/>
            <w:vMerge w:val="continue"/>
            <w:noWrap w:val="0"/>
            <w:vAlign w:val="center"/>
          </w:tcPr>
          <w:p>
            <w:pPr>
              <w:jc w:val="center"/>
              <w:rPr>
                <w:rFonts w:ascii="宋体" w:cs="宋体"/>
                <w:sz w:val="20"/>
              </w:rPr>
            </w:pPr>
          </w:p>
        </w:tc>
        <w:tc>
          <w:tcPr>
            <w:tcW w:w="2872" w:type="dxa"/>
            <w:noWrap w:val="0"/>
            <w:vAlign w:val="center"/>
          </w:tcPr>
          <w:p>
            <w:pPr>
              <w:widowControl/>
              <w:jc w:val="left"/>
              <w:textAlignment w:val="center"/>
              <w:rPr>
                <w:rFonts w:ascii="宋体" w:cs="宋体"/>
                <w:sz w:val="20"/>
              </w:rPr>
            </w:pPr>
            <w:r>
              <w:rPr>
                <w:rFonts w:ascii="汉仪中秀体简" w:hAnsi="汉仪中秀体简" w:eastAsia="汉仪中秀体简" w:cs="汉仪中秀体简"/>
                <w:color w:val="000000"/>
                <w:kern w:val="0"/>
                <w:sz w:val="20"/>
                <w:lang w:bidi="ar"/>
              </w:rPr>
              <w:t>…</w:t>
            </w:r>
          </w:p>
        </w:tc>
        <w:tc>
          <w:tcPr>
            <w:tcW w:w="4228" w:type="dxa"/>
            <w:gridSpan w:val="2"/>
            <w:noWrap w:val="0"/>
            <w:vAlign w:val="center"/>
          </w:tcPr>
          <w:p>
            <w:pPr>
              <w:jc w:val="center"/>
              <w:rPr>
                <w:rFonts w:hint="eastAsia" w:ascii="宋体" w:hAnsi="宋体" w:eastAsia="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noWrap w:val="0"/>
            <w:vAlign w:val="center"/>
          </w:tcPr>
          <w:p>
            <w:pPr>
              <w:jc w:val="center"/>
              <w:rPr>
                <w:rFonts w:ascii="宋体" w:cs="宋体"/>
                <w:sz w:val="20"/>
              </w:rPr>
            </w:pPr>
          </w:p>
        </w:tc>
        <w:tc>
          <w:tcPr>
            <w:tcW w:w="723" w:type="dxa"/>
            <w:vMerge w:val="continue"/>
            <w:noWrap w:val="0"/>
            <w:vAlign w:val="center"/>
          </w:tcPr>
          <w:p>
            <w:pPr>
              <w:jc w:val="center"/>
              <w:rPr>
                <w:rFonts w:ascii="宋体" w:cs="宋体"/>
                <w:sz w:val="20"/>
              </w:rPr>
            </w:pPr>
          </w:p>
        </w:tc>
        <w:tc>
          <w:tcPr>
            <w:tcW w:w="759" w:type="dxa"/>
            <w:gridSpan w:val="2"/>
            <w:vMerge w:val="restart"/>
            <w:noWrap w:val="0"/>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lang w:bidi="ar"/>
              </w:rPr>
              <w:t>成本指标</w:t>
            </w:r>
          </w:p>
        </w:tc>
        <w:tc>
          <w:tcPr>
            <w:tcW w:w="2872" w:type="dxa"/>
            <w:noWrap w:val="0"/>
            <w:vAlign w:val="center"/>
          </w:tcPr>
          <w:p>
            <w:pPr>
              <w:widowControl/>
              <w:jc w:val="left"/>
              <w:textAlignment w:val="center"/>
              <w:rPr>
                <w:rFonts w:hint="eastAsia" w:ascii="宋体" w:eastAsia="宋体" w:cs="宋体"/>
                <w:sz w:val="20"/>
                <w:lang w:eastAsia="zh-CN"/>
              </w:rPr>
            </w:pPr>
            <w:r>
              <w:rPr>
                <w:rFonts w:hint="eastAsia" w:ascii="宋体" w:hAnsi="宋体" w:eastAsia="宋体" w:cs="宋体"/>
                <w:color w:val="000000"/>
                <w:kern w:val="0"/>
                <w:sz w:val="20"/>
                <w:lang w:bidi="ar"/>
              </w:rPr>
              <w:t>指标1：</w:t>
            </w:r>
            <w:r>
              <w:rPr>
                <w:rFonts w:hint="eastAsia" w:ascii="宋体" w:hAnsi="宋体" w:eastAsia="宋体" w:cs="宋体"/>
                <w:color w:val="000000"/>
                <w:kern w:val="0"/>
                <w:sz w:val="20"/>
                <w:lang w:eastAsia="zh-CN" w:bidi="ar"/>
              </w:rPr>
              <w:t>低保金</w:t>
            </w:r>
          </w:p>
        </w:tc>
        <w:tc>
          <w:tcPr>
            <w:tcW w:w="4228" w:type="dxa"/>
            <w:gridSpan w:val="2"/>
            <w:noWrap w:val="0"/>
            <w:vAlign w:val="center"/>
          </w:tcPr>
          <w:p>
            <w:pPr>
              <w:jc w:val="center"/>
              <w:rPr>
                <w:rFonts w:hint="default" w:ascii="宋体" w:hAnsi="宋体" w:eastAsia="宋体" w:cs="宋体"/>
                <w:sz w:val="20"/>
                <w:lang w:val="en-US" w:eastAsia="zh-CN"/>
              </w:rPr>
            </w:pPr>
            <w:r>
              <w:rPr>
                <w:rFonts w:hint="eastAsia" w:ascii="宋体" w:hAnsi="宋体" w:eastAsia="宋体" w:cs="宋体"/>
                <w:sz w:val="20"/>
                <w:lang w:val="en-US" w:eastAsia="zh-CN"/>
              </w:rPr>
              <w:t>447万元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noWrap w:val="0"/>
            <w:vAlign w:val="center"/>
          </w:tcPr>
          <w:p>
            <w:pPr>
              <w:jc w:val="center"/>
              <w:rPr>
                <w:rFonts w:ascii="宋体" w:cs="宋体"/>
                <w:sz w:val="20"/>
              </w:rPr>
            </w:pPr>
          </w:p>
        </w:tc>
        <w:tc>
          <w:tcPr>
            <w:tcW w:w="723" w:type="dxa"/>
            <w:vMerge w:val="continue"/>
            <w:noWrap w:val="0"/>
            <w:vAlign w:val="center"/>
          </w:tcPr>
          <w:p>
            <w:pPr>
              <w:jc w:val="center"/>
              <w:rPr>
                <w:rFonts w:ascii="宋体" w:cs="宋体"/>
                <w:sz w:val="20"/>
              </w:rPr>
            </w:pPr>
          </w:p>
        </w:tc>
        <w:tc>
          <w:tcPr>
            <w:tcW w:w="759" w:type="dxa"/>
            <w:gridSpan w:val="2"/>
            <w:vMerge w:val="continue"/>
            <w:noWrap w:val="0"/>
            <w:vAlign w:val="center"/>
          </w:tcPr>
          <w:p>
            <w:pPr>
              <w:jc w:val="center"/>
              <w:rPr>
                <w:rFonts w:ascii="宋体" w:cs="宋体"/>
                <w:sz w:val="20"/>
              </w:rPr>
            </w:pPr>
          </w:p>
        </w:tc>
        <w:tc>
          <w:tcPr>
            <w:tcW w:w="2872" w:type="dxa"/>
            <w:noWrap w:val="0"/>
            <w:vAlign w:val="center"/>
          </w:tcPr>
          <w:p>
            <w:pPr>
              <w:widowControl/>
              <w:jc w:val="left"/>
              <w:textAlignment w:val="center"/>
              <w:rPr>
                <w:rFonts w:ascii="宋体" w:cs="宋体"/>
                <w:sz w:val="20"/>
              </w:rPr>
            </w:pPr>
            <w:r>
              <w:rPr>
                <w:rFonts w:ascii="汉仪中秀体简" w:hAnsi="汉仪中秀体简" w:eastAsia="汉仪中秀体简" w:cs="汉仪中秀体简"/>
                <w:color w:val="000000"/>
                <w:kern w:val="0"/>
                <w:sz w:val="20"/>
                <w:lang w:bidi="ar"/>
              </w:rPr>
              <w:t>…</w:t>
            </w:r>
          </w:p>
        </w:tc>
        <w:tc>
          <w:tcPr>
            <w:tcW w:w="4228" w:type="dxa"/>
            <w:gridSpan w:val="2"/>
            <w:noWrap w:val="0"/>
            <w:vAlign w:val="center"/>
          </w:tcPr>
          <w:p>
            <w:pPr>
              <w:jc w:val="center"/>
              <w:rPr>
                <w:rFonts w:hint="eastAsia" w:ascii="宋体" w:hAnsi="宋体" w:eastAsia="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noWrap w:val="0"/>
            <w:vAlign w:val="center"/>
          </w:tcPr>
          <w:p>
            <w:pPr>
              <w:jc w:val="center"/>
              <w:rPr>
                <w:rFonts w:ascii="宋体" w:cs="宋体"/>
                <w:sz w:val="20"/>
              </w:rPr>
            </w:pPr>
          </w:p>
        </w:tc>
        <w:tc>
          <w:tcPr>
            <w:tcW w:w="723" w:type="dxa"/>
            <w:vMerge w:val="continue"/>
            <w:noWrap w:val="0"/>
            <w:vAlign w:val="center"/>
          </w:tcPr>
          <w:p>
            <w:pPr>
              <w:jc w:val="center"/>
              <w:rPr>
                <w:rFonts w:ascii="宋体" w:cs="宋体"/>
                <w:sz w:val="20"/>
              </w:rPr>
            </w:pPr>
          </w:p>
        </w:tc>
        <w:tc>
          <w:tcPr>
            <w:tcW w:w="759" w:type="dxa"/>
            <w:gridSpan w:val="2"/>
            <w:noWrap w:val="0"/>
            <w:vAlign w:val="center"/>
          </w:tcPr>
          <w:p>
            <w:pPr>
              <w:widowControl/>
              <w:jc w:val="center"/>
              <w:textAlignment w:val="center"/>
              <w:rPr>
                <w:rFonts w:ascii="宋体" w:cs="宋体"/>
                <w:sz w:val="20"/>
              </w:rPr>
            </w:pPr>
            <w:r>
              <w:rPr>
                <w:rFonts w:hint="eastAsia" w:ascii="宋体" w:hAnsi="宋体" w:eastAsia="宋体" w:cs="宋体"/>
                <w:color w:val="000000"/>
                <w:kern w:val="0"/>
                <w:sz w:val="20"/>
                <w:lang w:bidi="ar"/>
              </w:rPr>
              <w:t>…</w:t>
            </w:r>
          </w:p>
        </w:tc>
        <w:tc>
          <w:tcPr>
            <w:tcW w:w="2872" w:type="dxa"/>
            <w:noWrap w:val="0"/>
            <w:vAlign w:val="center"/>
          </w:tcPr>
          <w:p>
            <w:pPr>
              <w:jc w:val="left"/>
              <w:rPr>
                <w:rFonts w:ascii="宋体" w:cs="宋体"/>
                <w:sz w:val="20"/>
              </w:rPr>
            </w:pPr>
          </w:p>
        </w:tc>
        <w:tc>
          <w:tcPr>
            <w:tcW w:w="4228" w:type="dxa"/>
            <w:gridSpan w:val="2"/>
            <w:noWrap w:val="0"/>
            <w:vAlign w:val="center"/>
          </w:tcPr>
          <w:p>
            <w:pPr>
              <w:jc w:val="center"/>
              <w:rPr>
                <w:rFonts w:hint="eastAsia" w:ascii="宋体" w:hAnsi="宋体" w:eastAsia="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noWrap w:val="0"/>
            <w:vAlign w:val="center"/>
          </w:tcPr>
          <w:p>
            <w:pPr>
              <w:jc w:val="center"/>
              <w:rPr>
                <w:rFonts w:ascii="宋体" w:cs="宋体"/>
                <w:sz w:val="20"/>
              </w:rPr>
            </w:pPr>
          </w:p>
        </w:tc>
        <w:tc>
          <w:tcPr>
            <w:tcW w:w="723" w:type="dxa"/>
            <w:vMerge w:val="restart"/>
            <w:noWrap w:val="0"/>
            <w:vAlign w:val="center"/>
          </w:tcPr>
          <w:p>
            <w:pPr>
              <w:widowControl/>
              <w:jc w:val="center"/>
              <w:textAlignment w:val="center"/>
              <w:rPr>
                <w:rFonts w:ascii="宋体" w:cs="宋体"/>
                <w:sz w:val="20"/>
              </w:rPr>
            </w:pPr>
            <w:r>
              <w:rPr>
                <w:rFonts w:hint="eastAsia" w:ascii="宋体" w:hAnsi="宋体" w:eastAsia="宋体" w:cs="宋体"/>
                <w:color w:val="000000"/>
                <w:kern w:val="0"/>
                <w:sz w:val="20"/>
                <w:lang w:bidi="ar"/>
              </w:rPr>
              <w:t>效益指标</w:t>
            </w:r>
          </w:p>
        </w:tc>
        <w:tc>
          <w:tcPr>
            <w:tcW w:w="759" w:type="dxa"/>
            <w:gridSpan w:val="2"/>
            <w:vMerge w:val="restart"/>
            <w:noWrap w:val="0"/>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lang w:bidi="ar"/>
              </w:rPr>
              <w:t>经济效益指标</w:t>
            </w:r>
          </w:p>
        </w:tc>
        <w:tc>
          <w:tcPr>
            <w:tcW w:w="2872" w:type="dxa"/>
            <w:noWrap w:val="0"/>
            <w:vAlign w:val="center"/>
          </w:tcPr>
          <w:p>
            <w:pPr>
              <w:widowControl/>
              <w:jc w:val="left"/>
              <w:textAlignment w:val="center"/>
              <w:rPr>
                <w:rFonts w:ascii="宋体" w:cs="宋体"/>
                <w:sz w:val="20"/>
              </w:rPr>
            </w:pPr>
            <w:r>
              <w:rPr>
                <w:rFonts w:hint="eastAsia" w:ascii="宋体" w:hAnsi="宋体" w:eastAsia="宋体" w:cs="宋体"/>
                <w:color w:val="000000"/>
                <w:kern w:val="0"/>
                <w:sz w:val="20"/>
                <w:lang w:bidi="ar"/>
              </w:rPr>
              <w:t>指标1：及时有效性</w:t>
            </w:r>
          </w:p>
        </w:tc>
        <w:tc>
          <w:tcPr>
            <w:tcW w:w="4228" w:type="dxa"/>
            <w:gridSpan w:val="2"/>
            <w:noWrap w:val="0"/>
            <w:vAlign w:val="center"/>
          </w:tcPr>
          <w:p>
            <w:pPr>
              <w:jc w:val="center"/>
              <w:rPr>
                <w:rFonts w:hint="eastAsia" w:ascii="宋体" w:hAnsi="宋体" w:eastAsia="宋体" w:cs="宋体"/>
                <w:sz w:val="20"/>
              </w:rPr>
            </w:pPr>
            <w:r>
              <w:rPr>
                <w:rFonts w:hint="eastAsia" w:ascii="宋体" w:hAnsi="宋体" w:eastAsia="宋体" w:cs="宋体"/>
                <w:sz w:val="20"/>
              </w:rPr>
              <w:t>困难群众得到及时有效救助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noWrap w:val="0"/>
            <w:vAlign w:val="center"/>
          </w:tcPr>
          <w:p>
            <w:pPr>
              <w:jc w:val="center"/>
              <w:rPr>
                <w:rFonts w:ascii="宋体" w:cs="宋体"/>
                <w:sz w:val="20"/>
              </w:rPr>
            </w:pPr>
          </w:p>
        </w:tc>
        <w:tc>
          <w:tcPr>
            <w:tcW w:w="723" w:type="dxa"/>
            <w:vMerge w:val="continue"/>
            <w:noWrap w:val="0"/>
            <w:vAlign w:val="center"/>
          </w:tcPr>
          <w:p>
            <w:pPr>
              <w:jc w:val="center"/>
              <w:rPr>
                <w:rFonts w:ascii="宋体" w:cs="宋体"/>
                <w:sz w:val="20"/>
              </w:rPr>
            </w:pPr>
          </w:p>
        </w:tc>
        <w:tc>
          <w:tcPr>
            <w:tcW w:w="759" w:type="dxa"/>
            <w:gridSpan w:val="2"/>
            <w:vMerge w:val="continue"/>
            <w:noWrap w:val="0"/>
            <w:vAlign w:val="center"/>
          </w:tcPr>
          <w:p>
            <w:pPr>
              <w:jc w:val="center"/>
              <w:rPr>
                <w:rFonts w:ascii="宋体" w:cs="宋体"/>
                <w:sz w:val="20"/>
              </w:rPr>
            </w:pPr>
          </w:p>
        </w:tc>
        <w:tc>
          <w:tcPr>
            <w:tcW w:w="2872" w:type="dxa"/>
            <w:noWrap w:val="0"/>
            <w:vAlign w:val="center"/>
          </w:tcPr>
          <w:p>
            <w:pPr>
              <w:widowControl/>
              <w:jc w:val="left"/>
              <w:textAlignment w:val="center"/>
              <w:rPr>
                <w:rFonts w:ascii="宋体" w:cs="宋体"/>
                <w:sz w:val="20"/>
              </w:rPr>
            </w:pPr>
            <w:r>
              <w:rPr>
                <w:rFonts w:ascii="汉仪中秀体简" w:hAnsi="汉仪中秀体简" w:eastAsia="汉仪中秀体简" w:cs="汉仪中秀体简"/>
                <w:color w:val="000000"/>
                <w:kern w:val="0"/>
                <w:sz w:val="20"/>
                <w:lang w:bidi="ar"/>
              </w:rPr>
              <w:t>…</w:t>
            </w:r>
          </w:p>
        </w:tc>
        <w:tc>
          <w:tcPr>
            <w:tcW w:w="4228" w:type="dxa"/>
            <w:gridSpan w:val="2"/>
            <w:noWrap w:val="0"/>
            <w:vAlign w:val="center"/>
          </w:tcPr>
          <w:p>
            <w:pPr>
              <w:jc w:val="center"/>
              <w:rPr>
                <w:rFonts w:hint="eastAsia" w:ascii="宋体" w:hAnsi="宋体" w:eastAsia="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noWrap w:val="0"/>
            <w:vAlign w:val="center"/>
          </w:tcPr>
          <w:p>
            <w:pPr>
              <w:jc w:val="center"/>
              <w:rPr>
                <w:rFonts w:ascii="宋体" w:cs="宋体"/>
                <w:sz w:val="20"/>
              </w:rPr>
            </w:pPr>
          </w:p>
        </w:tc>
        <w:tc>
          <w:tcPr>
            <w:tcW w:w="723" w:type="dxa"/>
            <w:vMerge w:val="continue"/>
            <w:noWrap w:val="0"/>
            <w:vAlign w:val="center"/>
          </w:tcPr>
          <w:p>
            <w:pPr>
              <w:jc w:val="center"/>
              <w:rPr>
                <w:rFonts w:ascii="宋体" w:cs="宋体"/>
                <w:sz w:val="20"/>
              </w:rPr>
            </w:pPr>
          </w:p>
        </w:tc>
        <w:tc>
          <w:tcPr>
            <w:tcW w:w="759" w:type="dxa"/>
            <w:gridSpan w:val="2"/>
            <w:vMerge w:val="restart"/>
            <w:noWrap w:val="0"/>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lang w:bidi="ar"/>
              </w:rPr>
              <w:t>社会效益指标</w:t>
            </w:r>
          </w:p>
        </w:tc>
        <w:tc>
          <w:tcPr>
            <w:tcW w:w="2872" w:type="dxa"/>
            <w:noWrap w:val="0"/>
            <w:vAlign w:val="center"/>
          </w:tcPr>
          <w:p>
            <w:pPr>
              <w:widowControl/>
              <w:jc w:val="left"/>
              <w:textAlignment w:val="center"/>
              <w:rPr>
                <w:rFonts w:ascii="宋体" w:cs="宋体"/>
                <w:sz w:val="20"/>
              </w:rPr>
            </w:pPr>
            <w:r>
              <w:rPr>
                <w:rFonts w:hint="eastAsia" w:ascii="宋体" w:hAnsi="宋体" w:eastAsia="宋体" w:cs="宋体"/>
                <w:color w:val="000000"/>
                <w:kern w:val="0"/>
                <w:sz w:val="20"/>
                <w:lang w:bidi="ar"/>
              </w:rPr>
              <w:t>指标1：低保对象生活水平情况</w:t>
            </w:r>
          </w:p>
        </w:tc>
        <w:tc>
          <w:tcPr>
            <w:tcW w:w="4228" w:type="dxa"/>
            <w:gridSpan w:val="2"/>
            <w:noWrap w:val="0"/>
            <w:vAlign w:val="center"/>
          </w:tcPr>
          <w:p>
            <w:pPr>
              <w:jc w:val="center"/>
              <w:rPr>
                <w:rFonts w:hint="eastAsia" w:ascii="宋体" w:hAnsi="宋体" w:eastAsia="宋体" w:cs="宋体"/>
                <w:sz w:val="20"/>
              </w:rPr>
            </w:pPr>
            <w:r>
              <w:rPr>
                <w:rFonts w:hint="eastAsia" w:ascii="宋体" w:hAnsi="宋体" w:eastAsia="宋体" w:cs="宋体"/>
                <w:sz w:val="20"/>
              </w:rPr>
              <w:t>有所提升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noWrap w:val="0"/>
            <w:vAlign w:val="center"/>
          </w:tcPr>
          <w:p>
            <w:pPr>
              <w:jc w:val="center"/>
              <w:rPr>
                <w:rFonts w:ascii="宋体" w:cs="宋体"/>
                <w:sz w:val="20"/>
              </w:rPr>
            </w:pPr>
          </w:p>
        </w:tc>
        <w:tc>
          <w:tcPr>
            <w:tcW w:w="723" w:type="dxa"/>
            <w:vMerge w:val="continue"/>
            <w:noWrap w:val="0"/>
            <w:vAlign w:val="center"/>
          </w:tcPr>
          <w:p>
            <w:pPr>
              <w:jc w:val="center"/>
              <w:rPr>
                <w:rFonts w:ascii="宋体" w:cs="宋体"/>
                <w:sz w:val="20"/>
              </w:rPr>
            </w:pPr>
          </w:p>
        </w:tc>
        <w:tc>
          <w:tcPr>
            <w:tcW w:w="759" w:type="dxa"/>
            <w:gridSpan w:val="2"/>
            <w:vMerge w:val="continue"/>
            <w:noWrap w:val="0"/>
            <w:vAlign w:val="center"/>
          </w:tcPr>
          <w:p>
            <w:pPr>
              <w:jc w:val="center"/>
              <w:rPr>
                <w:rFonts w:ascii="宋体" w:cs="宋体"/>
                <w:sz w:val="20"/>
              </w:rPr>
            </w:pPr>
          </w:p>
        </w:tc>
        <w:tc>
          <w:tcPr>
            <w:tcW w:w="2872" w:type="dxa"/>
            <w:noWrap w:val="0"/>
            <w:vAlign w:val="center"/>
          </w:tcPr>
          <w:p>
            <w:pPr>
              <w:widowControl/>
              <w:jc w:val="left"/>
              <w:textAlignment w:val="center"/>
              <w:rPr>
                <w:rFonts w:ascii="宋体" w:cs="宋体"/>
                <w:sz w:val="20"/>
              </w:rPr>
            </w:pPr>
            <w:r>
              <w:rPr>
                <w:rFonts w:ascii="汉仪中秀体简" w:hAnsi="汉仪中秀体简" w:eastAsia="汉仪中秀体简" w:cs="汉仪中秀体简"/>
                <w:color w:val="000000"/>
                <w:kern w:val="0"/>
                <w:sz w:val="20"/>
                <w:lang w:bidi="ar"/>
              </w:rPr>
              <w:t>…</w:t>
            </w:r>
          </w:p>
        </w:tc>
        <w:tc>
          <w:tcPr>
            <w:tcW w:w="4228" w:type="dxa"/>
            <w:gridSpan w:val="2"/>
            <w:noWrap w:val="0"/>
            <w:vAlign w:val="center"/>
          </w:tcPr>
          <w:p>
            <w:pPr>
              <w:jc w:val="center"/>
              <w:rPr>
                <w:rFonts w:hint="eastAsia" w:ascii="宋体" w:hAnsi="宋体" w:eastAsia="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noWrap w:val="0"/>
            <w:vAlign w:val="center"/>
          </w:tcPr>
          <w:p>
            <w:pPr>
              <w:jc w:val="center"/>
              <w:rPr>
                <w:rFonts w:ascii="宋体" w:cs="宋体"/>
                <w:sz w:val="20"/>
              </w:rPr>
            </w:pPr>
          </w:p>
        </w:tc>
        <w:tc>
          <w:tcPr>
            <w:tcW w:w="723" w:type="dxa"/>
            <w:vMerge w:val="continue"/>
            <w:noWrap w:val="0"/>
            <w:vAlign w:val="center"/>
          </w:tcPr>
          <w:p>
            <w:pPr>
              <w:jc w:val="center"/>
              <w:rPr>
                <w:rFonts w:ascii="宋体" w:cs="宋体"/>
                <w:sz w:val="20"/>
              </w:rPr>
            </w:pPr>
          </w:p>
        </w:tc>
        <w:tc>
          <w:tcPr>
            <w:tcW w:w="759" w:type="dxa"/>
            <w:gridSpan w:val="2"/>
            <w:vMerge w:val="restart"/>
            <w:noWrap w:val="0"/>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lang w:bidi="ar"/>
              </w:rPr>
              <w:t>生态效益指标</w:t>
            </w:r>
          </w:p>
        </w:tc>
        <w:tc>
          <w:tcPr>
            <w:tcW w:w="2872" w:type="dxa"/>
            <w:noWrap w:val="0"/>
            <w:vAlign w:val="center"/>
          </w:tcPr>
          <w:p>
            <w:pPr>
              <w:widowControl/>
              <w:jc w:val="left"/>
              <w:textAlignment w:val="center"/>
              <w:rPr>
                <w:rFonts w:ascii="宋体" w:cs="宋体"/>
                <w:sz w:val="20"/>
              </w:rPr>
            </w:pPr>
            <w:r>
              <w:rPr>
                <w:rFonts w:hint="eastAsia" w:ascii="宋体" w:hAnsi="宋体" w:eastAsia="宋体" w:cs="宋体"/>
                <w:color w:val="000000"/>
                <w:kern w:val="0"/>
                <w:sz w:val="20"/>
                <w:lang w:bidi="ar"/>
              </w:rPr>
              <w:t>指标1：保障准确性</w:t>
            </w:r>
          </w:p>
        </w:tc>
        <w:tc>
          <w:tcPr>
            <w:tcW w:w="4228" w:type="dxa"/>
            <w:gridSpan w:val="2"/>
            <w:noWrap w:val="0"/>
            <w:vAlign w:val="center"/>
          </w:tcPr>
          <w:p>
            <w:pPr>
              <w:jc w:val="center"/>
              <w:rPr>
                <w:rFonts w:hint="eastAsia" w:ascii="宋体" w:hAnsi="宋体" w:eastAsia="宋体" w:cs="宋体"/>
                <w:sz w:val="20"/>
                <w:lang w:eastAsia="zh-CN"/>
              </w:rPr>
            </w:pPr>
            <w:r>
              <w:rPr>
                <w:rFonts w:hint="eastAsia" w:ascii="宋体" w:hAnsi="宋体" w:eastAsia="宋体" w:cs="宋体"/>
                <w:sz w:val="20"/>
                <w:lang w:eastAsia="zh-CN"/>
              </w:rPr>
              <w:t>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noWrap w:val="0"/>
            <w:vAlign w:val="center"/>
          </w:tcPr>
          <w:p>
            <w:pPr>
              <w:jc w:val="center"/>
              <w:rPr>
                <w:rFonts w:ascii="宋体" w:cs="宋体"/>
                <w:sz w:val="20"/>
              </w:rPr>
            </w:pPr>
          </w:p>
        </w:tc>
        <w:tc>
          <w:tcPr>
            <w:tcW w:w="723" w:type="dxa"/>
            <w:vMerge w:val="continue"/>
            <w:noWrap w:val="0"/>
            <w:vAlign w:val="center"/>
          </w:tcPr>
          <w:p>
            <w:pPr>
              <w:jc w:val="center"/>
              <w:rPr>
                <w:rFonts w:ascii="宋体" w:cs="宋体"/>
                <w:sz w:val="20"/>
              </w:rPr>
            </w:pPr>
          </w:p>
        </w:tc>
        <w:tc>
          <w:tcPr>
            <w:tcW w:w="759" w:type="dxa"/>
            <w:gridSpan w:val="2"/>
            <w:vMerge w:val="continue"/>
            <w:noWrap w:val="0"/>
            <w:vAlign w:val="center"/>
          </w:tcPr>
          <w:p>
            <w:pPr>
              <w:jc w:val="center"/>
              <w:rPr>
                <w:rFonts w:ascii="宋体" w:cs="宋体"/>
                <w:sz w:val="20"/>
              </w:rPr>
            </w:pPr>
          </w:p>
        </w:tc>
        <w:tc>
          <w:tcPr>
            <w:tcW w:w="2872" w:type="dxa"/>
            <w:noWrap w:val="0"/>
            <w:vAlign w:val="center"/>
          </w:tcPr>
          <w:p>
            <w:pPr>
              <w:widowControl/>
              <w:jc w:val="left"/>
              <w:textAlignment w:val="center"/>
              <w:rPr>
                <w:rFonts w:hint="eastAsia" w:ascii="汉仪中秀体简" w:hAnsi="汉仪中秀体简" w:eastAsia="汉仪中秀体简" w:cs="汉仪中秀体简"/>
                <w:color w:val="000000"/>
                <w:kern w:val="0"/>
                <w:sz w:val="20"/>
                <w:lang w:bidi="ar"/>
              </w:rPr>
            </w:pPr>
            <w:r>
              <w:rPr>
                <w:rFonts w:ascii="汉仪中秀体简" w:hAnsi="汉仪中秀体简" w:eastAsia="汉仪中秀体简" w:cs="汉仪中秀体简"/>
                <w:color w:val="000000"/>
                <w:kern w:val="0"/>
                <w:sz w:val="20"/>
                <w:lang w:bidi="ar"/>
              </w:rPr>
              <w:t>…</w:t>
            </w:r>
          </w:p>
        </w:tc>
        <w:tc>
          <w:tcPr>
            <w:tcW w:w="4228" w:type="dxa"/>
            <w:gridSpan w:val="2"/>
            <w:noWrap w:val="0"/>
            <w:vAlign w:val="center"/>
          </w:tcPr>
          <w:p>
            <w:pPr>
              <w:widowControl/>
              <w:jc w:val="left"/>
              <w:textAlignment w:val="center"/>
              <w:rPr>
                <w:rFonts w:hint="eastAsia" w:ascii="宋体" w:hAnsi="宋体" w:eastAsia="宋体" w:cs="宋体"/>
                <w:color w:val="000000"/>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38" w:type="dxa"/>
            <w:vMerge w:val="continue"/>
            <w:noWrap w:val="0"/>
            <w:vAlign w:val="center"/>
          </w:tcPr>
          <w:p>
            <w:pPr>
              <w:jc w:val="center"/>
              <w:rPr>
                <w:rFonts w:ascii="宋体" w:cs="宋体"/>
                <w:sz w:val="20"/>
              </w:rPr>
            </w:pPr>
          </w:p>
        </w:tc>
        <w:tc>
          <w:tcPr>
            <w:tcW w:w="723" w:type="dxa"/>
            <w:vMerge w:val="continue"/>
            <w:noWrap w:val="0"/>
            <w:vAlign w:val="center"/>
          </w:tcPr>
          <w:p>
            <w:pPr>
              <w:jc w:val="center"/>
              <w:rPr>
                <w:rFonts w:ascii="宋体" w:cs="宋体"/>
                <w:sz w:val="20"/>
              </w:rPr>
            </w:pPr>
          </w:p>
        </w:tc>
        <w:tc>
          <w:tcPr>
            <w:tcW w:w="759" w:type="dxa"/>
            <w:gridSpan w:val="2"/>
            <w:vMerge w:val="restart"/>
            <w:noWrap w:val="0"/>
            <w:vAlign w:val="center"/>
          </w:tcPr>
          <w:p>
            <w:pPr>
              <w:widowControl/>
              <w:spacing w:line="200" w:lineRule="exact"/>
              <w:jc w:val="center"/>
              <w:rPr>
                <w:rFonts w:hint="eastAsia" w:ascii="宋体" w:hAnsi="宋体" w:eastAsia="宋体" w:cs="宋体"/>
                <w:sz w:val="20"/>
              </w:rPr>
            </w:pPr>
            <w:r>
              <w:rPr>
                <w:rFonts w:hint="eastAsia" w:ascii="宋体" w:hAnsi="宋体" w:eastAsia="宋体" w:cs="宋体"/>
                <w:sz w:val="20"/>
              </w:rPr>
              <w:t>可持续影响指标</w:t>
            </w:r>
          </w:p>
        </w:tc>
        <w:tc>
          <w:tcPr>
            <w:tcW w:w="2872" w:type="dxa"/>
            <w:noWrap w:val="0"/>
            <w:vAlign w:val="center"/>
          </w:tcPr>
          <w:p>
            <w:pPr>
              <w:widowControl/>
              <w:jc w:val="left"/>
              <w:textAlignment w:val="center"/>
              <w:rPr>
                <w:rFonts w:hint="eastAsia" w:ascii="宋体" w:hAnsi="宋体" w:eastAsia="宋体" w:cs="宋体"/>
                <w:sz w:val="20"/>
              </w:rPr>
            </w:pPr>
            <w:r>
              <w:rPr>
                <w:rFonts w:hint="eastAsia" w:ascii="宋体" w:hAnsi="宋体" w:eastAsia="宋体" w:cs="宋体"/>
                <w:color w:val="000000"/>
                <w:kern w:val="0"/>
                <w:sz w:val="20"/>
                <w:lang w:bidi="ar"/>
              </w:rPr>
              <w:t>指标1：最低生活保障制度　</w:t>
            </w:r>
          </w:p>
        </w:tc>
        <w:tc>
          <w:tcPr>
            <w:tcW w:w="4228" w:type="dxa"/>
            <w:gridSpan w:val="2"/>
            <w:noWrap w:val="0"/>
            <w:vAlign w:val="center"/>
          </w:tcPr>
          <w:p>
            <w:pPr>
              <w:jc w:val="center"/>
              <w:rPr>
                <w:rFonts w:hint="eastAsia" w:ascii="宋体" w:hAnsi="宋体" w:eastAsia="宋体" w:cs="宋体"/>
                <w:sz w:val="20"/>
                <w:lang w:eastAsia="zh-CN"/>
              </w:rPr>
            </w:pPr>
            <w:r>
              <w:rPr>
                <w:rFonts w:hint="eastAsia" w:ascii="宋体" w:hAnsi="宋体" w:eastAsia="宋体" w:cs="宋体"/>
                <w:sz w:val="20"/>
                <w:lang w:eastAsia="zh-CN"/>
              </w:rPr>
              <w:t>进一步完善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438" w:type="dxa"/>
            <w:vMerge w:val="continue"/>
            <w:noWrap w:val="0"/>
            <w:vAlign w:val="center"/>
          </w:tcPr>
          <w:p>
            <w:pPr>
              <w:jc w:val="center"/>
              <w:rPr>
                <w:rFonts w:ascii="宋体" w:cs="宋体"/>
                <w:sz w:val="20"/>
              </w:rPr>
            </w:pPr>
          </w:p>
        </w:tc>
        <w:tc>
          <w:tcPr>
            <w:tcW w:w="723" w:type="dxa"/>
            <w:vMerge w:val="continue"/>
            <w:noWrap w:val="0"/>
            <w:vAlign w:val="center"/>
          </w:tcPr>
          <w:p>
            <w:pPr>
              <w:jc w:val="center"/>
              <w:rPr>
                <w:rFonts w:ascii="宋体" w:cs="宋体"/>
                <w:sz w:val="20"/>
              </w:rPr>
            </w:pPr>
          </w:p>
        </w:tc>
        <w:tc>
          <w:tcPr>
            <w:tcW w:w="759" w:type="dxa"/>
            <w:gridSpan w:val="2"/>
            <w:vMerge w:val="continue"/>
            <w:noWrap w:val="0"/>
            <w:vAlign w:val="center"/>
          </w:tcPr>
          <w:p>
            <w:pPr>
              <w:jc w:val="center"/>
              <w:rPr>
                <w:rFonts w:hint="eastAsia" w:ascii="宋体" w:hAnsi="宋体" w:eastAsia="宋体" w:cs="宋体"/>
                <w:sz w:val="20"/>
              </w:rPr>
            </w:pPr>
          </w:p>
        </w:tc>
        <w:tc>
          <w:tcPr>
            <w:tcW w:w="2872" w:type="dxa"/>
            <w:noWrap w:val="0"/>
            <w:vAlign w:val="center"/>
          </w:tcPr>
          <w:p>
            <w:pPr>
              <w:widowControl/>
              <w:jc w:val="left"/>
              <w:textAlignment w:val="center"/>
              <w:rPr>
                <w:rFonts w:hint="eastAsia" w:ascii="宋体" w:hAnsi="宋体" w:eastAsia="宋体" w:cs="宋体"/>
                <w:color w:val="000000"/>
                <w:kern w:val="0"/>
                <w:sz w:val="20"/>
                <w:lang w:bidi="ar"/>
              </w:rPr>
            </w:pPr>
            <w:r>
              <w:rPr>
                <w:rFonts w:hint="eastAsia" w:ascii="宋体" w:hAnsi="宋体" w:eastAsia="宋体" w:cs="宋体"/>
                <w:color w:val="000000"/>
                <w:kern w:val="0"/>
                <w:sz w:val="20"/>
                <w:lang w:bidi="ar"/>
              </w:rPr>
              <w:t>…</w:t>
            </w:r>
          </w:p>
        </w:tc>
        <w:tc>
          <w:tcPr>
            <w:tcW w:w="4228" w:type="dxa"/>
            <w:gridSpan w:val="2"/>
            <w:noWrap w:val="0"/>
            <w:vAlign w:val="center"/>
          </w:tcPr>
          <w:p>
            <w:pPr>
              <w:jc w:val="center"/>
              <w:rPr>
                <w:rFonts w:hint="eastAsia" w:ascii="宋体" w:hAnsi="宋体" w:eastAsia="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noWrap w:val="0"/>
            <w:vAlign w:val="center"/>
          </w:tcPr>
          <w:p>
            <w:pPr>
              <w:jc w:val="center"/>
              <w:rPr>
                <w:rFonts w:ascii="宋体" w:cs="宋体"/>
                <w:sz w:val="20"/>
              </w:rPr>
            </w:pPr>
          </w:p>
        </w:tc>
        <w:tc>
          <w:tcPr>
            <w:tcW w:w="723" w:type="dxa"/>
            <w:vMerge w:val="continue"/>
            <w:noWrap w:val="0"/>
            <w:vAlign w:val="center"/>
          </w:tcPr>
          <w:p>
            <w:pPr>
              <w:jc w:val="center"/>
              <w:rPr>
                <w:rFonts w:ascii="宋体" w:cs="宋体"/>
                <w:sz w:val="20"/>
              </w:rPr>
            </w:pPr>
          </w:p>
        </w:tc>
        <w:tc>
          <w:tcPr>
            <w:tcW w:w="759" w:type="dxa"/>
            <w:gridSpan w:val="2"/>
            <w:noWrap w:val="0"/>
            <w:vAlign w:val="center"/>
          </w:tcPr>
          <w:p>
            <w:pPr>
              <w:jc w:val="center"/>
              <w:rPr>
                <w:rFonts w:hint="eastAsia" w:ascii="宋体" w:hAnsi="宋体" w:eastAsia="宋体" w:cs="宋体"/>
                <w:sz w:val="20"/>
              </w:rPr>
            </w:pPr>
            <w:r>
              <w:rPr>
                <w:rFonts w:hint="eastAsia" w:ascii="宋体" w:hAnsi="宋体" w:eastAsia="宋体" w:cs="宋体"/>
                <w:color w:val="000000"/>
                <w:kern w:val="0"/>
                <w:sz w:val="20"/>
                <w:lang w:bidi="ar"/>
              </w:rPr>
              <w:t>…</w:t>
            </w:r>
          </w:p>
        </w:tc>
        <w:tc>
          <w:tcPr>
            <w:tcW w:w="2872" w:type="dxa"/>
            <w:noWrap w:val="0"/>
            <w:vAlign w:val="center"/>
          </w:tcPr>
          <w:p>
            <w:pPr>
              <w:widowControl/>
              <w:jc w:val="left"/>
              <w:textAlignment w:val="center"/>
              <w:rPr>
                <w:rFonts w:hint="eastAsia" w:ascii="宋体" w:hAnsi="宋体" w:eastAsia="宋体" w:cs="宋体"/>
                <w:color w:val="000000"/>
                <w:kern w:val="0"/>
                <w:sz w:val="20"/>
                <w:lang w:bidi="ar"/>
              </w:rPr>
            </w:pPr>
          </w:p>
        </w:tc>
        <w:tc>
          <w:tcPr>
            <w:tcW w:w="4228" w:type="dxa"/>
            <w:gridSpan w:val="2"/>
            <w:noWrap w:val="0"/>
            <w:vAlign w:val="center"/>
          </w:tcPr>
          <w:p>
            <w:pPr>
              <w:jc w:val="center"/>
              <w:rPr>
                <w:rFonts w:hint="eastAsia" w:ascii="宋体" w:hAnsi="宋体" w:eastAsia="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noWrap w:val="0"/>
            <w:vAlign w:val="center"/>
          </w:tcPr>
          <w:p>
            <w:pPr>
              <w:jc w:val="center"/>
              <w:rPr>
                <w:rFonts w:ascii="宋体" w:cs="宋体"/>
                <w:sz w:val="20"/>
              </w:rPr>
            </w:pPr>
          </w:p>
        </w:tc>
        <w:tc>
          <w:tcPr>
            <w:tcW w:w="723" w:type="dxa"/>
            <w:vMerge w:val="restart"/>
            <w:noWrap w:val="0"/>
            <w:vAlign w:val="center"/>
          </w:tcPr>
          <w:p>
            <w:pPr>
              <w:widowControl/>
              <w:spacing w:line="200" w:lineRule="exact"/>
              <w:jc w:val="center"/>
              <w:rPr>
                <w:rFonts w:hint="eastAsia" w:ascii="宋体" w:hAnsi="宋体" w:eastAsia="宋体" w:cs="宋体"/>
                <w:sz w:val="20"/>
              </w:rPr>
            </w:pPr>
            <w:r>
              <w:rPr>
                <w:rFonts w:hint="eastAsia" w:ascii="宋体" w:hAnsi="宋体" w:eastAsia="宋体" w:cs="宋体"/>
                <w:sz w:val="20"/>
              </w:rPr>
              <w:t>满意度指标</w:t>
            </w:r>
          </w:p>
        </w:tc>
        <w:tc>
          <w:tcPr>
            <w:tcW w:w="759" w:type="dxa"/>
            <w:gridSpan w:val="2"/>
            <w:vMerge w:val="restart"/>
            <w:noWrap w:val="0"/>
            <w:vAlign w:val="center"/>
          </w:tcPr>
          <w:p>
            <w:pPr>
              <w:widowControl/>
              <w:spacing w:line="200" w:lineRule="exact"/>
              <w:jc w:val="center"/>
              <w:rPr>
                <w:rFonts w:hint="eastAsia" w:ascii="宋体" w:hAnsi="宋体" w:eastAsia="宋体" w:cs="宋体"/>
                <w:sz w:val="20"/>
              </w:rPr>
            </w:pPr>
            <w:r>
              <w:rPr>
                <w:rFonts w:hint="eastAsia" w:ascii="宋体" w:hAnsi="宋体" w:eastAsia="宋体" w:cs="宋体"/>
                <w:sz w:val="20"/>
              </w:rPr>
              <w:t>满意度指标</w:t>
            </w:r>
          </w:p>
        </w:tc>
        <w:tc>
          <w:tcPr>
            <w:tcW w:w="2872" w:type="dxa"/>
            <w:noWrap w:val="0"/>
            <w:vAlign w:val="center"/>
          </w:tcPr>
          <w:p>
            <w:pPr>
              <w:widowControl/>
              <w:jc w:val="left"/>
              <w:textAlignment w:val="center"/>
              <w:rPr>
                <w:rFonts w:hint="eastAsia" w:ascii="宋体" w:hAnsi="宋体" w:eastAsia="宋体" w:cs="宋体"/>
                <w:sz w:val="20"/>
                <w:lang w:eastAsia="zh-CN"/>
              </w:rPr>
            </w:pPr>
            <w:r>
              <w:rPr>
                <w:rFonts w:hint="eastAsia" w:ascii="宋体" w:hAnsi="宋体" w:eastAsia="宋体" w:cs="宋体"/>
                <w:color w:val="000000"/>
                <w:kern w:val="0"/>
                <w:sz w:val="20"/>
                <w:lang w:bidi="ar"/>
              </w:rPr>
              <w:t>指标1：</w:t>
            </w:r>
            <w:r>
              <w:rPr>
                <w:rFonts w:hint="eastAsia" w:ascii="宋体" w:hAnsi="宋体" w:eastAsia="宋体" w:cs="宋体"/>
                <w:color w:val="000000"/>
                <w:kern w:val="0"/>
                <w:sz w:val="20"/>
                <w:lang w:eastAsia="zh-CN" w:bidi="ar"/>
              </w:rPr>
              <w:t>群众满意度</w:t>
            </w:r>
          </w:p>
        </w:tc>
        <w:tc>
          <w:tcPr>
            <w:tcW w:w="4228" w:type="dxa"/>
            <w:gridSpan w:val="2"/>
            <w:noWrap w:val="0"/>
            <w:vAlign w:val="center"/>
          </w:tcPr>
          <w:p>
            <w:pPr>
              <w:jc w:val="center"/>
              <w:rPr>
                <w:rFonts w:hint="eastAsia" w:ascii="宋体" w:hAnsi="宋体" w:eastAsia="宋体" w:cs="宋体"/>
                <w:sz w:val="20"/>
              </w:rPr>
            </w:pPr>
            <w:r>
              <w:rPr>
                <w:rFonts w:hint="default" w:ascii="宋体" w:hAnsi="宋体" w:eastAsia="宋体" w:cs="宋体"/>
                <w:sz w:val="20"/>
                <w:lang w:eastAsia="zh-CN"/>
              </w:rPr>
              <w:t>≥</w:t>
            </w:r>
            <w:r>
              <w:rPr>
                <w:rFonts w:hint="eastAsia" w:ascii="宋体" w:hAnsi="宋体" w:eastAsia="宋体" w:cs="宋体"/>
                <w:sz w:val="20"/>
                <w:lang w:eastAsia="zh-CN"/>
              </w:rPr>
              <w:t>9</w:t>
            </w:r>
            <w:r>
              <w:rPr>
                <w:rFonts w:hint="eastAsia" w:ascii="宋体" w:hAnsi="宋体" w:eastAsia="宋体" w:cs="宋体"/>
                <w:sz w:val="20"/>
                <w:lang w:val="en-US" w:eastAsia="zh-CN"/>
              </w:rPr>
              <w:t>9</w:t>
            </w:r>
            <w:r>
              <w:rPr>
                <w:rFonts w:hint="eastAsia" w:ascii="宋体" w:hAnsi="宋体" w:eastAsia="宋体" w:cs="宋体"/>
                <w:sz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noWrap w:val="0"/>
            <w:vAlign w:val="center"/>
          </w:tcPr>
          <w:p>
            <w:pPr>
              <w:jc w:val="center"/>
              <w:rPr>
                <w:rFonts w:ascii="宋体" w:cs="宋体"/>
                <w:sz w:val="20"/>
              </w:rPr>
            </w:pPr>
          </w:p>
        </w:tc>
        <w:tc>
          <w:tcPr>
            <w:tcW w:w="723" w:type="dxa"/>
            <w:vMerge w:val="continue"/>
            <w:noWrap w:val="0"/>
            <w:vAlign w:val="center"/>
          </w:tcPr>
          <w:p>
            <w:pPr>
              <w:jc w:val="center"/>
              <w:rPr>
                <w:rFonts w:hint="eastAsia" w:ascii="宋体" w:hAnsi="宋体" w:eastAsia="宋体" w:cs="宋体"/>
                <w:sz w:val="20"/>
              </w:rPr>
            </w:pPr>
          </w:p>
        </w:tc>
        <w:tc>
          <w:tcPr>
            <w:tcW w:w="759" w:type="dxa"/>
            <w:gridSpan w:val="2"/>
            <w:vMerge w:val="continue"/>
            <w:noWrap w:val="0"/>
            <w:vAlign w:val="center"/>
          </w:tcPr>
          <w:p>
            <w:pPr>
              <w:jc w:val="center"/>
              <w:rPr>
                <w:rFonts w:hint="eastAsia" w:ascii="宋体" w:hAnsi="宋体" w:eastAsia="宋体" w:cs="宋体"/>
                <w:sz w:val="20"/>
              </w:rPr>
            </w:pPr>
          </w:p>
        </w:tc>
        <w:tc>
          <w:tcPr>
            <w:tcW w:w="2872" w:type="dxa"/>
            <w:noWrap w:val="0"/>
            <w:vAlign w:val="center"/>
          </w:tcPr>
          <w:p>
            <w:pPr>
              <w:widowControl/>
              <w:jc w:val="left"/>
              <w:textAlignment w:val="center"/>
              <w:rPr>
                <w:rFonts w:hint="eastAsia" w:ascii="宋体" w:hAnsi="宋体" w:eastAsia="宋体" w:cs="宋体"/>
                <w:sz w:val="20"/>
              </w:rPr>
            </w:pPr>
            <w:r>
              <w:rPr>
                <w:rFonts w:hint="eastAsia" w:ascii="宋体" w:hAnsi="宋体" w:eastAsia="宋体" w:cs="宋体"/>
                <w:color w:val="000000"/>
                <w:kern w:val="0"/>
                <w:sz w:val="20"/>
                <w:lang w:bidi="ar"/>
              </w:rPr>
              <w:t>…</w:t>
            </w:r>
          </w:p>
        </w:tc>
        <w:tc>
          <w:tcPr>
            <w:tcW w:w="4228" w:type="dxa"/>
            <w:gridSpan w:val="2"/>
            <w:noWrap w:val="0"/>
            <w:vAlign w:val="center"/>
          </w:tcPr>
          <w:p>
            <w:pPr>
              <w:jc w:val="center"/>
              <w:rPr>
                <w:rFonts w:hint="eastAsia" w:ascii="宋体" w:hAnsi="宋体" w:eastAsia="宋体" w:cs="宋体"/>
                <w:sz w:val="20"/>
              </w:rPr>
            </w:pPr>
          </w:p>
        </w:tc>
      </w:tr>
    </w:tbl>
    <w:p>
      <w:pPr>
        <w:adjustRightInd w:val="0"/>
        <w:snapToGrid w:val="0"/>
        <w:spacing w:line="560" w:lineRule="exact"/>
        <w:ind w:firstLine="664" w:firstLineChars="200"/>
        <w:rPr>
          <w:rFonts w:ascii="TimesNewRoman" w:hAnsi="TimesNewRoman" w:cs="TimesNewRoman"/>
          <w:b/>
          <w:szCs w:val="32"/>
        </w:rPr>
      </w:pPr>
    </w:p>
    <w:p>
      <w:pPr>
        <w:adjustRightInd w:val="0"/>
        <w:snapToGrid w:val="0"/>
        <w:spacing w:line="520" w:lineRule="exact"/>
        <w:ind w:firstLine="664" w:firstLineChars="200"/>
        <w:rPr>
          <w:rFonts w:ascii="TimesNewRoman" w:hAnsi="TimesNewRoman" w:cs="TimesNewRoman"/>
          <w:b/>
          <w:szCs w:val="32"/>
        </w:rPr>
      </w:pPr>
      <w:r>
        <w:rPr>
          <w:rFonts w:ascii="TimesNewRoman" w:hAnsi="TimesNewRoman" w:cs="TimesNewRoman"/>
          <w:b/>
          <w:szCs w:val="32"/>
        </w:rPr>
        <w:t>（二）机关运行经费。</w:t>
      </w:r>
    </w:p>
    <w:p>
      <w:pPr>
        <w:adjustRightInd w:val="0"/>
        <w:snapToGrid w:val="0"/>
        <w:spacing w:line="560" w:lineRule="exact"/>
        <w:ind w:firstLine="664" w:firstLineChars="200"/>
        <w:rPr>
          <w:rFonts w:ascii="TimesNewRoman" w:hAnsi="TimesNewRoman" w:cs="TimesNewRoman"/>
          <w:szCs w:val="32"/>
        </w:rPr>
      </w:pPr>
      <w:r>
        <w:rPr>
          <w:rFonts w:ascii="TimesNewRoman" w:hAnsi="TimesNewRoman" w:cs="TimesNewRoman"/>
          <w:kern w:val="0"/>
          <w:szCs w:val="32"/>
        </w:rPr>
        <w:t>相山区</w:t>
      </w:r>
      <w:r>
        <w:rPr>
          <w:rFonts w:hint="eastAsia" w:ascii="TimesNewRoman" w:hAnsi="TimesNewRoman" w:cs="TimesNewRoman"/>
          <w:kern w:val="0"/>
          <w:szCs w:val="32"/>
          <w:lang w:eastAsia="zh-CN"/>
        </w:rPr>
        <w:t>民政局</w:t>
      </w:r>
      <w:r>
        <w:rPr>
          <w:rFonts w:ascii="TimesNewRoman" w:hAnsi="TimesNewRoman" w:cs="TimesNewRoman"/>
          <w:szCs w:val="32"/>
          <w:lang w:val="en"/>
        </w:rPr>
        <w:t>2024</w:t>
      </w:r>
      <w:r>
        <w:rPr>
          <w:rFonts w:ascii="TimesNewRoman" w:hAnsi="TimesNewRoman" w:cs="TimesNewRoman"/>
          <w:szCs w:val="32"/>
        </w:rPr>
        <w:t>年机关运行经费财政拨款预算</w:t>
      </w:r>
      <w:r>
        <w:rPr>
          <w:rFonts w:hint="eastAsia" w:ascii="TimesNewRoman" w:hAnsi="TimesNewRoman" w:cs="TimesNewRoman"/>
          <w:szCs w:val="32"/>
          <w:lang w:val="en-US" w:eastAsia="zh-CN"/>
        </w:rPr>
        <w:t>31.37</w:t>
      </w:r>
      <w:r>
        <w:rPr>
          <w:rFonts w:ascii="TimesNewRoman" w:hAnsi="TimesNewRoman" w:cs="TimesNewRoman"/>
          <w:szCs w:val="32"/>
        </w:rPr>
        <w:t>万元，比</w:t>
      </w:r>
      <w:r>
        <w:rPr>
          <w:rFonts w:hint="eastAsia" w:ascii="TimesNewRoman" w:hAnsi="TimesNewRoman" w:cs="TimesNewRoman"/>
          <w:szCs w:val="32"/>
        </w:rPr>
        <w:t>2023</w:t>
      </w:r>
      <w:r>
        <w:rPr>
          <w:rFonts w:ascii="TimesNewRoman" w:hAnsi="TimesNewRoman" w:cs="TimesNewRoman"/>
          <w:szCs w:val="32"/>
        </w:rPr>
        <w:t>年预算增加</w:t>
      </w:r>
      <w:r>
        <w:rPr>
          <w:rFonts w:hint="eastAsia" w:ascii="TimesNewRoman" w:hAnsi="TimesNewRoman" w:cs="TimesNewRoman"/>
          <w:szCs w:val="32"/>
          <w:lang w:val="en-US" w:eastAsia="zh-CN"/>
        </w:rPr>
        <w:t>0.4</w:t>
      </w:r>
      <w:r>
        <w:rPr>
          <w:rFonts w:ascii="TimesNewRoman" w:hAnsi="TimesNewRoman" w:cs="TimesNewRoman"/>
          <w:szCs w:val="32"/>
        </w:rPr>
        <w:t>万元，增长</w:t>
      </w:r>
      <w:r>
        <w:rPr>
          <w:rFonts w:hint="eastAsia" w:ascii="TimesNewRoman" w:hAnsi="TimesNewRoman" w:cs="TimesNewRoman"/>
          <w:szCs w:val="32"/>
          <w:lang w:val="en-US" w:eastAsia="zh-CN"/>
        </w:rPr>
        <w:t>1.29</w:t>
      </w:r>
      <w:r>
        <w:rPr>
          <w:rFonts w:ascii="TimesNewRoman" w:hAnsi="TimesNewRoman" w:cs="TimesNewRoman"/>
          <w:szCs w:val="32"/>
        </w:rPr>
        <w:t>%，增长主要原因是</w:t>
      </w:r>
      <w:r>
        <w:rPr>
          <w:rFonts w:hint="eastAsia" w:ascii="TimesNewRoman" w:hAnsi="TimesNewRoman" w:cs="TimesNewRoman"/>
          <w:szCs w:val="32"/>
          <w:lang w:eastAsia="zh-CN"/>
        </w:rPr>
        <w:t>单位日常运行资金变动</w:t>
      </w:r>
      <w:r>
        <w:rPr>
          <w:rFonts w:ascii="TimesNewRoman" w:hAnsi="TimesNewRoman" w:cs="TimesNewRoman"/>
          <w:szCs w:val="32"/>
        </w:rPr>
        <w:t>。</w:t>
      </w:r>
    </w:p>
    <w:p>
      <w:pPr>
        <w:adjustRightInd w:val="0"/>
        <w:snapToGrid w:val="0"/>
        <w:spacing w:line="560" w:lineRule="exact"/>
        <w:ind w:firstLine="664" w:firstLineChars="200"/>
        <w:rPr>
          <w:rFonts w:ascii="TimesNewRoman" w:hAnsi="TimesNewRoman" w:cs="TimesNewRoman"/>
          <w:b/>
          <w:szCs w:val="32"/>
        </w:rPr>
      </w:pPr>
      <w:r>
        <w:rPr>
          <w:rFonts w:ascii="TimesNewRoman" w:hAnsi="TimesNewRoman" w:cs="TimesNewRoman"/>
          <w:b/>
          <w:szCs w:val="32"/>
        </w:rPr>
        <w:t>（三）政府采购情况。</w:t>
      </w:r>
    </w:p>
    <w:p>
      <w:pPr>
        <w:adjustRightInd w:val="0"/>
        <w:snapToGrid w:val="0"/>
        <w:spacing w:line="560" w:lineRule="exact"/>
        <w:ind w:firstLine="664" w:firstLineChars="200"/>
        <w:rPr>
          <w:rFonts w:ascii="TimesNewRoman" w:hAnsi="TimesNewRoman" w:cs="TimesNewRoman"/>
          <w:szCs w:val="32"/>
        </w:rPr>
      </w:pPr>
      <w:r>
        <w:rPr>
          <w:rFonts w:ascii="TimesNewRoman" w:hAnsi="TimesNewRoman" w:cs="TimesNewRoman"/>
          <w:kern w:val="0"/>
          <w:szCs w:val="32"/>
        </w:rPr>
        <w:t>相山区</w:t>
      </w:r>
      <w:r>
        <w:rPr>
          <w:rFonts w:hint="eastAsia" w:ascii="TimesNewRoman" w:hAnsi="TimesNewRoman" w:cs="TimesNewRoman"/>
          <w:kern w:val="0"/>
          <w:szCs w:val="32"/>
          <w:lang w:eastAsia="zh-CN"/>
        </w:rPr>
        <w:t>民政局</w:t>
      </w:r>
      <w:r>
        <w:rPr>
          <w:rFonts w:ascii="TimesNewRoman" w:hAnsi="TimesNewRoman" w:cs="TimesNewRoman"/>
          <w:szCs w:val="32"/>
          <w:lang w:val="en"/>
        </w:rPr>
        <w:t>2024</w:t>
      </w:r>
      <w:r>
        <w:rPr>
          <w:rFonts w:ascii="TimesNewRoman" w:hAnsi="TimesNewRoman" w:cs="TimesNewRoman"/>
          <w:szCs w:val="32"/>
        </w:rPr>
        <w:t>年政府采购预算</w:t>
      </w:r>
      <w:r>
        <w:rPr>
          <w:rFonts w:hint="eastAsia" w:ascii="TimesNewRoman" w:hAnsi="TimesNewRoman" w:cs="TimesNewRoman"/>
          <w:szCs w:val="32"/>
          <w:lang w:val="en-US" w:eastAsia="zh-CN"/>
        </w:rPr>
        <w:t>0</w:t>
      </w:r>
      <w:r>
        <w:rPr>
          <w:rFonts w:ascii="TimesNewRoman" w:hAnsi="TimesNewRoman" w:cs="TimesNewRoman"/>
          <w:szCs w:val="32"/>
        </w:rPr>
        <w:t>万元。其中：政府采购货物预算</w:t>
      </w:r>
      <w:r>
        <w:rPr>
          <w:rFonts w:hint="eastAsia" w:ascii="TimesNewRoman" w:hAnsi="TimesNewRoman" w:cs="TimesNewRoman"/>
          <w:szCs w:val="32"/>
          <w:lang w:val="en-US" w:eastAsia="zh-CN"/>
        </w:rPr>
        <w:t>0</w:t>
      </w:r>
      <w:r>
        <w:rPr>
          <w:rFonts w:ascii="TimesNewRoman" w:hAnsi="TimesNewRoman" w:cs="TimesNewRoman"/>
          <w:szCs w:val="32"/>
        </w:rPr>
        <w:t>万元，政府采购工程预算</w:t>
      </w:r>
      <w:r>
        <w:rPr>
          <w:rFonts w:hint="eastAsia" w:ascii="TimesNewRoman" w:hAnsi="TimesNewRoman" w:cs="TimesNewRoman"/>
          <w:szCs w:val="32"/>
          <w:lang w:val="en-US" w:eastAsia="zh-CN"/>
        </w:rPr>
        <w:t>0</w:t>
      </w:r>
      <w:r>
        <w:rPr>
          <w:rFonts w:ascii="TimesNewRoman" w:hAnsi="TimesNewRoman" w:cs="TimesNewRoman"/>
          <w:szCs w:val="32"/>
        </w:rPr>
        <w:t>万元，政府采购服务预算</w:t>
      </w:r>
      <w:r>
        <w:rPr>
          <w:rFonts w:hint="eastAsia" w:ascii="TimesNewRoman" w:hAnsi="TimesNewRoman" w:cs="TimesNewRoman"/>
          <w:szCs w:val="32"/>
          <w:lang w:val="en-US" w:eastAsia="zh-CN"/>
        </w:rPr>
        <w:t>0</w:t>
      </w:r>
      <w:r>
        <w:rPr>
          <w:rFonts w:ascii="TimesNewRoman" w:hAnsi="TimesNewRoman" w:cs="TimesNewRoman"/>
          <w:szCs w:val="32"/>
        </w:rPr>
        <w:t>万元。</w:t>
      </w:r>
    </w:p>
    <w:p>
      <w:pPr>
        <w:adjustRightInd w:val="0"/>
        <w:snapToGrid w:val="0"/>
        <w:spacing w:line="560" w:lineRule="exact"/>
        <w:ind w:firstLine="664" w:firstLineChars="200"/>
        <w:rPr>
          <w:rFonts w:ascii="TimesNewRoman" w:hAnsi="TimesNewRoman" w:cs="TimesNewRoman"/>
          <w:b/>
          <w:szCs w:val="32"/>
        </w:rPr>
      </w:pPr>
      <w:r>
        <w:rPr>
          <w:rFonts w:ascii="TimesNewRoman" w:hAnsi="TimesNewRoman" w:cs="TimesNewRoman"/>
          <w:b/>
          <w:szCs w:val="32"/>
        </w:rPr>
        <w:t>（四）国有资产占有使用情况。</w:t>
      </w:r>
    </w:p>
    <w:p>
      <w:pPr>
        <w:adjustRightInd w:val="0"/>
        <w:snapToGrid w:val="0"/>
        <w:spacing w:line="560" w:lineRule="exact"/>
        <w:ind w:firstLine="664" w:firstLineChars="200"/>
        <w:rPr>
          <w:rFonts w:hint="eastAsia" w:ascii="TimesNewRoman" w:hAnsi="TimesNewRoman" w:cs="TimesNewRoman"/>
          <w:szCs w:val="32"/>
          <w:lang w:val="en-US" w:eastAsia="zh-CN"/>
        </w:rPr>
      </w:pPr>
      <w:r>
        <w:rPr>
          <w:rFonts w:ascii="TimesNewRoman" w:hAnsi="TimesNewRoman" w:cs="TimesNewRoman"/>
          <w:szCs w:val="32"/>
        </w:rPr>
        <w:t>截至</w:t>
      </w:r>
      <w:r>
        <w:rPr>
          <w:rFonts w:hint="eastAsia" w:ascii="TimesNewRoman" w:hAnsi="TimesNewRoman" w:cs="TimesNewRoman"/>
          <w:szCs w:val="32"/>
        </w:rPr>
        <w:t>2023</w:t>
      </w:r>
      <w:r>
        <w:rPr>
          <w:rFonts w:ascii="TimesNewRoman" w:hAnsi="TimesNewRoman" w:cs="TimesNewRoman"/>
          <w:szCs w:val="32"/>
        </w:rPr>
        <w:t>年12月31日，</w:t>
      </w:r>
      <w:r>
        <w:rPr>
          <w:rFonts w:ascii="TimesNewRoman" w:hAnsi="TimesNewRoman" w:cs="TimesNewRoman"/>
          <w:kern w:val="0"/>
          <w:szCs w:val="32"/>
        </w:rPr>
        <w:t>相山区</w:t>
      </w:r>
      <w:r>
        <w:rPr>
          <w:rFonts w:hint="eastAsia" w:ascii="TimesNewRoman" w:hAnsi="TimesNewRoman" w:cs="TimesNewRoman"/>
          <w:kern w:val="0"/>
          <w:szCs w:val="32"/>
          <w:lang w:eastAsia="zh-CN"/>
        </w:rPr>
        <w:t>民政局</w:t>
      </w:r>
      <w:r>
        <w:rPr>
          <w:rFonts w:ascii="TimesNewRoman" w:hAnsi="TimesNewRoman" w:cs="TimesNewRoman"/>
          <w:szCs w:val="32"/>
        </w:rPr>
        <w:t>共有车辆</w:t>
      </w:r>
      <w:r>
        <w:rPr>
          <w:rFonts w:hint="eastAsia" w:ascii="TimesNewRoman" w:hAnsi="TimesNewRoman" w:cs="TimesNewRoman"/>
          <w:szCs w:val="32"/>
          <w:lang w:val="en-US" w:eastAsia="zh-CN"/>
        </w:rPr>
        <w:t>0</w:t>
      </w:r>
      <w:r>
        <w:rPr>
          <w:rFonts w:ascii="TimesNewRoman" w:hAnsi="TimesNewRoman" w:cs="TimesNewRoman"/>
          <w:szCs w:val="32"/>
        </w:rPr>
        <w:t>辆</w:t>
      </w:r>
      <w:r>
        <w:rPr>
          <w:rFonts w:hint="eastAsia" w:ascii="TimesNewRoman" w:hAnsi="TimesNewRoman" w:cs="TimesNewRoman"/>
          <w:szCs w:val="32"/>
          <w:lang w:eastAsia="zh-CN"/>
        </w:rPr>
        <w:t>；</w:t>
      </w:r>
      <w:r>
        <w:rPr>
          <w:rFonts w:ascii="TimesNewRoman" w:hAnsi="TimesNewRoman" w:cs="TimesNewRoman"/>
          <w:szCs w:val="32"/>
        </w:rPr>
        <w:t>单价100万元以上的设备</w:t>
      </w:r>
      <w:r>
        <w:rPr>
          <w:rFonts w:hint="eastAsia" w:ascii="TimesNewRoman" w:hAnsi="TimesNewRoman" w:cs="TimesNewRoman"/>
          <w:szCs w:val="32"/>
        </w:rPr>
        <w:t>（不含车辆）</w:t>
      </w:r>
      <w:r>
        <w:rPr>
          <w:rFonts w:hint="eastAsia" w:ascii="TimesNewRoman" w:hAnsi="TimesNewRoman" w:cs="TimesNewRoman"/>
          <w:szCs w:val="32"/>
          <w:lang w:val="en-US" w:eastAsia="zh-CN"/>
        </w:rPr>
        <w:t>0</w:t>
      </w:r>
      <w:r>
        <w:rPr>
          <w:rFonts w:ascii="TimesNewRoman" w:hAnsi="TimesNewRoman" w:cs="TimesNewRoman"/>
          <w:szCs w:val="32"/>
        </w:rPr>
        <w:t>台（套）</w:t>
      </w:r>
      <w:r>
        <w:rPr>
          <w:rFonts w:hint="eastAsia" w:ascii="TimesNewRoman" w:hAnsi="TimesNewRoman" w:cs="TimesNewRoman"/>
          <w:szCs w:val="32"/>
          <w:lang w:eastAsia="zh-CN"/>
        </w:rPr>
        <w:t>。</w:t>
      </w:r>
      <w:r>
        <w:rPr>
          <w:rFonts w:hint="eastAsia" w:ascii="TimesNewRoman" w:hAnsi="TimesNewRoman" w:cs="TimesNewRoman"/>
          <w:szCs w:val="32"/>
          <w:lang w:val="en-US" w:eastAsia="zh-CN"/>
        </w:rPr>
        <w:t xml:space="preserve"> </w:t>
      </w:r>
    </w:p>
    <w:p>
      <w:pPr>
        <w:adjustRightInd w:val="0"/>
        <w:snapToGrid w:val="0"/>
        <w:spacing w:line="560" w:lineRule="exact"/>
        <w:ind w:firstLine="664" w:firstLineChars="200"/>
        <w:rPr>
          <w:rFonts w:ascii="TimesNewRoman" w:hAnsi="TimesNewRoman" w:cs="TimesNewRoman"/>
          <w:szCs w:val="32"/>
        </w:rPr>
      </w:pPr>
      <w:r>
        <w:rPr>
          <w:rFonts w:ascii="TimesNewRoman" w:hAnsi="TimesNewRoman" w:cs="TimesNewRoman"/>
          <w:szCs w:val="32"/>
          <w:lang w:val="en"/>
        </w:rPr>
        <w:t>2024</w:t>
      </w:r>
      <w:r>
        <w:rPr>
          <w:rFonts w:ascii="TimesNewRoman" w:hAnsi="TimesNewRoman" w:cs="TimesNewRoman"/>
          <w:szCs w:val="32"/>
        </w:rPr>
        <w:t>年部门预算安排购置公务用车</w:t>
      </w:r>
      <w:r>
        <w:rPr>
          <w:rFonts w:hint="eastAsia" w:ascii="TimesNewRoman" w:hAnsi="TimesNewRoman" w:cs="TimesNewRoman"/>
          <w:szCs w:val="32"/>
          <w:lang w:val="en-US" w:eastAsia="zh-CN"/>
        </w:rPr>
        <w:t>0</w:t>
      </w:r>
      <w:r>
        <w:rPr>
          <w:rFonts w:ascii="TimesNewRoman" w:hAnsi="TimesNewRoman" w:cs="TimesNewRoman"/>
          <w:szCs w:val="32"/>
        </w:rPr>
        <w:t>辆，购置费</w:t>
      </w:r>
      <w:r>
        <w:rPr>
          <w:rFonts w:hint="eastAsia" w:ascii="TimesNewRoman" w:hAnsi="TimesNewRoman" w:cs="TimesNewRoman"/>
          <w:szCs w:val="32"/>
          <w:lang w:val="en-US" w:eastAsia="zh-CN"/>
        </w:rPr>
        <w:t>0</w:t>
      </w:r>
      <w:r>
        <w:rPr>
          <w:rFonts w:ascii="TimesNewRoman" w:hAnsi="TimesNewRoman" w:cs="TimesNewRoman"/>
          <w:szCs w:val="32"/>
        </w:rPr>
        <w:t>万元；安排购置单价100万元以上设备</w:t>
      </w:r>
      <w:r>
        <w:rPr>
          <w:rFonts w:hint="eastAsia" w:ascii="TimesNewRoman" w:hAnsi="TimesNewRoman" w:cs="TimesNewRoman"/>
          <w:szCs w:val="32"/>
        </w:rPr>
        <w:t>（不含车辆）</w:t>
      </w:r>
      <w:r>
        <w:rPr>
          <w:rFonts w:hint="eastAsia" w:ascii="TimesNewRoman" w:hAnsi="TimesNewRoman" w:cs="TimesNewRoman"/>
          <w:szCs w:val="32"/>
          <w:lang w:val="en-US" w:eastAsia="zh-CN"/>
        </w:rPr>
        <w:t>0</w:t>
      </w:r>
      <w:r>
        <w:rPr>
          <w:rFonts w:ascii="TimesNewRoman" w:hAnsi="TimesNewRoman" w:cs="TimesNewRoman"/>
          <w:szCs w:val="32"/>
        </w:rPr>
        <w:t>台（套），购置费</w:t>
      </w:r>
      <w:r>
        <w:rPr>
          <w:rFonts w:hint="eastAsia" w:ascii="TimesNewRoman" w:hAnsi="TimesNewRoman" w:cs="TimesNewRoman"/>
          <w:szCs w:val="32"/>
          <w:lang w:val="en-US" w:eastAsia="zh-CN"/>
        </w:rPr>
        <w:t>0</w:t>
      </w:r>
      <w:r>
        <w:rPr>
          <w:rFonts w:ascii="TimesNewRoman" w:hAnsi="TimesNewRoman" w:cs="TimesNewRoman"/>
          <w:szCs w:val="32"/>
        </w:rPr>
        <w:t>万元。</w:t>
      </w:r>
    </w:p>
    <w:p>
      <w:pPr>
        <w:adjustRightInd w:val="0"/>
        <w:snapToGrid w:val="0"/>
        <w:spacing w:line="560" w:lineRule="exact"/>
        <w:ind w:firstLine="664" w:firstLineChars="200"/>
        <w:rPr>
          <w:rFonts w:ascii="TimesNewRoman" w:hAnsi="TimesNewRoman" w:cs="TimesNewRoman"/>
          <w:b/>
          <w:szCs w:val="32"/>
        </w:rPr>
      </w:pPr>
      <w:r>
        <w:rPr>
          <w:rFonts w:ascii="TimesNewRoman" w:hAnsi="TimesNewRoman" w:cs="TimesNewRoman"/>
          <w:b/>
          <w:szCs w:val="32"/>
        </w:rPr>
        <w:t>（五）绩效目标设置情况。</w:t>
      </w:r>
    </w:p>
    <w:p>
      <w:pPr>
        <w:adjustRightInd w:val="0"/>
        <w:snapToGrid w:val="0"/>
        <w:spacing w:line="560" w:lineRule="exact"/>
        <w:ind w:firstLine="664" w:firstLineChars="200"/>
        <w:outlineLvl w:val="0"/>
        <w:rPr>
          <w:rFonts w:ascii="TimesNewRoman" w:hAnsi="TimesNewRoman" w:cs="TimesNewRoman"/>
          <w:szCs w:val="32"/>
        </w:rPr>
      </w:pPr>
      <w:r>
        <w:rPr>
          <w:rFonts w:ascii="TimesNewRoman" w:hAnsi="TimesNewRoman" w:cs="TimesNewRoman"/>
          <w:szCs w:val="32"/>
          <w:lang w:val="en"/>
        </w:rPr>
        <w:t>2024</w:t>
      </w:r>
      <w:r>
        <w:rPr>
          <w:rFonts w:ascii="TimesNewRoman" w:hAnsi="TimesNewRoman" w:cs="TimesNewRoman"/>
          <w:szCs w:val="32"/>
        </w:rPr>
        <w:t>年，</w:t>
      </w:r>
      <w:r>
        <w:rPr>
          <w:rFonts w:ascii="TimesNewRoman" w:hAnsi="TimesNewRoman" w:cs="TimesNewRoman"/>
          <w:kern w:val="0"/>
          <w:szCs w:val="32"/>
        </w:rPr>
        <w:t>相山区</w:t>
      </w:r>
      <w:r>
        <w:rPr>
          <w:rFonts w:hint="eastAsia" w:ascii="TimesNewRoman" w:hAnsi="TimesNewRoman" w:cs="TimesNewRoman"/>
          <w:kern w:val="0"/>
          <w:szCs w:val="32"/>
          <w:lang w:eastAsia="zh-CN"/>
        </w:rPr>
        <w:t>民政局</w:t>
      </w:r>
      <w:r>
        <w:rPr>
          <w:rFonts w:hint="eastAsia" w:ascii="TimesNewRoman" w:hAnsi="TimesNewRoman" w:cs="TimesNewRoman"/>
          <w:szCs w:val="32"/>
          <w:lang w:val="en-US" w:eastAsia="zh-CN"/>
        </w:rPr>
        <w:t>1</w:t>
      </w:r>
      <w:r>
        <w:rPr>
          <w:rFonts w:ascii="TimesNewRoman" w:hAnsi="TimesNewRoman" w:cs="TimesNewRoman"/>
          <w:szCs w:val="32"/>
        </w:rPr>
        <w:t>个项目实行了绩效目标管理，涉及一般公共预算当年财政拨款</w:t>
      </w:r>
      <w:r>
        <w:rPr>
          <w:rFonts w:hint="eastAsia" w:ascii="TimesNewRoman" w:hAnsi="TimesNewRoman" w:cs="TimesNewRoman"/>
          <w:szCs w:val="32"/>
          <w:lang w:val="en-US" w:eastAsia="zh-CN"/>
        </w:rPr>
        <w:t>447</w:t>
      </w:r>
      <w:r>
        <w:rPr>
          <w:rFonts w:ascii="TimesNewRoman" w:hAnsi="TimesNewRoman" w:cs="TimesNewRoman"/>
          <w:szCs w:val="32"/>
        </w:rPr>
        <w:t>万元、政府性基金预算当年财政拨款</w:t>
      </w:r>
      <w:r>
        <w:rPr>
          <w:rFonts w:hint="eastAsia" w:ascii="TimesNewRoman" w:hAnsi="TimesNewRoman" w:cs="TimesNewRoman"/>
          <w:szCs w:val="32"/>
          <w:lang w:val="en-US" w:eastAsia="zh-CN"/>
        </w:rPr>
        <w:t>0</w:t>
      </w:r>
      <w:r>
        <w:rPr>
          <w:rFonts w:ascii="TimesNewRoman" w:hAnsi="TimesNewRoman" w:cs="TimesNewRoman"/>
          <w:szCs w:val="32"/>
        </w:rPr>
        <w:t>万元、国有资本经营预算当年财政拨款</w:t>
      </w:r>
      <w:r>
        <w:rPr>
          <w:rFonts w:hint="eastAsia" w:ascii="TimesNewRoman" w:hAnsi="TimesNewRoman" w:cs="TimesNewRoman"/>
          <w:szCs w:val="32"/>
          <w:lang w:val="en-US" w:eastAsia="zh-CN"/>
        </w:rPr>
        <w:t>0</w:t>
      </w:r>
      <w:r>
        <w:rPr>
          <w:rFonts w:ascii="TimesNewRoman" w:hAnsi="TimesNewRoman" w:cs="TimesNewRoman"/>
          <w:szCs w:val="32"/>
        </w:rPr>
        <w:t>万元、财政专户管理资金当年安排</w:t>
      </w:r>
      <w:r>
        <w:rPr>
          <w:rFonts w:hint="eastAsia" w:ascii="TimesNewRoman" w:hAnsi="TimesNewRoman" w:cs="TimesNewRoman"/>
          <w:szCs w:val="32"/>
          <w:lang w:val="en-US" w:eastAsia="zh-CN"/>
        </w:rPr>
        <w:t>0</w:t>
      </w:r>
      <w:r>
        <w:rPr>
          <w:rFonts w:ascii="TimesNewRoman" w:hAnsi="TimesNewRoman" w:cs="TimesNewRoman"/>
          <w:szCs w:val="32"/>
        </w:rPr>
        <w:t>万元和单位资金当年安排</w:t>
      </w:r>
      <w:r>
        <w:rPr>
          <w:rFonts w:hint="eastAsia" w:ascii="TimesNewRoman" w:hAnsi="TimesNewRoman" w:cs="TimesNewRoman"/>
          <w:szCs w:val="32"/>
          <w:lang w:val="en-US" w:eastAsia="zh-CN"/>
        </w:rPr>
        <w:t>0</w:t>
      </w:r>
      <w:r>
        <w:rPr>
          <w:rFonts w:ascii="TimesNewRoman" w:hAnsi="TimesNewRoman" w:cs="TimesNewRoman"/>
          <w:szCs w:val="32"/>
        </w:rPr>
        <w:t>万元。</w:t>
      </w:r>
    </w:p>
    <w:p>
      <w:pPr>
        <w:tabs>
          <w:tab w:val="left" w:pos="3316"/>
        </w:tabs>
        <w:adjustRightInd w:val="0"/>
        <w:snapToGrid w:val="0"/>
        <w:spacing w:line="560" w:lineRule="exact"/>
        <w:outlineLvl w:val="0"/>
        <w:rPr>
          <w:rFonts w:ascii="TimesNewRoman" w:hAnsi="TimesNewRoman" w:eastAsia="黑体" w:cs="TimesNewRoman"/>
          <w:sz w:val="36"/>
          <w:szCs w:val="36"/>
        </w:rPr>
      </w:pPr>
    </w:p>
    <w:p>
      <w:pPr>
        <w:tabs>
          <w:tab w:val="left" w:pos="3316"/>
        </w:tabs>
        <w:adjustRightInd w:val="0"/>
        <w:snapToGrid w:val="0"/>
        <w:spacing w:line="560" w:lineRule="exact"/>
        <w:outlineLvl w:val="0"/>
        <w:rPr>
          <w:rFonts w:ascii="TimesNewRoman" w:hAnsi="TimesNewRoman" w:eastAsia="黑体" w:cs="TimesNewRoman"/>
          <w:sz w:val="36"/>
          <w:szCs w:val="36"/>
        </w:rPr>
      </w:pPr>
    </w:p>
    <w:p>
      <w:pPr>
        <w:tabs>
          <w:tab w:val="left" w:pos="3316"/>
        </w:tabs>
        <w:adjustRightInd w:val="0"/>
        <w:snapToGrid w:val="0"/>
        <w:spacing w:line="560" w:lineRule="exact"/>
        <w:outlineLvl w:val="0"/>
        <w:rPr>
          <w:rFonts w:ascii="TimesNewRoman" w:hAnsi="TimesNewRoman" w:eastAsia="黑体" w:cs="TimesNewRoman"/>
          <w:sz w:val="36"/>
          <w:szCs w:val="36"/>
        </w:rPr>
      </w:pPr>
    </w:p>
    <w:p>
      <w:pPr>
        <w:adjustRightInd w:val="0"/>
        <w:snapToGrid w:val="0"/>
        <w:spacing w:line="560" w:lineRule="exact"/>
        <w:jc w:val="both"/>
        <w:rPr>
          <w:rFonts w:ascii="TimesNewRoman" w:hAnsi="TimesNewRoman" w:eastAsia="黑体" w:cs="TimesNewRoman"/>
          <w:sz w:val="36"/>
          <w:szCs w:val="36"/>
        </w:rPr>
      </w:pPr>
    </w:p>
    <w:p>
      <w:pPr>
        <w:adjustRightInd w:val="0"/>
        <w:snapToGrid w:val="0"/>
        <w:spacing w:line="560" w:lineRule="exact"/>
        <w:jc w:val="center"/>
        <w:rPr>
          <w:rFonts w:ascii="TimesNewRoman" w:hAnsi="TimesNewRoman" w:eastAsia="黑体" w:cs="TimesNewRoman"/>
          <w:sz w:val="36"/>
          <w:szCs w:val="36"/>
        </w:rPr>
      </w:pPr>
      <w:r>
        <w:rPr>
          <w:rFonts w:ascii="TimesNewRoman" w:hAnsi="TimesNewRoman" w:eastAsia="黑体" w:cs="TimesNewRoman"/>
          <w:sz w:val="36"/>
          <w:szCs w:val="36"/>
        </w:rPr>
        <w:t>第四部分 名词解释</w:t>
      </w:r>
    </w:p>
    <w:p>
      <w:pPr>
        <w:adjustRightInd w:val="0"/>
        <w:snapToGrid w:val="0"/>
        <w:spacing w:line="560" w:lineRule="exact"/>
        <w:jc w:val="center"/>
        <w:rPr>
          <w:rFonts w:ascii="TimesNewRoman" w:hAnsi="TimesNewRoman" w:eastAsia="黑体" w:cs="TimesNewRoman"/>
          <w:szCs w:val="32"/>
        </w:rPr>
      </w:pPr>
    </w:p>
    <w:p>
      <w:pPr>
        <w:adjustRightInd w:val="0"/>
        <w:snapToGrid w:val="0"/>
        <w:spacing w:line="600" w:lineRule="exact"/>
        <w:ind w:firstLine="664" w:firstLineChars="200"/>
        <w:rPr>
          <w:rFonts w:ascii="TimesNewRoman" w:hAnsi="TimesNewRoman" w:cs="TimesNewRoman"/>
          <w:szCs w:val="32"/>
        </w:rPr>
      </w:pPr>
      <w:r>
        <w:rPr>
          <w:rFonts w:ascii="TimesNewRoman" w:hAnsi="TimesNewRoman" w:eastAsia="黑体" w:cs="TimesNewRoman"/>
          <w:szCs w:val="32"/>
        </w:rPr>
        <w:t>一、财政拨款收入</w:t>
      </w:r>
      <w:r>
        <w:rPr>
          <w:rFonts w:ascii="TimesNewRoman" w:hAnsi="TimesNewRoman" w:cs="TimesNewRoman"/>
          <w:b/>
          <w:szCs w:val="32"/>
        </w:rPr>
        <w:t>：</w:t>
      </w:r>
      <w:r>
        <w:rPr>
          <w:rFonts w:hint="eastAsia" w:ascii="仿宋_GB2312" w:hAnsi="仿宋" w:eastAsia="仿宋_GB2312"/>
          <w:sz w:val="32"/>
          <w:szCs w:val="32"/>
        </w:rPr>
        <w:t>指部门或单位从同级财政部门取得的财政预算资金。</w:t>
      </w:r>
    </w:p>
    <w:p>
      <w:pPr>
        <w:pStyle w:val="10"/>
        <w:adjustRightInd w:val="0"/>
        <w:snapToGrid w:val="0"/>
        <w:spacing w:before="0" w:beforeAutospacing="0" w:after="0" w:afterAutospacing="0" w:line="600" w:lineRule="exact"/>
        <w:ind w:firstLine="650" w:firstLineChars="196"/>
        <w:rPr>
          <w:rFonts w:ascii="仿宋_GB2312" w:hAnsi="黑体" w:eastAsia="仿宋_GB2312"/>
          <w:sz w:val="32"/>
          <w:szCs w:val="32"/>
        </w:rPr>
      </w:pPr>
      <w:r>
        <w:rPr>
          <w:rFonts w:hint="eastAsia" w:ascii="黑体" w:hAnsi="黑体" w:eastAsia="黑体"/>
          <w:sz w:val="32"/>
          <w:szCs w:val="32"/>
          <w:lang w:eastAsia="zh-CN"/>
        </w:rPr>
        <w:t>二</w:t>
      </w:r>
      <w:r>
        <w:rPr>
          <w:rFonts w:hint="eastAsia" w:ascii="黑体" w:hAnsi="黑体" w:eastAsia="黑体"/>
          <w:sz w:val="32"/>
          <w:szCs w:val="32"/>
        </w:rPr>
        <w:t>、基本支出</w:t>
      </w:r>
      <w:r>
        <w:rPr>
          <w:rFonts w:hint="eastAsia" w:ascii="仿宋_GB2312" w:hAnsi="黑体" w:eastAsia="仿宋_GB2312"/>
          <w:b/>
          <w:sz w:val="32"/>
          <w:szCs w:val="32"/>
        </w:rPr>
        <w:t>：</w:t>
      </w:r>
      <w:r>
        <w:rPr>
          <w:rFonts w:hint="eastAsia" w:ascii="仿宋_GB2312" w:hAnsi="黑体" w:eastAsia="仿宋_GB2312"/>
          <w:sz w:val="32"/>
          <w:szCs w:val="32"/>
        </w:rPr>
        <w:t>指为保障机构正常运转、完成日常工作任务而发生的人员支出和公用支出。</w:t>
      </w:r>
    </w:p>
    <w:p>
      <w:pPr>
        <w:pStyle w:val="10"/>
        <w:spacing w:before="0" w:beforeAutospacing="0" w:after="0" w:afterAutospacing="0" w:line="600" w:lineRule="exact"/>
        <w:ind w:firstLine="650" w:firstLineChars="196"/>
        <w:jc w:val="both"/>
        <w:rPr>
          <w:rFonts w:hint="eastAsia" w:ascii="仿宋_GB2312" w:hAnsi="黑体" w:eastAsia="仿宋_GB2312"/>
          <w:sz w:val="32"/>
          <w:szCs w:val="32"/>
          <w:lang w:eastAsia="zh-CN"/>
        </w:rPr>
      </w:pPr>
      <w:r>
        <w:rPr>
          <w:rFonts w:hint="eastAsia" w:ascii="黑体" w:hAnsi="黑体" w:eastAsia="黑体"/>
          <w:sz w:val="32"/>
          <w:szCs w:val="32"/>
          <w:lang w:eastAsia="zh-CN"/>
        </w:rPr>
        <w:t>三</w:t>
      </w:r>
      <w:r>
        <w:rPr>
          <w:rFonts w:hint="eastAsia" w:ascii="黑体" w:hAnsi="黑体" w:eastAsia="黑体"/>
          <w:sz w:val="32"/>
          <w:szCs w:val="32"/>
        </w:rPr>
        <w:t>、项目支出</w:t>
      </w:r>
      <w:r>
        <w:rPr>
          <w:rFonts w:hint="eastAsia" w:ascii="仿宋_GB2312" w:hAnsi="黑体" w:eastAsia="仿宋_GB2312"/>
          <w:b/>
          <w:sz w:val="32"/>
          <w:szCs w:val="32"/>
        </w:rPr>
        <w:t>：</w:t>
      </w:r>
      <w:r>
        <w:rPr>
          <w:rFonts w:hint="eastAsia" w:ascii="仿宋_GB2312" w:hAnsi="黑体" w:eastAsia="仿宋_GB2312"/>
          <w:sz w:val="32"/>
          <w:szCs w:val="32"/>
        </w:rPr>
        <w:t>指在除基本支出之外的支出，主要用于完成特定的工作任务和事业发展目标。</w:t>
      </w:r>
    </w:p>
    <w:p>
      <w:pPr>
        <w:pStyle w:val="10"/>
        <w:spacing w:before="0" w:beforeAutospacing="0" w:after="0" w:afterAutospacing="0" w:line="600" w:lineRule="exact"/>
        <w:ind w:firstLine="664" w:firstLineChars="200"/>
        <w:jc w:val="both"/>
        <w:rPr>
          <w:rFonts w:hint="eastAsia" w:ascii="仿宋_GB2312" w:hAnsi="黑体" w:eastAsia="仿宋_GB2312"/>
          <w:sz w:val="32"/>
          <w:szCs w:val="32"/>
        </w:rPr>
      </w:pPr>
      <w:r>
        <w:rPr>
          <w:rFonts w:hint="eastAsia" w:ascii="黑体" w:hAnsi="黑体" w:eastAsia="黑体"/>
          <w:sz w:val="32"/>
          <w:szCs w:val="32"/>
          <w:lang w:eastAsia="zh-CN"/>
        </w:rPr>
        <w:t>四</w:t>
      </w:r>
      <w:r>
        <w:rPr>
          <w:rFonts w:hint="eastAsia" w:ascii="黑体" w:hAnsi="黑体" w:eastAsia="黑体"/>
          <w:sz w:val="32"/>
          <w:szCs w:val="32"/>
        </w:rPr>
        <w:t>、机关运行经费:</w:t>
      </w:r>
      <w:r>
        <w:rPr>
          <w:rFonts w:hint="eastAsia" w:ascii="仿宋_GB2312" w:hAnsi="黑体" w:eastAsia="仿宋_GB2312"/>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pStyle w:val="10"/>
        <w:spacing w:before="0" w:beforeAutospacing="0" w:after="0" w:afterAutospacing="0" w:line="600" w:lineRule="exact"/>
        <w:ind w:firstLine="664" w:firstLineChars="200"/>
        <w:jc w:val="both"/>
        <w:rPr>
          <w:rFonts w:ascii="TimesNewRoman" w:hAnsi="TimesNewRoman" w:cs="TimesNewRoman"/>
        </w:rPr>
      </w:pPr>
      <w:r>
        <w:rPr>
          <w:rFonts w:hint="eastAsia" w:ascii="黑体" w:hAnsi="黑体" w:eastAsia="黑体"/>
          <w:sz w:val="32"/>
          <w:szCs w:val="32"/>
          <w:lang w:eastAsia="zh-CN"/>
        </w:rPr>
        <w:t>五</w:t>
      </w:r>
      <w:r>
        <w:rPr>
          <w:rFonts w:hint="eastAsia" w:ascii="黑体" w:hAnsi="黑体" w:eastAsia="黑体"/>
          <w:sz w:val="32"/>
          <w:szCs w:val="32"/>
        </w:rPr>
        <w:t>、“三公”经费</w:t>
      </w:r>
      <w:r>
        <w:rPr>
          <w:rFonts w:hint="eastAsia" w:ascii="仿宋" w:hAnsi="仿宋" w:eastAsia="仿宋" w:cs="仿宋"/>
          <w:sz w:val="32"/>
          <w:szCs w:val="32"/>
        </w:rPr>
        <w:t>：纳入财政预决算管理的“三公”经费，是指单位预算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燃料费、维修费、过桥过路费、保险费、安全奖励费用等支出；公务接待费反映单位按规定开支的各类公务接待（含外宾接待）支出。</w:t>
      </w:r>
    </w:p>
    <w:sectPr>
      <w:footerReference r:id="rId4" w:type="default"/>
      <w:footerReference r:id="rId5" w:type="even"/>
      <w:pgSz w:w="11906" w:h="16838"/>
      <w:pgMar w:top="1440" w:right="1797" w:bottom="1440" w:left="1797" w:header="850" w:footer="992" w:gutter="0"/>
      <w:pgNumType w:fmt="numberInDash"/>
      <w:cols w:space="720" w:num="1"/>
      <w:docGrid w:type="linesAndChars" w:linePitch="437" w:charSpace="25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TimesNewRoman">
    <w:altName w:val="Arial"/>
    <w:panose1 w:val="00000000000000000000"/>
    <w:charset w:val="00"/>
    <w:family w:val="auto"/>
    <w:pitch w:val="default"/>
    <w:sig w:usb0="00000000" w:usb1="00000000" w:usb2="00000029" w:usb3="00000000" w:csb0="600001FF" w:csb1="FFFF0000"/>
  </w:font>
  <w:font w:name="方正楷体_GBK">
    <w:altName w:val="微软雅黑"/>
    <w:panose1 w:val="00000000000000000000"/>
    <w:charset w:val="86"/>
    <w:family w:val="auto"/>
    <w:pitch w:val="default"/>
    <w:sig w:usb0="00000000" w:usb1="00000000" w:usb2="00000000" w:usb3="00000000" w:csb0="00040000" w:csb1="00000000"/>
  </w:font>
  <w:font w:name="方正黑体_GBK">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2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汉仪中秀体简">
    <w:altName w:val="hakuyoxingshu7000"/>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hakuyoxingshu7000">
    <w:panose1 w:val="02000600000000000000"/>
    <w:charset w:val="86"/>
    <w:family w:val="auto"/>
    <w:pitch w:val="default"/>
    <w:sig w:usb0="FFFFFFFF" w:usb1="E9FFFFFF" w:usb2="0000003F" w:usb3="00000000" w:csb0="603F00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Fonts w:ascii="TimesNewRoman" w:hAnsi="TimesNewRoman" w:cs="TimesNewRoman"/>
                              <w:sz w:val="21"/>
                              <w:szCs w:val="21"/>
                            </w:rPr>
                          </w:pPr>
                          <w:r>
                            <w:rPr>
                              <w:rFonts w:ascii="TimesNewRoman" w:hAnsi="TimesNewRoman" w:cs="TimesNewRoman"/>
                              <w:sz w:val="21"/>
                              <w:szCs w:val="21"/>
                            </w:rPr>
                            <w:fldChar w:fldCharType="begin"/>
                          </w:r>
                          <w:r>
                            <w:rPr>
                              <w:rFonts w:ascii="TimesNewRoman" w:hAnsi="TimesNewRoman" w:cs="TimesNewRoman"/>
                              <w:sz w:val="21"/>
                              <w:szCs w:val="21"/>
                            </w:rPr>
                            <w:instrText xml:space="preserve"> PAGE  \* MERGEFORMAT </w:instrText>
                          </w:r>
                          <w:r>
                            <w:rPr>
                              <w:rFonts w:ascii="TimesNewRoman" w:hAnsi="TimesNewRoman" w:cs="TimesNewRoman"/>
                              <w:sz w:val="21"/>
                              <w:szCs w:val="21"/>
                            </w:rPr>
                            <w:fldChar w:fldCharType="separate"/>
                          </w:r>
                          <w:r>
                            <w:rPr>
                              <w:rFonts w:ascii="TimesNewRoman" w:hAnsi="TimesNewRoman" w:cs="TimesNewRoman"/>
                              <w:sz w:val="21"/>
                              <w:szCs w:val="21"/>
                            </w:rPr>
                            <w:t>- 7 -</w:t>
                          </w:r>
                          <w:r>
                            <w:rPr>
                              <w:rFonts w:ascii="TimesNewRoman" w:hAnsi="TimesNewRoman" w:cs="TimesNewRoman"/>
                              <w:sz w:val="21"/>
                              <w:szCs w:val="21"/>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iPBWUyQEAAJkDAAAOAAAAAAAAAAEAIAAAAB4BAABkcnMvZTJvRG9j&#10;LnhtbFBLBQYAAAAABgAGAFkBAABZBQAAAAA=&#10;">
              <v:fill on="f" focussize="0,0"/>
              <v:stroke on="f"/>
              <v:imagedata o:title=""/>
              <o:lock v:ext="edit" aspectratio="f"/>
              <v:textbox inset="0mm,0mm,0mm,0mm" style="mso-fit-shape-to-text:t;">
                <w:txbxContent>
                  <w:p>
                    <w:pPr>
                      <w:pStyle w:val="8"/>
                      <w:rPr>
                        <w:rFonts w:ascii="TimesNewRoman" w:hAnsi="TimesNewRoman" w:cs="TimesNewRoman"/>
                        <w:sz w:val="21"/>
                        <w:szCs w:val="21"/>
                      </w:rPr>
                    </w:pPr>
                    <w:r>
                      <w:rPr>
                        <w:rFonts w:ascii="TimesNewRoman" w:hAnsi="TimesNewRoman" w:cs="TimesNewRoman"/>
                        <w:sz w:val="21"/>
                        <w:szCs w:val="21"/>
                      </w:rPr>
                      <w:fldChar w:fldCharType="begin"/>
                    </w:r>
                    <w:r>
                      <w:rPr>
                        <w:rFonts w:ascii="TimesNewRoman" w:hAnsi="TimesNewRoman" w:cs="TimesNewRoman"/>
                        <w:sz w:val="21"/>
                        <w:szCs w:val="21"/>
                      </w:rPr>
                      <w:instrText xml:space="preserve"> PAGE  \* MERGEFORMAT </w:instrText>
                    </w:r>
                    <w:r>
                      <w:rPr>
                        <w:rFonts w:ascii="TimesNewRoman" w:hAnsi="TimesNewRoman" w:cs="TimesNewRoman"/>
                        <w:sz w:val="21"/>
                        <w:szCs w:val="21"/>
                      </w:rPr>
                      <w:fldChar w:fldCharType="separate"/>
                    </w:r>
                    <w:r>
                      <w:rPr>
                        <w:rFonts w:ascii="TimesNewRoman" w:hAnsi="TimesNewRoman" w:cs="TimesNewRoman"/>
                        <w:sz w:val="21"/>
                        <w:szCs w:val="21"/>
                      </w:rPr>
                      <w:t>- 7 -</w:t>
                    </w:r>
                    <w:r>
                      <w:rPr>
                        <w:rFonts w:ascii="TimesNewRoman" w:hAnsi="TimesNewRoman" w:cs="TimesNewRoman"/>
                        <w:sz w:val="21"/>
                        <w:szCs w:val="21"/>
                      </w:rPr>
                      <w:fldChar w:fldCharType="end"/>
                    </w:r>
                  </w:p>
                </w:txbxContent>
              </v:textbox>
            </v:shape>
          </w:pict>
        </mc:Fallback>
      </mc:AlternateContent>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jc w:val="right"/>
      <w:rPr>
        <w:rFonts w:hint="eastAsia" w:ascii="仿宋_GB2312"/>
        <w:sz w:val="28"/>
      </w:rPr>
    </w:pPr>
    <w:r>
      <w:rPr>
        <w:sz w:val="2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Fonts w:ascii="TimesNewRoman" w:hAnsi="TimesNewRoman" w:cs="TimesNewRoman"/>
                              <w:sz w:val="21"/>
                              <w:szCs w:val="21"/>
                            </w:rPr>
                          </w:pPr>
                          <w:r>
                            <w:rPr>
                              <w:rFonts w:ascii="TimesNewRoman" w:hAnsi="TimesNewRoman" w:cs="TimesNewRoman"/>
                              <w:sz w:val="21"/>
                              <w:szCs w:val="21"/>
                            </w:rPr>
                            <w:fldChar w:fldCharType="begin"/>
                          </w:r>
                          <w:r>
                            <w:rPr>
                              <w:rFonts w:ascii="TimesNewRoman" w:hAnsi="TimesNewRoman" w:cs="TimesNewRoman"/>
                              <w:sz w:val="21"/>
                              <w:szCs w:val="21"/>
                            </w:rPr>
                            <w:instrText xml:space="preserve"> PAGE  \* MERGEFORMAT </w:instrText>
                          </w:r>
                          <w:r>
                            <w:rPr>
                              <w:rFonts w:ascii="TimesNewRoman" w:hAnsi="TimesNewRoman" w:cs="TimesNewRoman"/>
                              <w:sz w:val="21"/>
                              <w:szCs w:val="21"/>
                            </w:rPr>
                            <w:fldChar w:fldCharType="separate"/>
                          </w:r>
                          <w:r>
                            <w:rPr>
                              <w:rFonts w:ascii="TimesNewRoman" w:hAnsi="TimesNewRoman" w:cs="TimesNewRoman"/>
                              <w:sz w:val="21"/>
                              <w:szCs w:val="21"/>
                            </w:rPr>
                            <w:t>- 8 -</w:t>
                          </w:r>
                          <w:r>
                            <w:rPr>
                              <w:rFonts w:ascii="TimesNewRoman" w:hAnsi="TimesNewRoman" w:cs="TimesNewRoman"/>
                              <w:sz w:val="21"/>
                              <w:szCs w:val="21"/>
                            </w:rPr>
                            <w:fldChar w:fldCharType="end"/>
                          </w:r>
                        </w:p>
                      </w:txbxContent>
                    </wps:txbx>
                    <wps:bodyPr wrap="none" lIns="0" tIns="0" rIns="0" bIns="0" upright="0">
                      <a:spAutoFit/>
                    </wps:bodyPr>
                  </wps:wsp>
                </a:graphicData>
              </a:graphic>
            </wp:anchor>
          </w:drawing>
        </mc:Choice>
        <mc:Fallback>
          <w:pict>
            <v:shape id="文本框 8"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qsbe8cBAACZAwAADgAAAAAAAAABACAAAAAeAQAAZHJzL2Uyb0RvYy54&#10;bWxQSwUGAAAAAAYABgBZAQAAVwUAAAAA&#10;">
              <v:fill on="f" focussize="0,0"/>
              <v:stroke on="f"/>
              <v:imagedata o:title=""/>
              <o:lock v:ext="edit" aspectratio="f"/>
              <v:textbox inset="0mm,0mm,0mm,0mm" style="mso-fit-shape-to-text:t;">
                <w:txbxContent>
                  <w:p>
                    <w:pPr>
                      <w:pStyle w:val="8"/>
                      <w:rPr>
                        <w:rFonts w:ascii="TimesNewRoman" w:hAnsi="TimesNewRoman" w:cs="TimesNewRoman"/>
                        <w:sz w:val="21"/>
                        <w:szCs w:val="21"/>
                      </w:rPr>
                    </w:pPr>
                    <w:r>
                      <w:rPr>
                        <w:rFonts w:ascii="TimesNewRoman" w:hAnsi="TimesNewRoman" w:cs="TimesNewRoman"/>
                        <w:sz w:val="21"/>
                        <w:szCs w:val="21"/>
                      </w:rPr>
                      <w:fldChar w:fldCharType="begin"/>
                    </w:r>
                    <w:r>
                      <w:rPr>
                        <w:rFonts w:ascii="TimesNewRoman" w:hAnsi="TimesNewRoman" w:cs="TimesNewRoman"/>
                        <w:sz w:val="21"/>
                        <w:szCs w:val="21"/>
                      </w:rPr>
                      <w:instrText xml:space="preserve"> PAGE  \* MERGEFORMAT </w:instrText>
                    </w:r>
                    <w:r>
                      <w:rPr>
                        <w:rFonts w:ascii="TimesNewRoman" w:hAnsi="TimesNewRoman" w:cs="TimesNewRoman"/>
                        <w:sz w:val="21"/>
                        <w:szCs w:val="21"/>
                      </w:rPr>
                      <w:fldChar w:fldCharType="separate"/>
                    </w:r>
                    <w:r>
                      <w:rPr>
                        <w:rFonts w:ascii="TimesNewRoman" w:hAnsi="TimesNewRoman" w:cs="TimesNewRoman"/>
                        <w:sz w:val="21"/>
                        <w:szCs w:val="21"/>
                      </w:rPr>
                      <w:t>- 8 -</w:t>
                    </w:r>
                    <w:r>
                      <w:rPr>
                        <w:rFonts w:ascii="TimesNewRoman" w:hAnsi="TimesNewRoman" w:cs="TimesNewRoman"/>
                        <w:sz w:val="21"/>
                        <w:szCs w:val="21"/>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right" w:y="1"/>
      <w:rPr>
        <w:rStyle w:val="15"/>
      </w:rPr>
    </w:pPr>
    <w:r>
      <w:rPr>
        <w:rStyle w:val="15"/>
      </w:rPr>
      <w:fldChar w:fldCharType="begin"/>
    </w:r>
    <w:r>
      <w:rPr>
        <w:rStyle w:val="15"/>
      </w:rPr>
      <w:instrText xml:space="preserve">PAGE  </w:instrText>
    </w:r>
    <w:r>
      <w:rPr>
        <w:rStyle w:val="15"/>
      </w:rPr>
      <w:fldChar w:fldCharType="separate"/>
    </w:r>
    <w:r>
      <w:rPr>
        <w:rStyle w:val="15"/>
      </w:rPr>
      <w:t>1</w:t>
    </w:r>
    <w:r>
      <w:rPr>
        <w:rStyle w:val="15"/>
      </w:rPr>
      <w:fldChar w:fldCharType="end"/>
    </w:r>
  </w:p>
  <w:p>
    <w:pPr>
      <w:pStyle w:val="8"/>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F34332"/>
    <w:multiLevelType w:val="singleLevel"/>
    <w:tmpl w:val="61F34332"/>
    <w:lvl w:ilvl="0" w:tentative="0">
      <w:start w:val="2"/>
      <w:numFmt w:val="chineseCounting"/>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hyphenationZone w:val="360"/>
  <w:drawingGridHorizontalSpacing w:val="166"/>
  <w:drawingGridVerticalSpacing w:val="219"/>
  <w:displayHorizontalDrawingGridEvery w:val="2"/>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NjNmYyM2NkZGRkZjMxODIyOTA1NWFjZGZhNzllMzIifQ=="/>
  </w:docVars>
  <w:rsids>
    <w:rsidRoot w:val="00B646D2"/>
    <w:rsid w:val="00000B53"/>
    <w:rsid w:val="0000211A"/>
    <w:rsid w:val="00002174"/>
    <w:rsid w:val="000023B0"/>
    <w:rsid w:val="00003353"/>
    <w:rsid w:val="0000448A"/>
    <w:rsid w:val="000044A1"/>
    <w:rsid w:val="0000635D"/>
    <w:rsid w:val="00007B08"/>
    <w:rsid w:val="000103D1"/>
    <w:rsid w:val="000113D3"/>
    <w:rsid w:val="0001202C"/>
    <w:rsid w:val="000120B3"/>
    <w:rsid w:val="00012142"/>
    <w:rsid w:val="00012A34"/>
    <w:rsid w:val="00012F42"/>
    <w:rsid w:val="00013B3C"/>
    <w:rsid w:val="0001546C"/>
    <w:rsid w:val="00015993"/>
    <w:rsid w:val="000164B9"/>
    <w:rsid w:val="000166EB"/>
    <w:rsid w:val="00016DE5"/>
    <w:rsid w:val="00017200"/>
    <w:rsid w:val="0001783A"/>
    <w:rsid w:val="00021009"/>
    <w:rsid w:val="000218A1"/>
    <w:rsid w:val="000218F0"/>
    <w:rsid w:val="00021AEF"/>
    <w:rsid w:val="000223C6"/>
    <w:rsid w:val="000224C4"/>
    <w:rsid w:val="00023611"/>
    <w:rsid w:val="00023673"/>
    <w:rsid w:val="000238CF"/>
    <w:rsid w:val="00023BD4"/>
    <w:rsid w:val="00023F8A"/>
    <w:rsid w:val="00024B05"/>
    <w:rsid w:val="000250B6"/>
    <w:rsid w:val="00025250"/>
    <w:rsid w:val="0002628A"/>
    <w:rsid w:val="00026A91"/>
    <w:rsid w:val="0003012D"/>
    <w:rsid w:val="00030D2A"/>
    <w:rsid w:val="000316C1"/>
    <w:rsid w:val="00031F6A"/>
    <w:rsid w:val="00032DA0"/>
    <w:rsid w:val="000335E7"/>
    <w:rsid w:val="00034E74"/>
    <w:rsid w:val="00035187"/>
    <w:rsid w:val="00036FBD"/>
    <w:rsid w:val="00037502"/>
    <w:rsid w:val="00040C93"/>
    <w:rsid w:val="00041200"/>
    <w:rsid w:val="000412BB"/>
    <w:rsid w:val="00041B52"/>
    <w:rsid w:val="00041C48"/>
    <w:rsid w:val="00044251"/>
    <w:rsid w:val="000444A4"/>
    <w:rsid w:val="000454EC"/>
    <w:rsid w:val="000456B0"/>
    <w:rsid w:val="00047C96"/>
    <w:rsid w:val="00050112"/>
    <w:rsid w:val="0005044C"/>
    <w:rsid w:val="00051289"/>
    <w:rsid w:val="00051A16"/>
    <w:rsid w:val="00051B0B"/>
    <w:rsid w:val="00052667"/>
    <w:rsid w:val="00053177"/>
    <w:rsid w:val="00053E75"/>
    <w:rsid w:val="00054342"/>
    <w:rsid w:val="0005518A"/>
    <w:rsid w:val="00055853"/>
    <w:rsid w:val="00055F8B"/>
    <w:rsid w:val="00055FBD"/>
    <w:rsid w:val="0005635D"/>
    <w:rsid w:val="00056559"/>
    <w:rsid w:val="0005680B"/>
    <w:rsid w:val="000577D9"/>
    <w:rsid w:val="000600D0"/>
    <w:rsid w:val="0006128D"/>
    <w:rsid w:val="000613EC"/>
    <w:rsid w:val="00063916"/>
    <w:rsid w:val="000646BF"/>
    <w:rsid w:val="000649BC"/>
    <w:rsid w:val="00066587"/>
    <w:rsid w:val="00066A20"/>
    <w:rsid w:val="0006704D"/>
    <w:rsid w:val="000673B7"/>
    <w:rsid w:val="00071D78"/>
    <w:rsid w:val="00072058"/>
    <w:rsid w:val="00072215"/>
    <w:rsid w:val="000737F1"/>
    <w:rsid w:val="00075A92"/>
    <w:rsid w:val="00076DFE"/>
    <w:rsid w:val="00077889"/>
    <w:rsid w:val="000778A2"/>
    <w:rsid w:val="00077A0D"/>
    <w:rsid w:val="00080FA2"/>
    <w:rsid w:val="00081B5B"/>
    <w:rsid w:val="0008387F"/>
    <w:rsid w:val="00083D73"/>
    <w:rsid w:val="00084396"/>
    <w:rsid w:val="00085D36"/>
    <w:rsid w:val="00085DE8"/>
    <w:rsid w:val="000917B1"/>
    <w:rsid w:val="000917F9"/>
    <w:rsid w:val="00091A6F"/>
    <w:rsid w:val="00091F29"/>
    <w:rsid w:val="00092603"/>
    <w:rsid w:val="000948EB"/>
    <w:rsid w:val="00094E4D"/>
    <w:rsid w:val="00095517"/>
    <w:rsid w:val="00096F17"/>
    <w:rsid w:val="00097469"/>
    <w:rsid w:val="000977B9"/>
    <w:rsid w:val="00097CBB"/>
    <w:rsid w:val="000A2295"/>
    <w:rsid w:val="000A35A0"/>
    <w:rsid w:val="000A3663"/>
    <w:rsid w:val="000A409D"/>
    <w:rsid w:val="000A46D6"/>
    <w:rsid w:val="000A51EF"/>
    <w:rsid w:val="000A5EB6"/>
    <w:rsid w:val="000A6106"/>
    <w:rsid w:val="000A655F"/>
    <w:rsid w:val="000A6DFD"/>
    <w:rsid w:val="000A7707"/>
    <w:rsid w:val="000B1D82"/>
    <w:rsid w:val="000B219B"/>
    <w:rsid w:val="000B25E9"/>
    <w:rsid w:val="000B5156"/>
    <w:rsid w:val="000B5171"/>
    <w:rsid w:val="000B53BD"/>
    <w:rsid w:val="000B595E"/>
    <w:rsid w:val="000B59B3"/>
    <w:rsid w:val="000B624F"/>
    <w:rsid w:val="000B6CB1"/>
    <w:rsid w:val="000B6DD5"/>
    <w:rsid w:val="000B73FC"/>
    <w:rsid w:val="000B779B"/>
    <w:rsid w:val="000B7D29"/>
    <w:rsid w:val="000C0E8C"/>
    <w:rsid w:val="000C2CCE"/>
    <w:rsid w:val="000C32D8"/>
    <w:rsid w:val="000C3878"/>
    <w:rsid w:val="000C3B02"/>
    <w:rsid w:val="000C44D4"/>
    <w:rsid w:val="000C4BE9"/>
    <w:rsid w:val="000C505F"/>
    <w:rsid w:val="000C5AD3"/>
    <w:rsid w:val="000C5CCD"/>
    <w:rsid w:val="000C71D1"/>
    <w:rsid w:val="000D0088"/>
    <w:rsid w:val="000D03D1"/>
    <w:rsid w:val="000D066A"/>
    <w:rsid w:val="000D3459"/>
    <w:rsid w:val="000D3CC2"/>
    <w:rsid w:val="000D5132"/>
    <w:rsid w:val="000D55D5"/>
    <w:rsid w:val="000D5845"/>
    <w:rsid w:val="000D5A17"/>
    <w:rsid w:val="000D5C27"/>
    <w:rsid w:val="000D6F59"/>
    <w:rsid w:val="000D718A"/>
    <w:rsid w:val="000E0598"/>
    <w:rsid w:val="000E0702"/>
    <w:rsid w:val="000E08ED"/>
    <w:rsid w:val="000E2BF4"/>
    <w:rsid w:val="000E2F1D"/>
    <w:rsid w:val="000E380E"/>
    <w:rsid w:val="000E5722"/>
    <w:rsid w:val="000E6047"/>
    <w:rsid w:val="000E6EED"/>
    <w:rsid w:val="000F0094"/>
    <w:rsid w:val="000F22AF"/>
    <w:rsid w:val="000F261F"/>
    <w:rsid w:val="000F3571"/>
    <w:rsid w:val="000F364A"/>
    <w:rsid w:val="000F4119"/>
    <w:rsid w:val="000F4575"/>
    <w:rsid w:val="000F4E5E"/>
    <w:rsid w:val="000F6748"/>
    <w:rsid w:val="000F787A"/>
    <w:rsid w:val="00100D4D"/>
    <w:rsid w:val="00101E74"/>
    <w:rsid w:val="00102247"/>
    <w:rsid w:val="0010266B"/>
    <w:rsid w:val="00103116"/>
    <w:rsid w:val="0010321E"/>
    <w:rsid w:val="001042E0"/>
    <w:rsid w:val="00105679"/>
    <w:rsid w:val="00105BA4"/>
    <w:rsid w:val="00105BB0"/>
    <w:rsid w:val="00105EFB"/>
    <w:rsid w:val="0010611A"/>
    <w:rsid w:val="00106B41"/>
    <w:rsid w:val="0011012F"/>
    <w:rsid w:val="00110A8F"/>
    <w:rsid w:val="00110CB2"/>
    <w:rsid w:val="00111777"/>
    <w:rsid w:val="00111FE5"/>
    <w:rsid w:val="00112AF4"/>
    <w:rsid w:val="00112BA7"/>
    <w:rsid w:val="00112D2B"/>
    <w:rsid w:val="0011305E"/>
    <w:rsid w:val="001133DC"/>
    <w:rsid w:val="00115C42"/>
    <w:rsid w:val="00115E1D"/>
    <w:rsid w:val="00117283"/>
    <w:rsid w:val="00117E69"/>
    <w:rsid w:val="00120290"/>
    <w:rsid w:val="00121BC7"/>
    <w:rsid w:val="001221EF"/>
    <w:rsid w:val="0012398E"/>
    <w:rsid w:val="001268E1"/>
    <w:rsid w:val="00126E58"/>
    <w:rsid w:val="00127B4E"/>
    <w:rsid w:val="001307BB"/>
    <w:rsid w:val="00130943"/>
    <w:rsid w:val="00131724"/>
    <w:rsid w:val="00134307"/>
    <w:rsid w:val="0013459E"/>
    <w:rsid w:val="00134FC3"/>
    <w:rsid w:val="001353F7"/>
    <w:rsid w:val="0013589D"/>
    <w:rsid w:val="00135B55"/>
    <w:rsid w:val="00136775"/>
    <w:rsid w:val="00136ABF"/>
    <w:rsid w:val="001407DF"/>
    <w:rsid w:val="00140CF5"/>
    <w:rsid w:val="00140D29"/>
    <w:rsid w:val="001415D2"/>
    <w:rsid w:val="0014166B"/>
    <w:rsid w:val="00141F90"/>
    <w:rsid w:val="00142117"/>
    <w:rsid w:val="00143C2E"/>
    <w:rsid w:val="0014462E"/>
    <w:rsid w:val="00144D5F"/>
    <w:rsid w:val="00145DD5"/>
    <w:rsid w:val="001460DA"/>
    <w:rsid w:val="0014773B"/>
    <w:rsid w:val="00147F45"/>
    <w:rsid w:val="001500B9"/>
    <w:rsid w:val="00151098"/>
    <w:rsid w:val="001514CB"/>
    <w:rsid w:val="00151577"/>
    <w:rsid w:val="001518AE"/>
    <w:rsid w:val="00152C54"/>
    <w:rsid w:val="001541E7"/>
    <w:rsid w:val="0015549B"/>
    <w:rsid w:val="00156777"/>
    <w:rsid w:val="00157459"/>
    <w:rsid w:val="00161427"/>
    <w:rsid w:val="001627DC"/>
    <w:rsid w:val="0016372D"/>
    <w:rsid w:val="0016580F"/>
    <w:rsid w:val="001661EE"/>
    <w:rsid w:val="0016663C"/>
    <w:rsid w:val="00166839"/>
    <w:rsid w:val="00166A3A"/>
    <w:rsid w:val="00166F4A"/>
    <w:rsid w:val="001675B1"/>
    <w:rsid w:val="00167A0A"/>
    <w:rsid w:val="00171095"/>
    <w:rsid w:val="00171C26"/>
    <w:rsid w:val="001721B9"/>
    <w:rsid w:val="001721C8"/>
    <w:rsid w:val="00172541"/>
    <w:rsid w:val="0017255A"/>
    <w:rsid w:val="00172776"/>
    <w:rsid w:val="00172A1D"/>
    <w:rsid w:val="00173146"/>
    <w:rsid w:val="001744E7"/>
    <w:rsid w:val="00174573"/>
    <w:rsid w:val="001762E3"/>
    <w:rsid w:val="00176519"/>
    <w:rsid w:val="00176905"/>
    <w:rsid w:val="00176F5E"/>
    <w:rsid w:val="001770B9"/>
    <w:rsid w:val="00177660"/>
    <w:rsid w:val="0017773D"/>
    <w:rsid w:val="00177793"/>
    <w:rsid w:val="001779B9"/>
    <w:rsid w:val="00177BF2"/>
    <w:rsid w:val="00180260"/>
    <w:rsid w:val="001805A4"/>
    <w:rsid w:val="00180A7D"/>
    <w:rsid w:val="00180FB6"/>
    <w:rsid w:val="001829F3"/>
    <w:rsid w:val="00182E7A"/>
    <w:rsid w:val="00185EF3"/>
    <w:rsid w:val="001871BF"/>
    <w:rsid w:val="0018764C"/>
    <w:rsid w:val="00187CA2"/>
    <w:rsid w:val="00191572"/>
    <w:rsid w:val="00192490"/>
    <w:rsid w:val="001926BA"/>
    <w:rsid w:val="00193759"/>
    <w:rsid w:val="00193DF7"/>
    <w:rsid w:val="0019434E"/>
    <w:rsid w:val="00194FE5"/>
    <w:rsid w:val="0019552F"/>
    <w:rsid w:val="00196480"/>
    <w:rsid w:val="00196CC9"/>
    <w:rsid w:val="00196CE3"/>
    <w:rsid w:val="001A0138"/>
    <w:rsid w:val="001A1F0F"/>
    <w:rsid w:val="001A2013"/>
    <w:rsid w:val="001A3E8D"/>
    <w:rsid w:val="001A40F9"/>
    <w:rsid w:val="001A43C0"/>
    <w:rsid w:val="001A44F8"/>
    <w:rsid w:val="001A4987"/>
    <w:rsid w:val="001A5374"/>
    <w:rsid w:val="001A7BB0"/>
    <w:rsid w:val="001A7C5A"/>
    <w:rsid w:val="001B239E"/>
    <w:rsid w:val="001B2C2E"/>
    <w:rsid w:val="001B2D16"/>
    <w:rsid w:val="001B2EA2"/>
    <w:rsid w:val="001B32ED"/>
    <w:rsid w:val="001B424B"/>
    <w:rsid w:val="001B4316"/>
    <w:rsid w:val="001B4415"/>
    <w:rsid w:val="001B444C"/>
    <w:rsid w:val="001B4F06"/>
    <w:rsid w:val="001B634A"/>
    <w:rsid w:val="001B67D9"/>
    <w:rsid w:val="001B7894"/>
    <w:rsid w:val="001C140B"/>
    <w:rsid w:val="001C1866"/>
    <w:rsid w:val="001C21D3"/>
    <w:rsid w:val="001C3B74"/>
    <w:rsid w:val="001C4561"/>
    <w:rsid w:val="001C4EC9"/>
    <w:rsid w:val="001C5DD1"/>
    <w:rsid w:val="001C6E8B"/>
    <w:rsid w:val="001C74A7"/>
    <w:rsid w:val="001C7738"/>
    <w:rsid w:val="001D1453"/>
    <w:rsid w:val="001D187A"/>
    <w:rsid w:val="001D2DA6"/>
    <w:rsid w:val="001D2F41"/>
    <w:rsid w:val="001D3647"/>
    <w:rsid w:val="001D3779"/>
    <w:rsid w:val="001D3E80"/>
    <w:rsid w:val="001D6644"/>
    <w:rsid w:val="001E018D"/>
    <w:rsid w:val="001E0D92"/>
    <w:rsid w:val="001E0E74"/>
    <w:rsid w:val="001E1358"/>
    <w:rsid w:val="001E17F4"/>
    <w:rsid w:val="001E2CC7"/>
    <w:rsid w:val="001E316C"/>
    <w:rsid w:val="001E3713"/>
    <w:rsid w:val="001E3E4F"/>
    <w:rsid w:val="001E49E2"/>
    <w:rsid w:val="001E4E01"/>
    <w:rsid w:val="001E4EE1"/>
    <w:rsid w:val="001E5FC1"/>
    <w:rsid w:val="001E62EB"/>
    <w:rsid w:val="001E66AA"/>
    <w:rsid w:val="001E6D27"/>
    <w:rsid w:val="001E7306"/>
    <w:rsid w:val="001F082C"/>
    <w:rsid w:val="001F17D9"/>
    <w:rsid w:val="001F1EAC"/>
    <w:rsid w:val="001F2226"/>
    <w:rsid w:val="001F24E8"/>
    <w:rsid w:val="001F28BF"/>
    <w:rsid w:val="001F3A9C"/>
    <w:rsid w:val="001F427D"/>
    <w:rsid w:val="001F4A19"/>
    <w:rsid w:val="001F5D31"/>
    <w:rsid w:val="001F5D7D"/>
    <w:rsid w:val="001F5DEE"/>
    <w:rsid w:val="001F692C"/>
    <w:rsid w:val="001F6DDD"/>
    <w:rsid w:val="001F78A3"/>
    <w:rsid w:val="001F7B42"/>
    <w:rsid w:val="001F7BE1"/>
    <w:rsid w:val="002013A8"/>
    <w:rsid w:val="00201E62"/>
    <w:rsid w:val="0020232E"/>
    <w:rsid w:val="00202513"/>
    <w:rsid w:val="002027F5"/>
    <w:rsid w:val="002028F1"/>
    <w:rsid w:val="00203A02"/>
    <w:rsid w:val="00203F7F"/>
    <w:rsid w:val="002044CF"/>
    <w:rsid w:val="00204D4A"/>
    <w:rsid w:val="002056AA"/>
    <w:rsid w:val="00205C60"/>
    <w:rsid w:val="0021014E"/>
    <w:rsid w:val="0021072E"/>
    <w:rsid w:val="002108EB"/>
    <w:rsid w:val="00210AD1"/>
    <w:rsid w:val="002111D0"/>
    <w:rsid w:val="00211316"/>
    <w:rsid w:val="00211C23"/>
    <w:rsid w:val="00211DC0"/>
    <w:rsid w:val="0021259F"/>
    <w:rsid w:val="00212F21"/>
    <w:rsid w:val="002132AB"/>
    <w:rsid w:val="0021373E"/>
    <w:rsid w:val="00213C46"/>
    <w:rsid w:val="00213D49"/>
    <w:rsid w:val="002148DE"/>
    <w:rsid w:val="00214D08"/>
    <w:rsid w:val="002157E1"/>
    <w:rsid w:val="00216789"/>
    <w:rsid w:val="00216B47"/>
    <w:rsid w:val="002178C3"/>
    <w:rsid w:val="00220430"/>
    <w:rsid w:val="002215BA"/>
    <w:rsid w:val="002217E1"/>
    <w:rsid w:val="0022189D"/>
    <w:rsid w:val="00221929"/>
    <w:rsid w:val="00221BAF"/>
    <w:rsid w:val="002231DA"/>
    <w:rsid w:val="002236CB"/>
    <w:rsid w:val="0022375A"/>
    <w:rsid w:val="002240E1"/>
    <w:rsid w:val="002255AB"/>
    <w:rsid w:val="00225FE2"/>
    <w:rsid w:val="00226764"/>
    <w:rsid w:val="0022743A"/>
    <w:rsid w:val="00227646"/>
    <w:rsid w:val="002302E1"/>
    <w:rsid w:val="0023079B"/>
    <w:rsid w:val="00232530"/>
    <w:rsid w:val="0023266A"/>
    <w:rsid w:val="0023285E"/>
    <w:rsid w:val="00233B7E"/>
    <w:rsid w:val="00233E4A"/>
    <w:rsid w:val="00233E9F"/>
    <w:rsid w:val="00233F8A"/>
    <w:rsid w:val="002361DC"/>
    <w:rsid w:val="00236256"/>
    <w:rsid w:val="002367B4"/>
    <w:rsid w:val="00236C78"/>
    <w:rsid w:val="002371EA"/>
    <w:rsid w:val="002377F8"/>
    <w:rsid w:val="00237892"/>
    <w:rsid w:val="00240F7E"/>
    <w:rsid w:val="00241F68"/>
    <w:rsid w:val="00242678"/>
    <w:rsid w:val="00242DA4"/>
    <w:rsid w:val="002447F0"/>
    <w:rsid w:val="00244C4B"/>
    <w:rsid w:val="00244F1D"/>
    <w:rsid w:val="00245224"/>
    <w:rsid w:val="002455F9"/>
    <w:rsid w:val="002459DC"/>
    <w:rsid w:val="00245A7D"/>
    <w:rsid w:val="00247369"/>
    <w:rsid w:val="002474EF"/>
    <w:rsid w:val="002478A7"/>
    <w:rsid w:val="00247D26"/>
    <w:rsid w:val="0025007E"/>
    <w:rsid w:val="00250321"/>
    <w:rsid w:val="00250F29"/>
    <w:rsid w:val="00251545"/>
    <w:rsid w:val="002515BF"/>
    <w:rsid w:val="002516EF"/>
    <w:rsid w:val="002532D7"/>
    <w:rsid w:val="002545EB"/>
    <w:rsid w:val="00255A8A"/>
    <w:rsid w:val="00257A7C"/>
    <w:rsid w:val="0026066A"/>
    <w:rsid w:val="00260701"/>
    <w:rsid w:val="00260BCD"/>
    <w:rsid w:val="00260E89"/>
    <w:rsid w:val="00262004"/>
    <w:rsid w:val="00262DCF"/>
    <w:rsid w:val="0026332B"/>
    <w:rsid w:val="002636A0"/>
    <w:rsid w:val="002636D0"/>
    <w:rsid w:val="002636D9"/>
    <w:rsid w:val="002639B1"/>
    <w:rsid w:val="00263B6F"/>
    <w:rsid w:val="00263F6C"/>
    <w:rsid w:val="0026400F"/>
    <w:rsid w:val="002641E2"/>
    <w:rsid w:val="002644BF"/>
    <w:rsid w:val="002646A6"/>
    <w:rsid w:val="002647AB"/>
    <w:rsid w:val="00270599"/>
    <w:rsid w:val="002705AC"/>
    <w:rsid w:val="00270689"/>
    <w:rsid w:val="002711A8"/>
    <w:rsid w:val="00272728"/>
    <w:rsid w:val="00272F21"/>
    <w:rsid w:val="00273425"/>
    <w:rsid w:val="00273C29"/>
    <w:rsid w:val="00274175"/>
    <w:rsid w:val="002741C2"/>
    <w:rsid w:val="002746A8"/>
    <w:rsid w:val="00276261"/>
    <w:rsid w:val="00276ABD"/>
    <w:rsid w:val="00276CAF"/>
    <w:rsid w:val="00277C58"/>
    <w:rsid w:val="002813FE"/>
    <w:rsid w:val="0028218C"/>
    <w:rsid w:val="00282B6E"/>
    <w:rsid w:val="00283CCE"/>
    <w:rsid w:val="002848B5"/>
    <w:rsid w:val="00284AFB"/>
    <w:rsid w:val="00285392"/>
    <w:rsid w:val="002856F4"/>
    <w:rsid w:val="0028594D"/>
    <w:rsid w:val="002869BB"/>
    <w:rsid w:val="00287500"/>
    <w:rsid w:val="00287831"/>
    <w:rsid w:val="00287E6A"/>
    <w:rsid w:val="00290AB0"/>
    <w:rsid w:val="00290C57"/>
    <w:rsid w:val="00291059"/>
    <w:rsid w:val="00292278"/>
    <w:rsid w:val="00292ED5"/>
    <w:rsid w:val="0029481C"/>
    <w:rsid w:val="00294E63"/>
    <w:rsid w:val="002950AA"/>
    <w:rsid w:val="00295CB6"/>
    <w:rsid w:val="00295CF7"/>
    <w:rsid w:val="00295DC2"/>
    <w:rsid w:val="002962AE"/>
    <w:rsid w:val="0029653C"/>
    <w:rsid w:val="0029697F"/>
    <w:rsid w:val="00296B14"/>
    <w:rsid w:val="00296CC7"/>
    <w:rsid w:val="00297252"/>
    <w:rsid w:val="00297379"/>
    <w:rsid w:val="00297829"/>
    <w:rsid w:val="00297B91"/>
    <w:rsid w:val="002A0511"/>
    <w:rsid w:val="002A0A4B"/>
    <w:rsid w:val="002A0BC1"/>
    <w:rsid w:val="002A12FC"/>
    <w:rsid w:val="002A14CD"/>
    <w:rsid w:val="002A1960"/>
    <w:rsid w:val="002A2431"/>
    <w:rsid w:val="002A4352"/>
    <w:rsid w:val="002A5091"/>
    <w:rsid w:val="002A54A1"/>
    <w:rsid w:val="002A5505"/>
    <w:rsid w:val="002A5F2D"/>
    <w:rsid w:val="002A604B"/>
    <w:rsid w:val="002A66C3"/>
    <w:rsid w:val="002A6F97"/>
    <w:rsid w:val="002A7568"/>
    <w:rsid w:val="002A7702"/>
    <w:rsid w:val="002B0FBE"/>
    <w:rsid w:val="002B138B"/>
    <w:rsid w:val="002B18A7"/>
    <w:rsid w:val="002B19D1"/>
    <w:rsid w:val="002B22F6"/>
    <w:rsid w:val="002B2B12"/>
    <w:rsid w:val="002B306D"/>
    <w:rsid w:val="002B3F5E"/>
    <w:rsid w:val="002B4D92"/>
    <w:rsid w:val="002B5188"/>
    <w:rsid w:val="002B54A8"/>
    <w:rsid w:val="002B557E"/>
    <w:rsid w:val="002B5CF7"/>
    <w:rsid w:val="002B62E9"/>
    <w:rsid w:val="002B6A99"/>
    <w:rsid w:val="002C0059"/>
    <w:rsid w:val="002C0F6B"/>
    <w:rsid w:val="002C1E06"/>
    <w:rsid w:val="002C296B"/>
    <w:rsid w:val="002C2F04"/>
    <w:rsid w:val="002C3AFC"/>
    <w:rsid w:val="002C3E5F"/>
    <w:rsid w:val="002C54B1"/>
    <w:rsid w:val="002C59FB"/>
    <w:rsid w:val="002C7A79"/>
    <w:rsid w:val="002C7B09"/>
    <w:rsid w:val="002D0077"/>
    <w:rsid w:val="002D04F2"/>
    <w:rsid w:val="002D0BED"/>
    <w:rsid w:val="002D0C73"/>
    <w:rsid w:val="002D1249"/>
    <w:rsid w:val="002D12B1"/>
    <w:rsid w:val="002D1F20"/>
    <w:rsid w:val="002D2486"/>
    <w:rsid w:val="002D2E17"/>
    <w:rsid w:val="002D3090"/>
    <w:rsid w:val="002D33C1"/>
    <w:rsid w:val="002D3EF4"/>
    <w:rsid w:val="002D459A"/>
    <w:rsid w:val="002D4C04"/>
    <w:rsid w:val="002D5757"/>
    <w:rsid w:val="002E0273"/>
    <w:rsid w:val="002E0436"/>
    <w:rsid w:val="002E07D6"/>
    <w:rsid w:val="002E101E"/>
    <w:rsid w:val="002E2D02"/>
    <w:rsid w:val="002E2E91"/>
    <w:rsid w:val="002E35E8"/>
    <w:rsid w:val="002E371A"/>
    <w:rsid w:val="002E468E"/>
    <w:rsid w:val="002E5240"/>
    <w:rsid w:val="002E5A2E"/>
    <w:rsid w:val="002E5AC0"/>
    <w:rsid w:val="002E78E1"/>
    <w:rsid w:val="002E793A"/>
    <w:rsid w:val="002E7DEA"/>
    <w:rsid w:val="002F1000"/>
    <w:rsid w:val="002F1B2B"/>
    <w:rsid w:val="002F28B9"/>
    <w:rsid w:val="002F2D28"/>
    <w:rsid w:val="002F429C"/>
    <w:rsid w:val="002F49D3"/>
    <w:rsid w:val="002F529C"/>
    <w:rsid w:val="002F554D"/>
    <w:rsid w:val="002F613F"/>
    <w:rsid w:val="002F6A09"/>
    <w:rsid w:val="002F6D0F"/>
    <w:rsid w:val="00300352"/>
    <w:rsid w:val="00300540"/>
    <w:rsid w:val="003005A6"/>
    <w:rsid w:val="0030071A"/>
    <w:rsid w:val="00302AF2"/>
    <w:rsid w:val="003036C1"/>
    <w:rsid w:val="0030381D"/>
    <w:rsid w:val="0030507F"/>
    <w:rsid w:val="00305AAD"/>
    <w:rsid w:val="00305DB6"/>
    <w:rsid w:val="00306F9F"/>
    <w:rsid w:val="003078F1"/>
    <w:rsid w:val="00310B3E"/>
    <w:rsid w:val="0031354F"/>
    <w:rsid w:val="00313B73"/>
    <w:rsid w:val="00313FE6"/>
    <w:rsid w:val="00314B43"/>
    <w:rsid w:val="003151F1"/>
    <w:rsid w:val="00316C2D"/>
    <w:rsid w:val="00317594"/>
    <w:rsid w:val="003207D1"/>
    <w:rsid w:val="003208F0"/>
    <w:rsid w:val="003210EE"/>
    <w:rsid w:val="00321F8B"/>
    <w:rsid w:val="00321FD3"/>
    <w:rsid w:val="0032282A"/>
    <w:rsid w:val="00323689"/>
    <w:rsid w:val="00323E5F"/>
    <w:rsid w:val="00324000"/>
    <w:rsid w:val="0032420F"/>
    <w:rsid w:val="00324234"/>
    <w:rsid w:val="0032469D"/>
    <w:rsid w:val="00326F37"/>
    <w:rsid w:val="00327CAD"/>
    <w:rsid w:val="00327FB4"/>
    <w:rsid w:val="0033036C"/>
    <w:rsid w:val="00330386"/>
    <w:rsid w:val="0033085C"/>
    <w:rsid w:val="00330ADE"/>
    <w:rsid w:val="00331A1C"/>
    <w:rsid w:val="0033238E"/>
    <w:rsid w:val="003334BE"/>
    <w:rsid w:val="003339FF"/>
    <w:rsid w:val="0033416C"/>
    <w:rsid w:val="003351C4"/>
    <w:rsid w:val="00335CFB"/>
    <w:rsid w:val="00336750"/>
    <w:rsid w:val="00336792"/>
    <w:rsid w:val="00336D31"/>
    <w:rsid w:val="00337C23"/>
    <w:rsid w:val="00337E22"/>
    <w:rsid w:val="00337ECC"/>
    <w:rsid w:val="003401B9"/>
    <w:rsid w:val="00341C56"/>
    <w:rsid w:val="00341DFA"/>
    <w:rsid w:val="00341E06"/>
    <w:rsid w:val="003436DE"/>
    <w:rsid w:val="00343A85"/>
    <w:rsid w:val="00343ABF"/>
    <w:rsid w:val="00343DCC"/>
    <w:rsid w:val="003445E9"/>
    <w:rsid w:val="00345D52"/>
    <w:rsid w:val="00347220"/>
    <w:rsid w:val="003505CB"/>
    <w:rsid w:val="00351094"/>
    <w:rsid w:val="00351CE0"/>
    <w:rsid w:val="00352056"/>
    <w:rsid w:val="003525F2"/>
    <w:rsid w:val="00352854"/>
    <w:rsid w:val="00352F9B"/>
    <w:rsid w:val="00352F9C"/>
    <w:rsid w:val="0035323E"/>
    <w:rsid w:val="003532B0"/>
    <w:rsid w:val="0035376C"/>
    <w:rsid w:val="00353C31"/>
    <w:rsid w:val="00354EE1"/>
    <w:rsid w:val="00355121"/>
    <w:rsid w:val="00356313"/>
    <w:rsid w:val="0035642A"/>
    <w:rsid w:val="00356881"/>
    <w:rsid w:val="00356E8C"/>
    <w:rsid w:val="00357ACC"/>
    <w:rsid w:val="00357D58"/>
    <w:rsid w:val="003618D6"/>
    <w:rsid w:val="00362E57"/>
    <w:rsid w:val="003631F0"/>
    <w:rsid w:val="00363FF4"/>
    <w:rsid w:val="00364CEB"/>
    <w:rsid w:val="00366E20"/>
    <w:rsid w:val="003671CE"/>
    <w:rsid w:val="003700B8"/>
    <w:rsid w:val="00370BC0"/>
    <w:rsid w:val="00370C6C"/>
    <w:rsid w:val="00371C1F"/>
    <w:rsid w:val="00371F09"/>
    <w:rsid w:val="00373AC3"/>
    <w:rsid w:val="0037482E"/>
    <w:rsid w:val="00375C38"/>
    <w:rsid w:val="00375F5D"/>
    <w:rsid w:val="0037665C"/>
    <w:rsid w:val="0037681A"/>
    <w:rsid w:val="003768E2"/>
    <w:rsid w:val="00376C30"/>
    <w:rsid w:val="003776D5"/>
    <w:rsid w:val="003800FF"/>
    <w:rsid w:val="0038010C"/>
    <w:rsid w:val="003801EF"/>
    <w:rsid w:val="00380788"/>
    <w:rsid w:val="003807D7"/>
    <w:rsid w:val="00381606"/>
    <w:rsid w:val="00381646"/>
    <w:rsid w:val="00381C60"/>
    <w:rsid w:val="00381D7D"/>
    <w:rsid w:val="00382D78"/>
    <w:rsid w:val="0038321D"/>
    <w:rsid w:val="0038399A"/>
    <w:rsid w:val="0038460C"/>
    <w:rsid w:val="00385467"/>
    <w:rsid w:val="00385897"/>
    <w:rsid w:val="00387265"/>
    <w:rsid w:val="00387EBA"/>
    <w:rsid w:val="00392922"/>
    <w:rsid w:val="00392B2F"/>
    <w:rsid w:val="003930C9"/>
    <w:rsid w:val="0039364E"/>
    <w:rsid w:val="00393945"/>
    <w:rsid w:val="00394CD6"/>
    <w:rsid w:val="0039511A"/>
    <w:rsid w:val="00395535"/>
    <w:rsid w:val="003957C7"/>
    <w:rsid w:val="00396348"/>
    <w:rsid w:val="003968F7"/>
    <w:rsid w:val="00396D21"/>
    <w:rsid w:val="00397BF2"/>
    <w:rsid w:val="003A0C8A"/>
    <w:rsid w:val="003A10FC"/>
    <w:rsid w:val="003A1499"/>
    <w:rsid w:val="003A1864"/>
    <w:rsid w:val="003A3DEF"/>
    <w:rsid w:val="003A4B55"/>
    <w:rsid w:val="003A6784"/>
    <w:rsid w:val="003A6795"/>
    <w:rsid w:val="003A7E18"/>
    <w:rsid w:val="003B04B2"/>
    <w:rsid w:val="003B0AC5"/>
    <w:rsid w:val="003B1B0E"/>
    <w:rsid w:val="003B20FA"/>
    <w:rsid w:val="003B26A8"/>
    <w:rsid w:val="003B2AA9"/>
    <w:rsid w:val="003B2C96"/>
    <w:rsid w:val="003B30A8"/>
    <w:rsid w:val="003B5775"/>
    <w:rsid w:val="003B746B"/>
    <w:rsid w:val="003B74E9"/>
    <w:rsid w:val="003B78D5"/>
    <w:rsid w:val="003C0DF7"/>
    <w:rsid w:val="003C1DAF"/>
    <w:rsid w:val="003C1E68"/>
    <w:rsid w:val="003C21D6"/>
    <w:rsid w:val="003C24AE"/>
    <w:rsid w:val="003C33FB"/>
    <w:rsid w:val="003C39A4"/>
    <w:rsid w:val="003C39C0"/>
    <w:rsid w:val="003C3B63"/>
    <w:rsid w:val="003C7B48"/>
    <w:rsid w:val="003C7E72"/>
    <w:rsid w:val="003D0931"/>
    <w:rsid w:val="003D0E4F"/>
    <w:rsid w:val="003D1439"/>
    <w:rsid w:val="003D1742"/>
    <w:rsid w:val="003D2DFA"/>
    <w:rsid w:val="003D4607"/>
    <w:rsid w:val="003D46CD"/>
    <w:rsid w:val="003D61E0"/>
    <w:rsid w:val="003D68EB"/>
    <w:rsid w:val="003D6DA5"/>
    <w:rsid w:val="003D7A99"/>
    <w:rsid w:val="003D7CCD"/>
    <w:rsid w:val="003E0007"/>
    <w:rsid w:val="003E1BED"/>
    <w:rsid w:val="003E1F6A"/>
    <w:rsid w:val="003E271C"/>
    <w:rsid w:val="003E3806"/>
    <w:rsid w:val="003E380A"/>
    <w:rsid w:val="003E4219"/>
    <w:rsid w:val="003E4FA7"/>
    <w:rsid w:val="003E6366"/>
    <w:rsid w:val="003E689E"/>
    <w:rsid w:val="003E7755"/>
    <w:rsid w:val="003E7B30"/>
    <w:rsid w:val="003F03B6"/>
    <w:rsid w:val="003F0587"/>
    <w:rsid w:val="003F06B1"/>
    <w:rsid w:val="003F1ADF"/>
    <w:rsid w:val="003F20FB"/>
    <w:rsid w:val="003F30CE"/>
    <w:rsid w:val="003F49B6"/>
    <w:rsid w:val="003F4CF8"/>
    <w:rsid w:val="003F529B"/>
    <w:rsid w:val="003F68EF"/>
    <w:rsid w:val="003F7987"/>
    <w:rsid w:val="003F7E9E"/>
    <w:rsid w:val="0040349A"/>
    <w:rsid w:val="004034B3"/>
    <w:rsid w:val="00404113"/>
    <w:rsid w:val="00404639"/>
    <w:rsid w:val="0040469E"/>
    <w:rsid w:val="00404E1D"/>
    <w:rsid w:val="00405574"/>
    <w:rsid w:val="00405B7E"/>
    <w:rsid w:val="00406E83"/>
    <w:rsid w:val="004079AB"/>
    <w:rsid w:val="00407D33"/>
    <w:rsid w:val="00410339"/>
    <w:rsid w:val="0041053A"/>
    <w:rsid w:val="0041134E"/>
    <w:rsid w:val="004123C1"/>
    <w:rsid w:val="00412F23"/>
    <w:rsid w:val="0041302A"/>
    <w:rsid w:val="0041378E"/>
    <w:rsid w:val="00413A9C"/>
    <w:rsid w:val="00413AD7"/>
    <w:rsid w:val="00414AC4"/>
    <w:rsid w:val="00414CF4"/>
    <w:rsid w:val="0041549F"/>
    <w:rsid w:val="00415800"/>
    <w:rsid w:val="00415DC3"/>
    <w:rsid w:val="0041664D"/>
    <w:rsid w:val="00416CB3"/>
    <w:rsid w:val="00416EFA"/>
    <w:rsid w:val="0041748D"/>
    <w:rsid w:val="00420F3B"/>
    <w:rsid w:val="004215F1"/>
    <w:rsid w:val="00422D3E"/>
    <w:rsid w:val="00423F79"/>
    <w:rsid w:val="004248D2"/>
    <w:rsid w:val="004248EA"/>
    <w:rsid w:val="00425030"/>
    <w:rsid w:val="00426407"/>
    <w:rsid w:val="00427129"/>
    <w:rsid w:val="004273E4"/>
    <w:rsid w:val="004279FB"/>
    <w:rsid w:val="00427FBE"/>
    <w:rsid w:val="0043062C"/>
    <w:rsid w:val="00432576"/>
    <w:rsid w:val="00432B6B"/>
    <w:rsid w:val="00432ED3"/>
    <w:rsid w:val="00435132"/>
    <w:rsid w:val="00435ACD"/>
    <w:rsid w:val="00435C45"/>
    <w:rsid w:val="00435EEC"/>
    <w:rsid w:val="004361F1"/>
    <w:rsid w:val="00437501"/>
    <w:rsid w:val="00440050"/>
    <w:rsid w:val="00444CF4"/>
    <w:rsid w:val="00446E4F"/>
    <w:rsid w:val="00447D47"/>
    <w:rsid w:val="00450293"/>
    <w:rsid w:val="004506E6"/>
    <w:rsid w:val="0045070E"/>
    <w:rsid w:val="004508B1"/>
    <w:rsid w:val="00451461"/>
    <w:rsid w:val="00451991"/>
    <w:rsid w:val="00452EB4"/>
    <w:rsid w:val="00455B16"/>
    <w:rsid w:val="00456791"/>
    <w:rsid w:val="00456885"/>
    <w:rsid w:val="00457616"/>
    <w:rsid w:val="00457A0F"/>
    <w:rsid w:val="0046063C"/>
    <w:rsid w:val="0046130D"/>
    <w:rsid w:val="004613D9"/>
    <w:rsid w:val="0046184B"/>
    <w:rsid w:val="004619D0"/>
    <w:rsid w:val="00462498"/>
    <w:rsid w:val="0046345F"/>
    <w:rsid w:val="00464181"/>
    <w:rsid w:val="0046571E"/>
    <w:rsid w:val="0046620E"/>
    <w:rsid w:val="00467030"/>
    <w:rsid w:val="004678AB"/>
    <w:rsid w:val="00467C7B"/>
    <w:rsid w:val="00467E36"/>
    <w:rsid w:val="00470CA0"/>
    <w:rsid w:val="00470E42"/>
    <w:rsid w:val="004719A4"/>
    <w:rsid w:val="00471BF9"/>
    <w:rsid w:val="00471EF6"/>
    <w:rsid w:val="00471F2D"/>
    <w:rsid w:val="004725EF"/>
    <w:rsid w:val="00472658"/>
    <w:rsid w:val="0047278F"/>
    <w:rsid w:val="00472966"/>
    <w:rsid w:val="00472DA1"/>
    <w:rsid w:val="00472DB4"/>
    <w:rsid w:val="004732FA"/>
    <w:rsid w:val="00473912"/>
    <w:rsid w:val="00473BEB"/>
    <w:rsid w:val="00475EA7"/>
    <w:rsid w:val="00475FA3"/>
    <w:rsid w:val="004766EB"/>
    <w:rsid w:val="004774A1"/>
    <w:rsid w:val="00480204"/>
    <w:rsid w:val="00480592"/>
    <w:rsid w:val="004806CB"/>
    <w:rsid w:val="00480767"/>
    <w:rsid w:val="0048110C"/>
    <w:rsid w:val="00482227"/>
    <w:rsid w:val="00482C32"/>
    <w:rsid w:val="00483031"/>
    <w:rsid w:val="0048519A"/>
    <w:rsid w:val="004856B1"/>
    <w:rsid w:val="00486798"/>
    <w:rsid w:val="00486AA3"/>
    <w:rsid w:val="00487316"/>
    <w:rsid w:val="004873D9"/>
    <w:rsid w:val="00487559"/>
    <w:rsid w:val="00487634"/>
    <w:rsid w:val="00487F6C"/>
    <w:rsid w:val="0049064A"/>
    <w:rsid w:val="00491883"/>
    <w:rsid w:val="00491C89"/>
    <w:rsid w:val="00491D8E"/>
    <w:rsid w:val="00491E2D"/>
    <w:rsid w:val="004926A0"/>
    <w:rsid w:val="004936A5"/>
    <w:rsid w:val="00493A6E"/>
    <w:rsid w:val="00493F19"/>
    <w:rsid w:val="00494116"/>
    <w:rsid w:val="00494173"/>
    <w:rsid w:val="0049524F"/>
    <w:rsid w:val="004962B9"/>
    <w:rsid w:val="004967A8"/>
    <w:rsid w:val="00496D95"/>
    <w:rsid w:val="004970F1"/>
    <w:rsid w:val="004971B6"/>
    <w:rsid w:val="00497C8D"/>
    <w:rsid w:val="004A06CD"/>
    <w:rsid w:val="004A115B"/>
    <w:rsid w:val="004A179F"/>
    <w:rsid w:val="004A17F2"/>
    <w:rsid w:val="004A1AE3"/>
    <w:rsid w:val="004A1E60"/>
    <w:rsid w:val="004A1F6B"/>
    <w:rsid w:val="004A3033"/>
    <w:rsid w:val="004A3D4D"/>
    <w:rsid w:val="004A4449"/>
    <w:rsid w:val="004A5FA4"/>
    <w:rsid w:val="004A68BC"/>
    <w:rsid w:val="004B033D"/>
    <w:rsid w:val="004B0774"/>
    <w:rsid w:val="004B124B"/>
    <w:rsid w:val="004B178D"/>
    <w:rsid w:val="004B2304"/>
    <w:rsid w:val="004B24DF"/>
    <w:rsid w:val="004B258C"/>
    <w:rsid w:val="004B3598"/>
    <w:rsid w:val="004B554D"/>
    <w:rsid w:val="004B5CAD"/>
    <w:rsid w:val="004B5D0F"/>
    <w:rsid w:val="004B7A73"/>
    <w:rsid w:val="004C1E65"/>
    <w:rsid w:val="004C2144"/>
    <w:rsid w:val="004C266E"/>
    <w:rsid w:val="004C28F9"/>
    <w:rsid w:val="004C387B"/>
    <w:rsid w:val="004C5791"/>
    <w:rsid w:val="004C5C25"/>
    <w:rsid w:val="004C62DF"/>
    <w:rsid w:val="004C640E"/>
    <w:rsid w:val="004C7740"/>
    <w:rsid w:val="004D0A64"/>
    <w:rsid w:val="004D133A"/>
    <w:rsid w:val="004D1F30"/>
    <w:rsid w:val="004D29AA"/>
    <w:rsid w:val="004D354A"/>
    <w:rsid w:val="004D3C49"/>
    <w:rsid w:val="004D484E"/>
    <w:rsid w:val="004D4A3B"/>
    <w:rsid w:val="004D4C93"/>
    <w:rsid w:val="004D4DB2"/>
    <w:rsid w:val="004D5197"/>
    <w:rsid w:val="004D5BF9"/>
    <w:rsid w:val="004D6547"/>
    <w:rsid w:val="004D65DE"/>
    <w:rsid w:val="004D7455"/>
    <w:rsid w:val="004D7A7A"/>
    <w:rsid w:val="004E087A"/>
    <w:rsid w:val="004E11F7"/>
    <w:rsid w:val="004E2888"/>
    <w:rsid w:val="004E3F73"/>
    <w:rsid w:val="004E4E6A"/>
    <w:rsid w:val="004E5096"/>
    <w:rsid w:val="004E559B"/>
    <w:rsid w:val="004F003E"/>
    <w:rsid w:val="004F0292"/>
    <w:rsid w:val="004F0FB3"/>
    <w:rsid w:val="004F172C"/>
    <w:rsid w:val="004F201D"/>
    <w:rsid w:val="004F2BC4"/>
    <w:rsid w:val="004F6EAB"/>
    <w:rsid w:val="004F7334"/>
    <w:rsid w:val="00501035"/>
    <w:rsid w:val="005021FB"/>
    <w:rsid w:val="00502233"/>
    <w:rsid w:val="00502267"/>
    <w:rsid w:val="00502CDE"/>
    <w:rsid w:val="00502DB5"/>
    <w:rsid w:val="0050302F"/>
    <w:rsid w:val="005031E7"/>
    <w:rsid w:val="0050388E"/>
    <w:rsid w:val="0050406E"/>
    <w:rsid w:val="0050581D"/>
    <w:rsid w:val="0050607E"/>
    <w:rsid w:val="0050666C"/>
    <w:rsid w:val="00507865"/>
    <w:rsid w:val="005100F0"/>
    <w:rsid w:val="005109FC"/>
    <w:rsid w:val="00510E2F"/>
    <w:rsid w:val="00511067"/>
    <w:rsid w:val="00512341"/>
    <w:rsid w:val="005123F8"/>
    <w:rsid w:val="0051240D"/>
    <w:rsid w:val="005124D7"/>
    <w:rsid w:val="00512596"/>
    <w:rsid w:val="005126F0"/>
    <w:rsid w:val="005129C9"/>
    <w:rsid w:val="005132AA"/>
    <w:rsid w:val="005133AC"/>
    <w:rsid w:val="00513512"/>
    <w:rsid w:val="005140A0"/>
    <w:rsid w:val="00514650"/>
    <w:rsid w:val="0051491B"/>
    <w:rsid w:val="00514D33"/>
    <w:rsid w:val="00515B40"/>
    <w:rsid w:val="00516107"/>
    <w:rsid w:val="00516360"/>
    <w:rsid w:val="005167FE"/>
    <w:rsid w:val="00517698"/>
    <w:rsid w:val="00517C10"/>
    <w:rsid w:val="00520758"/>
    <w:rsid w:val="005214E3"/>
    <w:rsid w:val="005219BD"/>
    <w:rsid w:val="00521E9E"/>
    <w:rsid w:val="00522362"/>
    <w:rsid w:val="00523AE3"/>
    <w:rsid w:val="00523E8E"/>
    <w:rsid w:val="00523EE0"/>
    <w:rsid w:val="005252BF"/>
    <w:rsid w:val="00525578"/>
    <w:rsid w:val="005259A6"/>
    <w:rsid w:val="00525CB6"/>
    <w:rsid w:val="005268B1"/>
    <w:rsid w:val="00527719"/>
    <w:rsid w:val="005278E7"/>
    <w:rsid w:val="00527F92"/>
    <w:rsid w:val="005307AB"/>
    <w:rsid w:val="005322AA"/>
    <w:rsid w:val="00532629"/>
    <w:rsid w:val="00532BF5"/>
    <w:rsid w:val="00532F35"/>
    <w:rsid w:val="00533A1C"/>
    <w:rsid w:val="0053512D"/>
    <w:rsid w:val="005363F6"/>
    <w:rsid w:val="0053674F"/>
    <w:rsid w:val="00540E37"/>
    <w:rsid w:val="00541D6B"/>
    <w:rsid w:val="005453D8"/>
    <w:rsid w:val="00545884"/>
    <w:rsid w:val="00546E42"/>
    <w:rsid w:val="0054774B"/>
    <w:rsid w:val="00551591"/>
    <w:rsid w:val="00551D01"/>
    <w:rsid w:val="005523B7"/>
    <w:rsid w:val="00553591"/>
    <w:rsid w:val="00553C36"/>
    <w:rsid w:val="005546C4"/>
    <w:rsid w:val="00554E8C"/>
    <w:rsid w:val="0055577F"/>
    <w:rsid w:val="00555891"/>
    <w:rsid w:val="005563BC"/>
    <w:rsid w:val="00556DA0"/>
    <w:rsid w:val="005612D4"/>
    <w:rsid w:val="00562AC6"/>
    <w:rsid w:val="00562D7E"/>
    <w:rsid w:val="005638E3"/>
    <w:rsid w:val="005639E4"/>
    <w:rsid w:val="00564DD4"/>
    <w:rsid w:val="00565040"/>
    <w:rsid w:val="005651B4"/>
    <w:rsid w:val="00565694"/>
    <w:rsid w:val="00565DE5"/>
    <w:rsid w:val="00565DF2"/>
    <w:rsid w:val="005661D0"/>
    <w:rsid w:val="0056761E"/>
    <w:rsid w:val="00567CF9"/>
    <w:rsid w:val="005702F9"/>
    <w:rsid w:val="00570584"/>
    <w:rsid w:val="00571755"/>
    <w:rsid w:val="00572100"/>
    <w:rsid w:val="00573526"/>
    <w:rsid w:val="00575095"/>
    <w:rsid w:val="0057538F"/>
    <w:rsid w:val="00575449"/>
    <w:rsid w:val="005756C3"/>
    <w:rsid w:val="00575DC3"/>
    <w:rsid w:val="00576378"/>
    <w:rsid w:val="0057698F"/>
    <w:rsid w:val="00576F6C"/>
    <w:rsid w:val="005817CE"/>
    <w:rsid w:val="00582232"/>
    <w:rsid w:val="0058242E"/>
    <w:rsid w:val="00583A1E"/>
    <w:rsid w:val="00584413"/>
    <w:rsid w:val="005849F7"/>
    <w:rsid w:val="00585619"/>
    <w:rsid w:val="00586362"/>
    <w:rsid w:val="00586846"/>
    <w:rsid w:val="00587890"/>
    <w:rsid w:val="00587D84"/>
    <w:rsid w:val="00587F3F"/>
    <w:rsid w:val="00590364"/>
    <w:rsid w:val="005906E5"/>
    <w:rsid w:val="00590D00"/>
    <w:rsid w:val="00591598"/>
    <w:rsid w:val="005917C6"/>
    <w:rsid w:val="00591F30"/>
    <w:rsid w:val="005920CC"/>
    <w:rsid w:val="00592669"/>
    <w:rsid w:val="00592AD9"/>
    <w:rsid w:val="00593089"/>
    <w:rsid w:val="0059343D"/>
    <w:rsid w:val="0059362A"/>
    <w:rsid w:val="00593F0D"/>
    <w:rsid w:val="00594212"/>
    <w:rsid w:val="0059449A"/>
    <w:rsid w:val="005957D6"/>
    <w:rsid w:val="00595B44"/>
    <w:rsid w:val="00595E07"/>
    <w:rsid w:val="00595FA1"/>
    <w:rsid w:val="00596423"/>
    <w:rsid w:val="00596DB0"/>
    <w:rsid w:val="0059737A"/>
    <w:rsid w:val="00597748"/>
    <w:rsid w:val="00597C98"/>
    <w:rsid w:val="00597EFE"/>
    <w:rsid w:val="005A0443"/>
    <w:rsid w:val="005A04E4"/>
    <w:rsid w:val="005A08F5"/>
    <w:rsid w:val="005A3489"/>
    <w:rsid w:val="005A38D6"/>
    <w:rsid w:val="005A46B1"/>
    <w:rsid w:val="005A5346"/>
    <w:rsid w:val="005A5EB8"/>
    <w:rsid w:val="005A6F99"/>
    <w:rsid w:val="005A79B7"/>
    <w:rsid w:val="005A7D10"/>
    <w:rsid w:val="005B0DA6"/>
    <w:rsid w:val="005B10A7"/>
    <w:rsid w:val="005B23F4"/>
    <w:rsid w:val="005B4491"/>
    <w:rsid w:val="005B4746"/>
    <w:rsid w:val="005B5A6F"/>
    <w:rsid w:val="005B6784"/>
    <w:rsid w:val="005B698E"/>
    <w:rsid w:val="005B7079"/>
    <w:rsid w:val="005B7312"/>
    <w:rsid w:val="005C14C8"/>
    <w:rsid w:val="005C1748"/>
    <w:rsid w:val="005C1A59"/>
    <w:rsid w:val="005C2E6E"/>
    <w:rsid w:val="005C3260"/>
    <w:rsid w:val="005C3FB1"/>
    <w:rsid w:val="005C50E7"/>
    <w:rsid w:val="005C544F"/>
    <w:rsid w:val="005C5B95"/>
    <w:rsid w:val="005C5F71"/>
    <w:rsid w:val="005C62DB"/>
    <w:rsid w:val="005C6A33"/>
    <w:rsid w:val="005C6D0A"/>
    <w:rsid w:val="005C7A4E"/>
    <w:rsid w:val="005D034A"/>
    <w:rsid w:val="005D0EAE"/>
    <w:rsid w:val="005D0F24"/>
    <w:rsid w:val="005D137A"/>
    <w:rsid w:val="005D1C60"/>
    <w:rsid w:val="005D1FE5"/>
    <w:rsid w:val="005D2BDF"/>
    <w:rsid w:val="005D2CC9"/>
    <w:rsid w:val="005D30EF"/>
    <w:rsid w:val="005D4DA5"/>
    <w:rsid w:val="005D610C"/>
    <w:rsid w:val="005E0FED"/>
    <w:rsid w:val="005E3438"/>
    <w:rsid w:val="005E4058"/>
    <w:rsid w:val="005E4A9B"/>
    <w:rsid w:val="005E58DE"/>
    <w:rsid w:val="005E6F47"/>
    <w:rsid w:val="005E78EE"/>
    <w:rsid w:val="005E7B15"/>
    <w:rsid w:val="005F0843"/>
    <w:rsid w:val="005F181D"/>
    <w:rsid w:val="005F2F89"/>
    <w:rsid w:val="005F3552"/>
    <w:rsid w:val="005F3595"/>
    <w:rsid w:val="005F36DC"/>
    <w:rsid w:val="005F42BB"/>
    <w:rsid w:val="005F44BC"/>
    <w:rsid w:val="005F45E9"/>
    <w:rsid w:val="005F45F5"/>
    <w:rsid w:val="005F4CB1"/>
    <w:rsid w:val="005F502B"/>
    <w:rsid w:val="005F5715"/>
    <w:rsid w:val="005F61B9"/>
    <w:rsid w:val="005F6F1B"/>
    <w:rsid w:val="0060051B"/>
    <w:rsid w:val="00600A08"/>
    <w:rsid w:val="006014BA"/>
    <w:rsid w:val="00602017"/>
    <w:rsid w:val="0060332E"/>
    <w:rsid w:val="00604956"/>
    <w:rsid w:val="00604E18"/>
    <w:rsid w:val="00604EA1"/>
    <w:rsid w:val="00605243"/>
    <w:rsid w:val="006057C8"/>
    <w:rsid w:val="006060D7"/>
    <w:rsid w:val="00606371"/>
    <w:rsid w:val="006063C5"/>
    <w:rsid w:val="00606CB6"/>
    <w:rsid w:val="00607536"/>
    <w:rsid w:val="006075E2"/>
    <w:rsid w:val="00607603"/>
    <w:rsid w:val="00607E94"/>
    <w:rsid w:val="006109B6"/>
    <w:rsid w:val="00610B4D"/>
    <w:rsid w:val="00611029"/>
    <w:rsid w:val="00611A55"/>
    <w:rsid w:val="00611FC3"/>
    <w:rsid w:val="00612419"/>
    <w:rsid w:val="00614054"/>
    <w:rsid w:val="006147B1"/>
    <w:rsid w:val="0061485A"/>
    <w:rsid w:val="006158C6"/>
    <w:rsid w:val="00615B62"/>
    <w:rsid w:val="0061637C"/>
    <w:rsid w:val="006176B7"/>
    <w:rsid w:val="006203F1"/>
    <w:rsid w:val="0062124D"/>
    <w:rsid w:val="00621ACA"/>
    <w:rsid w:val="0062355E"/>
    <w:rsid w:val="00623621"/>
    <w:rsid w:val="006259C1"/>
    <w:rsid w:val="00625FF5"/>
    <w:rsid w:val="006263EA"/>
    <w:rsid w:val="0062770E"/>
    <w:rsid w:val="00627ED9"/>
    <w:rsid w:val="00627EEF"/>
    <w:rsid w:val="006308D3"/>
    <w:rsid w:val="00630F0F"/>
    <w:rsid w:val="006311F8"/>
    <w:rsid w:val="006335B0"/>
    <w:rsid w:val="00633611"/>
    <w:rsid w:val="00634955"/>
    <w:rsid w:val="00634CB0"/>
    <w:rsid w:val="006364A2"/>
    <w:rsid w:val="006367C7"/>
    <w:rsid w:val="00636990"/>
    <w:rsid w:val="00640950"/>
    <w:rsid w:val="00640A96"/>
    <w:rsid w:val="00641450"/>
    <w:rsid w:val="00643041"/>
    <w:rsid w:val="00643718"/>
    <w:rsid w:val="0064441A"/>
    <w:rsid w:val="00645C9F"/>
    <w:rsid w:val="00645D68"/>
    <w:rsid w:val="00645F53"/>
    <w:rsid w:val="0065026D"/>
    <w:rsid w:val="00650680"/>
    <w:rsid w:val="00650989"/>
    <w:rsid w:val="00651906"/>
    <w:rsid w:val="0065202C"/>
    <w:rsid w:val="0065205C"/>
    <w:rsid w:val="00653BAB"/>
    <w:rsid w:val="00654EA0"/>
    <w:rsid w:val="00655722"/>
    <w:rsid w:val="00655D12"/>
    <w:rsid w:val="00656322"/>
    <w:rsid w:val="0065659D"/>
    <w:rsid w:val="006565C1"/>
    <w:rsid w:val="00656C12"/>
    <w:rsid w:val="00656DE5"/>
    <w:rsid w:val="006577BB"/>
    <w:rsid w:val="00657893"/>
    <w:rsid w:val="00660334"/>
    <w:rsid w:val="006617F3"/>
    <w:rsid w:val="00661A55"/>
    <w:rsid w:val="00661CA9"/>
    <w:rsid w:val="00662763"/>
    <w:rsid w:val="00663278"/>
    <w:rsid w:val="006648E5"/>
    <w:rsid w:val="006651BD"/>
    <w:rsid w:val="00665E5E"/>
    <w:rsid w:val="0066710B"/>
    <w:rsid w:val="00667CC5"/>
    <w:rsid w:val="00667E51"/>
    <w:rsid w:val="0067018D"/>
    <w:rsid w:val="00670E0F"/>
    <w:rsid w:val="006724E0"/>
    <w:rsid w:val="00672E53"/>
    <w:rsid w:val="00672E61"/>
    <w:rsid w:val="00673188"/>
    <w:rsid w:val="0067345E"/>
    <w:rsid w:val="0067359B"/>
    <w:rsid w:val="00673675"/>
    <w:rsid w:val="00673BF9"/>
    <w:rsid w:val="00676A4B"/>
    <w:rsid w:val="00676AD0"/>
    <w:rsid w:val="00677FF6"/>
    <w:rsid w:val="006813C9"/>
    <w:rsid w:val="00681550"/>
    <w:rsid w:val="00681786"/>
    <w:rsid w:val="006817D8"/>
    <w:rsid w:val="00682109"/>
    <w:rsid w:val="006833BA"/>
    <w:rsid w:val="0068344C"/>
    <w:rsid w:val="0068345C"/>
    <w:rsid w:val="006852E8"/>
    <w:rsid w:val="00685815"/>
    <w:rsid w:val="0068592C"/>
    <w:rsid w:val="00687FB0"/>
    <w:rsid w:val="006904E9"/>
    <w:rsid w:val="006911CC"/>
    <w:rsid w:val="00691B32"/>
    <w:rsid w:val="006926BF"/>
    <w:rsid w:val="00692E9D"/>
    <w:rsid w:val="006930BA"/>
    <w:rsid w:val="00693354"/>
    <w:rsid w:val="006948A8"/>
    <w:rsid w:val="00695F4A"/>
    <w:rsid w:val="006971C6"/>
    <w:rsid w:val="0069797E"/>
    <w:rsid w:val="00697DC4"/>
    <w:rsid w:val="00697ECB"/>
    <w:rsid w:val="006A32F2"/>
    <w:rsid w:val="006A389C"/>
    <w:rsid w:val="006A65BB"/>
    <w:rsid w:val="006A681A"/>
    <w:rsid w:val="006A6BF3"/>
    <w:rsid w:val="006A6E97"/>
    <w:rsid w:val="006A753F"/>
    <w:rsid w:val="006A7B7F"/>
    <w:rsid w:val="006A7E83"/>
    <w:rsid w:val="006B3151"/>
    <w:rsid w:val="006B4C8D"/>
    <w:rsid w:val="006B5A01"/>
    <w:rsid w:val="006B6752"/>
    <w:rsid w:val="006B7D25"/>
    <w:rsid w:val="006B7D69"/>
    <w:rsid w:val="006C1837"/>
    <w:rsid w:val="006C1CB4"/>
    <w:rsid w:val="006C1DCD"/>
    <w:rsid w:val="006C2DFE"/>
    <w:rsid w:val="006C304A"/>
    <w:rsid w:val="006C4017"/>
    <w:rsid w:val="006C5A1E"/>
    <w:rsid w:val="006C7290"/>
    <w:rsid w:val="006C7AD8"/>
    <w:rsid w:val="006D0250"/>
    <w:rsid w:val="006D144F"/>
    <w:rsid w:val="006D1764"/>
    <w:rsid w:val="006D27B3"/>
    <w:rsid w:val="006D3AEC"/>
    <w:rsid w:val="006D3B7A"/>
    <w:rsid w:val="006D42B2"/>
    <w:rsid w:val="006D45B9"/>
    <w:rsid w:val="006D4685"/>
    <w:rsid w:val="006D6112"/>
    <w:rsid w:val="006D6599"/>
    <w:rsid w:val="006D75D8"/>
    <w:rsid w:val="006E18A6"/>
    <w:rsid w:val="006E18B4"/>
    <w:rsid w:val="006E2822"/>
    <w:rsid w:val="006E438E"/>
    <w:rsid w:val="006E5645"/>
    <w:rsid w:val="006E6CF7"/>
    <w:rsid w:val="006E6D99"/>
    <w:rsid w:val="006E6ED7"/>
    <w:rsid w:val="006E7C84"/>
    <w:rsid w:val="006F074D"/>
    <w:rsid w:val="006F1614"/>
    <w:rsid w:val="006F21BB"/>
    <w:rsid w:val="006F2759"/>
    <w:rsid w:val="006F2E45"/>
    <w:rsid w:val="006F303B"/>
    <w:rsid w:val="006F381B"/>
    <w:rsid w:val="006F3E54"/>
    <w:rsid w:val="006F5B5C"/>
    <w:rsid w:val="006F6790"/>
    <w:rsid w:val="006F693A"/>
    <w:rsid w:val="006F76E6"/>
    <w:rsid w:val="007006ED"/>
    <w:rsid w:val="007021E1"/>
    <w:rsid w:val="007023BC"/>
    <w:rsid w:val="00703684"/>
    <w:rsid w:val="0070426C"/>
    <w:rsid w:val="00704809"/>
    <w:rsid w:val="0070709B"/>
    <w:rsid w:val="00710408"/>
    <w:rsid w:val="00710A90"/>
    <w:rsid w:val="007112CB"/>
    <w:rsid w:val="00711356"/>
    <w:rsid w:val="007117C5"/>
    <w:rsid w:val="00711EF8"/>
    <w:rsid w:val="00711FA0"/>
    <w:rsid w:val="007137F6"/>
    <w:rsid w:val="0071506C"/>
    <w:rsid w:val="00715228"/>
    <w:rsid w:val="007153A5"/>
    <w:rsid w:val="0071683F"/>
    <w:rsid w:val="007172EB"/>
    <w:rsid w:val="00720532"/>
    <w:rsid w:val="007211B0"/>
    <w:rsid w:val="00721A1D"/>
    <w:rsid w:val="0072218C"/>
    <w:rsid w:val="00723EDB"/>
    <w:rsid w:val="007244C9"/>
    <w:rsid w:val="007248E5"/>
    <w:rsid w:val="0072502C"/>
    <w:rsid w:val="00726F03"/>
    <w:rsid w:val="00726F23"/>
    <w:rsid w:val="00726FDA"/>
    <w:rsid w:val="00730140"/>
    <w:rsid w:val="007305DE"/>
    <w:rsid w:val="0073091F"/>
    <w:rsid w:val="00731971"/>
    <w:rsid w:val="0073209D"/>
    <w:rsid w:val="0073258B"/>
    <w:rsid w:val="00732D4F"/>
    <w:rsid w:val="00733712"/>
    <w:rsid w:val="0073397C"/>
    <w:rsid w:val="00734ABF"/>
    <w:rsid w:val="007351D8"/>
    <w:rsid w:val="00736B19"/>
    <w:rsid w:val="00736F46"/>
    <w:rsid w:val="00737D7D"/>
    <w:rsid w:val="00740A2F"/>
    <w:rsid w:val="00741930"/>
    <w:rsid w:val="00743DC1"/>
    <w:rsid w:val="0074631C"/>
    <w:rsid w:val="007464DA"/>
    <w:rsid w:val="00746CD3"/>
    <w:rsid w:val="0074779F"/>
    <w:rsid w:val="00747BAB"/>
    <w:rsid w:val="00747E33"/>
    <w:rsid w:val="00747E76"/>
    <w:rsid w:val="00750991"/>
    <w:rsid w:val="00750A2F"/>
    <w:rsid w:val="007519C6"/>
    <w:rsid w:val="00751B56"/>
    <w:rsid w:val="00751E25"/>
    <w:rsid w:val="007526F1"/>
    <w:rsid w:val="00753174"/>
    <w:rsid w:val="00753635"/>
    <w:rsid w:val="00753AC3"/>
    <w:rsid w:val="00753EE7"/>
    <w:rsid w:val="007541B0"/>
    <w:rsid w:val="00754DAA"/>
    <w:rsid w:val="00755320"/>
    <w:rsid w:val="007554F7"/>
    <w:rsid w:val="0075554A"/>
    <w:rsid w:val="00757AAB"/>
    <w:rsid w:val="00760DF8"/>
    <w:rsid w:val="00760EC7"/>
    <w:rsid w:val="00761134"/>
    <w:rsid w:val="007614DB"/>
    <w:rsid w:val="007615AB"/>
    <w:rsid w:val="00761CA6"/>
    <w:rsid w:val="007626BF"/>
    <w:rsid w:val="00762856"/>
    <w:rsid w:val="00762CDD"/>
    <w:rsid w:val="00763F30"/>
    <w:rsid w:val="0076470B"/>
    <w:rsid w:val="00764A1E"/>
    <w:rsid w:val="00764C52"/>
    <w:rsid w:val="0076551E"/>
    <w:rsid w:val="00766BA4"/>
    <w:rsid w:val="007670C8"/>
    <w:rsid w:val="00767436"/>
    <w:rsid w:val="00767B4F"/>
    <w:rsid w:val="00770FFA"/>
    <w:rsid w:val="00771306"/>
    <w:rsid w:val="00771392"/>
    <w:rsid w:val="0077152A"/>
    <w:rsid w:val="0077243A"/>
    <w:rsid w:val="007727BB"/>
    <w:rsid w:val="00774AED"/>
    <w:rsid w:val="007752FA"/>
    <w:rsid w:val="00775BC9"/>
    <w:rsid w:val="00775C05"/>
    <w:rsid w:val="00776A37"/>
    <w:rsid w:val="00777E68"/>
    <w:rsid w:val="007803B1"/>
    <w:rsid w:val="007804E2"/>
    <w:rsid w:val="00781411"/>
    <w:rsid w:val="00781432"/>
    <w:rsid w:val="007823C3"/>
    <w:rsid w:val="00782AE9"/>
    <w:rsid w:val="00783486"/>
    <w:rsid w:val="00783728"/>
    <w:rsid w:val="007837A7"/>
    <w:rsid w:val="007838F0"/>
    <w:rsid w:val="00784215"/>
    <w:rsid w:val="0078442E"/>
    <w:rsid w:val="00784FB2"/>
    <w:rsid w:val="00785976"/>
    <w:rsid w:val="007861FC"/>
    <w:rsid w:val="00786DFF"/>
    <w:rsid w:val="00787780"/>
    <w:rsid w:val="00791AD7"/>
    <w:rsid w:val="00791C82"/>
    <w:rsid w:val="00793A07"/>
    <w:rsid w:val="00793BE7"/>
    <w:rsid w:val="007967F8"/>
    <w:rsid w:val="00797048"/>
    <w:rsid w:val="00797175"/>
    <w:rsid w:val="007A07C8"/>
    <w:rsid w:val="007A0F4C"/>
    <w:rsid w:val="007A0F6E"/>
    <w:rsid w:val="007A0FE5"/>
    <w:rsid w:val="007A1335"/>
    <w:rsid w:val="007A1865"/>
    <w:rsid w:val="007A2997"/>
    <w:rsid w:val="007A38EF"/>
    <w:rsid w:val="007A3D16"/>
    <w:rsid w:val="007A3E3D"/>
    <w:rsid w:val="007A3F30"/>
    <w:rsid w:val="007A3FA4"/>
    <w:rsid w:val="007A404B"/>
    <w:rsid w:val="007A49D2"/>
    <w:rsid w:val="007A5410"/>
    <w:rsid w:val="007A5894"/>
    <w:rsid w:val="007A5AD6"/>
    <w:rsid w:val="007B09C4"/>
    <w:rsid w:val="007B0BC8"/>
    <w:rsid w:val="007B0EC5"/>
    <w:rsid w:val="007B0FDF"/>
    <w:rsid w:val="007B1787"/>
    <w:rsid w:val="007B1852"/>
    <w:rsid w:val="007B2E19"/>
    <w:rsid w:val="007B4650"/>
    <w:rsid w:val="007B4D0B"/>
    <w:rsid w:val="007B68F3"/>
    <w:rsid w:val="007B737A"/>
    <w:rsid w:val="007C09F9"/>
    <w:rsid w:val="007C0C3F"/>
    <w:rsid w:val="007C0F63"/>
    <w:rsid w:val="007C1F98"/>
    <w:rsid w:val="007C1FFA"/>
    <w:rsid w:val="007C2386"/>
    <w:rsid w:val="007C270A"/>
    <w:rsid w:val="007C27B1"/>
    <w:rsid w:val="007C286E"/>
    <w:rsid w:val="007C4629"/>
    <w:rsid w:val="007C5354"/>
    <w:rsid w:val="007C5B5F"/>
    <w:rsid w:val="007C687D"/>
    <w:rsid w:val="007C78E7"/>
    <w:rsid w:val="007C7B9F"/>
    <w:rsid w:val="007D0247"/>
    <w:rsid w:val="007D02C3"/>
    <w:rsid w:val="007D0BC6"/>
    <w:rsid w:val="007D2882"/>
    <w:rsid w:val="007D28E2"/>
    <w:rsid w:val="007D392F"/>
    <w:rsid w:val="007D3C12"/>
    <w:rsid w:val="007D4C21"/>
    <w:rsid w:val="007D5683"/>
    <w:rsid w:val="007D686A"/>
    <w:rsid w:val="007D7E7E"/>
    <w:rsid w:val="007E04AF"/>
    <w:rsid w:val="007E0B23"/>
    <w:rsid w:val="007E1E2D"/>
    <w:rsid w:val="007E3466"/>
    <w:rsid w:val="007E4508"/>
    <w:rsid w:val="007E484B"/>
    <w:rsid w:val="007E6638"/>
    <w:rsid w:val="007E7119"/>
    <w:rsid w:val="007E78A7"/>
    <w:rsid w:val="007F04DF"/>
    <w:rsid w:val="007F0879"/>
    <w:rsid w:val="007F1E7D"/>
    <w:rsid w:val="007F31F7"/>
    <w:rsid w:val="007F3A23"/>
    <w:rsid w:val="007F486D"/>
    <w:rsid w:val="007F4E51"/>
    <w:rsid w:val="007F5568"/>
    <w:rsid w:val="007F5B7C"/>
    <w:rsid w:val="007F5C31"/>
    <w:rsid w:val="007F5C58"/>
    <w:rsid w:val="007F667C"/>
    <w:rsid w:val="007F725B"/>
    <w:rsid w:val="007F798B"/>
    <w:rsid w:val="008000E5"/>
    <w:rsid w:val="00800CB1"/>
    <w:rsid w:val="00800FA5"/>
    <w:rsid w:val="0080184B"/>
    <w:rsid w:val="008021AB"/>
    <w:rsid w:val="00802AE0"/>
    <w:rsid w:val="00803ADA"/>
    <w:rsid w:val="00805C9B"/>
    <w:rsid w:val="00806658"/>
    <w:rsid w:val="00806663"/>
    <w:rsid w:val="00806FD6"/>
    <w:rsid w:val="008076E2"/>
    <w:rsid w:val="00807897"/>
    <w:rsid w:val="00807C52"/>
    <w:rsid w:val="00810659"/>
    <w:rsid w:val="0081097E"/>
    <w:rsid w:val="00810D0E"/>
    <w:rsid w:val="00811B93"/>
    <w:rsid w:val="008123ED"/>
    <w:rsid w:val="00813E2D"/>
    <w:rsid w:val="00814DB8"/>
    <w:rsid w:val="00815197"/>
    <w:rsid w:val="0081587B"/>
    <w:rsid w:val="00816244"/>
    <w:rsid w:val="0081686B"/>
    <w:rsid w:val="00816A42"/>
    <w:rsid w:val="008171CD"/>
    <w:rsid w:val="0082001A"/>
    <w:rsid w:val="0082040D"/>
    <w:rsid w:val="0082051E"/>
    <w:rsid w:val="00820DC8"/>
    <w:rsid w:val="00822BD2"/>
    <w:rsid w:val="00824E3E"/>
    <w:rsid w:val="00825D02"/>
    <w:rsid w:val="00826004"/>
    <w:rsid w:val="00827497"/>
    <w:rsid w:val="008274FE"/>
    <w:rsid w:val="00830C3E"/>
    <w:rsid w:val="00831936"/>
    <w:rsid w:val="008338D0"/>
    <w:rsid w:val="00834B36"/>
    <w:rsid w:val="00835A50"/>
    <w:rsid w:val="00835C5B"/>
    <w:rsid w:val="00835ECC"/>
    <w:rsid w:val="00835EDB"/>
    <w:rsid w:val="00836B42"/>
    <w:rsid w:val="00840497"/>
    <w:rsid w:val="00840B7A"/>
    <w:rsid w:val="00841846"/>
    <w:rsid w:val="00841D6F"/>
    <w:rsid w:val="00843569"/>
    <w:rsid w:val="00843759"/>
    <w:rsid w:val="00843AF7"/>
    <w:rsid w:val="008443B6"/>
    <w:rsid w:val="00844B1D"/>
    <w:rsid w:val="00845664"/>
    <w:rsid w:val="00845AFB"/>
    <w:rsid w:val="00845E2B"/>
    <w:rsid w:val="00846E9D"/>
    <w:rsid w:val="00847A1C"/>
    <w:rsid w:val="00847A72"/>
    <w:rsid w:val="00847C98"/>
    <w:rsid w:val="00851CCD"/>
    <w:rsid w:val="008523C7"/>
    <w:rsid w:val="0085253A"/>
    <w:rsid w:val="008525B4"/>
    <w:rsid w:val="008527C7"/>
    <w:rsid w:val="00853414"/>
    <w:rsid w:val="00854155"/>
    <w:rsid w:val="00855F4B"/>
    <w:rsid w:val="00855F97"/>
    <w:rsid w:val="00856641"/>
    <w:rsid w:val="00857A86"/>
    <w:rsid w:val="00860197"/>
    <w:rsid w:val="008604B3"/>
    <w:rsid w:val="008608C2"/>
    <w:rsid w:val="00860EE8"/>
    <w:rsid w:val="008615FD"/>
    <w:rsid w:val="00862A2D"/>
    <w:rsid w:val="00862ACF"/>
    <w:rsid w:val="00862BDF"/>
    <w:rsid w:val="00864CBD"/>
    <w:rsid w:val="00864E5F"/>
    <w:rsid w:val="00865D28"/>
    <w:rsid w:val="00866D22"/>
    <w:rsid w:val="00866FE7"/>
    <w:rsid w:val="00867C1D"/>
    <w:rsid w:val="00867D99"/>
    <w:rsid w:val="008702BF"/>
    <w:rsid w:val="0087074B"/>
    <w:rsid w:val="00870764"/>
    <w:rsid w:val="00872013"/>
    <w:rsid w:val="008722A5"/>
    <w:rsid w:val="008725EF"/>
    <w:rsid w:val="00873DB7"/>
    <w:rsid w:val="0087435A"/>
    <w:rsid w:val="00874E99"/>
    <w:rsid w:val="00874FF5"/>
    <w:rsid w:val="00875121"/>
    <w:rsid w:val="00875B9A"/>
    <w:rsid w:val="00876329"/>
    <w:rsid w:val="00876F7F"/>
    <w:rsid w:val="008778FA"/>
    <w:rsid w:val="00881330"/>
    <w:rsid w:val="00882EB0"/>
    <w:rsid w:val="00882F7F"/>
    <w:rsid w:val="008833D9"/>
    <w:rsid w:val="00883B27"/>
    <w:rsid w:val="008848B0"/>
    <w:rsid w:val="008854C2"/>
    <w:rsid w:val="00885BBC"/>
    <w:rsid w:val="00887266"/>
    <w:rsid w:val="0088798C"/>
    <w:rsid w:val="0089025E"/>
    <w:rsid w:val="00891AC0"/>
    <w:rsid w:val="0089357F"/>
    <w:rsid w:val="0089359F"/>
    <w:rsid w:val="00893704"/>
    <w:rsid w:val="00894016"/>
    <w:rsid w:val="00894782"/>
    <w:rsid w:val="00895095"/>
    <w:rsid w:val="00895928"/>
    <w:rsid w:val="00895BB9"/>
    <w:rsid w:val="00895BD8"/>
    <w:rsid w:val="00895ECF"/>
    <w:rsid w:val="00897D51"/>
    <w:rsid w:val="008A08C3"/>
    <w:rsid w:val="008A134F"/>
    <w:rsid w:val="008A19EE"/>
    <w:rsid w:val="008A20F0"/>
    <w:rsid w:val="008A237E"/>
    <w:rsid w:val="008A2A87"/>
    <w:rsid w:val="008A2B1A"/>
    <w:rsid w:val="008A2D51"/>
    <w:rsid w:val="008A3FF1"/>
    <w:rsid w:val="008A4036"/>
    <w:rsid w:val="008A4BDE"/>
    <w:rsid w:val="008A62ED"/>
    <w:rsid w:val="008A667A"/>
    <w:rsid w:val="008A6CB4"/>
    <w:rsid w:val="008A6E74"/>
    <w:rsid w:val="008A7B42"/>
    <w:rsid w:val="008A7EA8"/>
    <w:rsid w:val="008A7EAE"/>
    <w:rsid w:val="008B08BC"/>
    <w:rsid w:val="008B0B5B"/>
    <w:rsid w:val="008B0F90"/>
    <w:rsid w:val="008B1618"/>
    <w:rsid w:val="008B19B2"/>
    <w:rsid w:val="008B26F5"/>
    <w:rsid w:val="008B2795"/>
    <w:rsid w:val="008B3C62"/>
    <w:rsid w:val="008B41DB"/>
    <w:rsid w:val="008B4FFB"/>
    <w:rsid w:val="008C0489"/>
    <w:rsid w:val="008C0C8A"/>
    <w:rsid w:val="008C0E5C"/>
    <w:rsid w:val="008C1DE0"/>
    <w:rsid w:val="008C22F1"/>
    <w:rsid w:val="008C23BC"/>
    <w:rsid w:val="008C2F51"/>
    <w:rsid w:val="008C3CF0"/>
    <w:rsid w:val="008C4AC9"/>
    <w:rsid w:val="008C5720"/>
    <w:rsid w:val="008C5726"/>
    <w:rsid w:val="008C628C"/>
    <w:rsid w:val="008C6B55"/>
    <w:rsid w:val="008D096C"/>
    <w:rsid w:val="008D1672"/>
    <w:rsid w:val="008D1783"/>
    <w:rsid w:val="008D1FA0"/>
    <w:rsid w:val="008D25FD"/>
    <w:rsid w:val="008D2901"/>
    <w:rsid w:val="008D365F"/>
    <w:rsid w:val="008D48E1"/>
    <w:rsid w:val="008D4BF8"/>
    <w:rsid w:val="008D4C1C"/>
    <w:rsid w:val="008D5067"/>
    <w:rsid w:val="008D68E4"/>
    <w:rsid w:val="008E099B"/>
    <w:rsid w:val="008E1D00"/>
    <w:rsid w:val="008E2A8F"/>
    <w:rsid w:val="008E2CCD"/>
    <w:rsid w:val="008E357D"/>
    <w:rsid w:val="008E3755"/>
    <w:rsid w:val="008E376D"/>
    <w:rsid w:val="008E533C"/>
    <w:rsid w:val="008E691F"/>
    <w:rsid w:val="008F1835"/>
    <w:rsid w:val="008F2039"/>
    <w:rsid w:val="008F26D7"/>
    <w:rsid w:val="008F2B9A"/>
    <w:rsid w:val="008F43EE"/>
    <w:rsid w:val="008F43FF"/>
    <w:rsid w:val="008F4719"/>
    <w:rsid w:val="008F489A"/>
    <w:rsid w:val="008F4F76"/>
    <w:rsid w:val="008F562A"/>
    <w:rsid w:val="008F6419"/>
    <w:rsid w:val="008F6422"/>
    <w:rsid w:val="008F656F"/>
    <w:rsid w:val="008F66F0"/>
    <w:rsid w:val="008F76D9"/>
    <w:rsid w:val="00900400"/>
    <w:rsid w:val="00900A5E"/>
    <w:rsid w:val="0090157C"/>
    <w:rsid w:val="0090165D"/>
    <w:rsid w:val="00901776"/>
    <w:rsid w:val="00901A3B"/>
    <w:rsid w:val="009022B0"/>
    <w:rsid w:val="009025CA"/>
    <w:rsid w:val="00902E2E"/>
    <w:rsid w:val="00902F83"/>
    <w:rsid w:val="009038F2"/>
    <w:rsid w:val="00903F00"/>
    <w:rsid w:val="0090483D"/>
    <w:rsid w:val="00907249"/>
    <w:rsid w:val="00907A70"/>
    <w:rsid w:val="009108E3"/>
    <w:rsid w:val="009112FF"/>
    <w:rsid w:val="00912781"/>
    <w:rsid w:val="0091378F"/>
    <w:rsid w:val="0091458D"/>
    <w:rsid w:val="00915118"/>
    <w:rsid w:val="00915B18"/>
    <w:rsid w:val="009163D4"/>
    <w:rsid w:val="00916B4F"/>
    <w:rsid w:val="00916E37"/>
    <w:rsid w:val="00917AD0"/>
    <w:rsid w:val="009204EE"/>
    <w:rsid w:val="00920553"/>
    <w:rsid w:val="0092215B"/>
    <w:rsid w:val="009232B2"/>
    <w:rsid w:val="00923B70"/>
    <w:rsid w:val="0092443F"/>
    <w:rsid w:val="009247A8"/>
    <w:rsid w:val="009268FB"/>
    <w:rsid w:val="009274DF"/>
    <w:rsid w:val="00927E8A"/>
    <w:rsid w:val="00927F95"/>
    <w:rsid w:val="009315EA"/>
    <w:rsid w:val="00931A3B"/>
    <w:rsid w:val="00935354"/>
    <w:rsid w:val="0093586A"/>
    <w:rsid w:val="00936B08"/>
    <w:rsid w:val="00936DBB"/>
    <w:rsid w:val="009370C2"/>
    <w:rsid w:val="009371AF"/>
    <w:rsid w:val="009404D5"/>
    <w:rsid w:val="00942289"/>
    <w:rsid w:val="00942C15"/>
    <w:rsid w:val="00943BE9"/>
    <w:rsid w:val="00943DD8"/>
    <w:rsid w:val="00943EA2"/>
    <w:rsid w:val="00943F11"/>
    <w:rsid w:val="0094420C"/>
    <w:rsid w:val="00944ED8"/>
    <w:rsid w:val="00947142"/>
    <w:rsid w:val="009474F0"/>
    <w:rsid w:val="009509B1"/>
    <w:rsid w:val="00952C35"/>
    <w:rsid w:val="0095303D"/>
    <w:rsid w:val="00953292"/>
    <w:rsid w:val="00953828"/>
    <w:rsid w:val="0095406A"/>
    <w:rsid w:val="009548CC"/>
    <w:rsid w:val="00955661"/>
    <w:rsid w:val="009556B1"/>
    <w:rsid w:val="009558A2"/>
    <w:rsid w:val="00957298"/>
    <w:rsid w:val="00957400"/>
    <w:rsid w:val="009576C4"/>
    <w:rsid w:val="009604A4"/>
    <w:rsid w:val="00960C17"/>
    <w:rsid w:val="00961396"/>
    <w:rsid w:val="00961552"/>
    <w:rsid w:val="009616EB"/>
    <w:rsid w:val="00961B4E"/>
    <w:rsid w:val="00961FBA"/>
    <w:rsid w:val="00963B3C"/>
    <w:rsid w:val="00964ABD"/>
    <w:rsid w:val="0096603D"/>
    <w:rsid w:val="00966E16"/>
    <w:rsid w:val="00967CF0"/>
    <w:rsid w:val="009702FD"/>
    <w:rsid w:val="009703BF"/>
    <w:rsid w:val="009711A5"/>
    <w:rsid w:val="00971718"/>
    <w:rsid w:val="00971C21"/>
    <w:rsid w:val="009721E3"/>
    <w:rsid w:val="0097233D"/>
    <w:rsid w:val="0097316C"/>
    <w:rsid w:val="0097326F"/>
    <w:rsid w:val="00973E73"/>
    <w:rsid w:val="00976F3B"/>
    <w:rsid w:val="00976F4F"/>
    <w:rsid w:val="00977183"/>
    <w:rsid w:val="00982624"/>
    <w:rsid w:val="00982BD0"/>
    <w:rsid w:val="00983299"/>
    <w:rsid w:val="00983329"/>
    <w:rsid w:val="0098427E"/>
    <w:rsid w:val="009848DD"/>
    <w:rsid w:val="00985A9F"/>
    <w:rsid w:val="00986EC8"/>
    <w:rsid w:val="009874C4"/>
    <w:rsid w:val="00987903"/>
    <w:rsid w:val="00990E97"/>
    <w:rsid w:val="0099133A"/>
    <w:rsid w:val="009914D1"/>
    <w:rsid w:val="00994607"/>
    <w:rsid w:val="009953E1"/>
    <w:rsid w:val="009957CD"/>
    <w:rsid w:val="0099693B"/>
    <w:rsid w:val="00997DD9"/>
    <w:rsid w:val="009A02C1"/>
    <w:rsid w:val="009A0920"/>
    <w:rsid w:val="009A1DA6"/>
    <w:rsid w:val="009A204F"/>
    <w:rsid w:val="009A29BC"/>
    <w:rsid w:val="009A2F2B"/>
    <w:rsid w:val="009A4615"/>
    <w:rsid w:val="009A49E9"/>
    <w:rsid w:val="009A53C0"/>
    <w:rsid w:val="009A6713"/>
    <w:rsid w:val="009A7204"/>
    <w:rsid w:val="009B0434"/>
    <w:rsid w:val="009B0CFC"/>
    <w:rsid w:val="009B1649"/>
    <w:rsid w:val="009B25E6"/>
    <w:rsid w:val="009B2D42"/>
    <w:rsid w:val="009B466F"/>
    <w:rsid w:val="009B4787"/>
    <w:rsid w:val="009B4DBA"/>
    <w:rsid w:val="009B50B4"/>
    <w:rsid w:val="009B5244"/>
    <w:rsid w:val="009B5C42"/>
    <w:rsid w:val="009B6E78"/>
    <w:rsid w:val="009C0491"/>
    <w:rsid w:val="009C13B2"/>
    <w:rsid w:val="009C2717"/>
    <w:rsid w:val="009C29DB"/>
    <w:rsid w:val="009C2D6D"/>
    <w:rsid w:val="009C3379"/>
    <w:rsid w:val="009C34BC"/>
    <w:rsid w:val="009C4153"/>
    <w:rsid w:val="009C4EB1"/>
    <w:rsid w:val="009C506C"/>
    <w:rsid w:val="009C67F6"/>
    <w:rsid w:val="009C6BE0"/>
    <w:rsid w:val="009C6E1A"/>
    <w:rsid w:val="009C74FF"/>
    <w:rsid w:val="009C763C"/>
    <w:rsid w:val="009D0174"/>
    <w:rsid w:val="009D07C7"/>
    <w:rsid w:val="009D12CB"/>
    <w:rsid w:val="009D143A"/>
    <w:rsid w:val="009D2F59"/>
    <w:rsid w:val="009D30D7"/>
    <w:rsid w:val="009D371D"/>
    <w:rsid w:val="009D420A"/>
    <w:rsid w:val="009D5445"/>
    <w:rsid w:val="009D59FD"/>
    <w:rsid w:val="009D643D"/>
    <w:rsid w:val="009D7C77"/>
    <w:rsid w:val="009E08F3"/>
    <w:rsid w:val="009E0B83"/>
    <w:rsid w:val="009E2952"/>
    <w:rsid w:val="009E324C"/>
    <w:rsid w:val="009E332A"/>
    <w:rsid w:val="009E3A54"/>
    <w:rsid w:val="009E4294"/>
    <w:rsid w:val="009E5130"/>
    <w:rsid w:val="009E521C"/>
    <w:rsid w:val="009E576B"/>
    <w:rsid w:val="009E5895"/>
    <w:rsid w:val="009E61B8"/>
    <w:rsid w:val="009E68FD"/>
    <w:rsid w:val="009E6D78"/>
    <w:rsid w:val="009F02A3"/>
    <w:rsid w:val="009F033E"/>
    <w:rsid w:val="009F08A3"/>
    <w:rsid w:val="009F09CC"/>
    <w:rsid w:val="009F0AFD"/>
    <w:rsid w:val="009F2958"/>
    <w:rsid w:val="009F2CA9"/>
    <w:rsid w:val="009F3990"/>
    <w:rsid w:val="009F3F7D"/>
    <w:rsid w:val="009F4176"/>
    <w:rsid w:val="009F49EC"/>
    <w:rsid w:val="009F7EBE"/>
    <w:rsid w:val="00A00858"/>
    <w:rsid w:val="00A00C55"/>
    <w:rsid w:val="00A01241"/>
    <w:rsid w:val="00A013FA"/>
    <w:rsid w:val="00A017AE"/>
    <w:rsid w:val="00A03702"/>
    <w:rsid w:val="00A0445F"/>
    <w:rsid w:val="00A05546"/>
    <w:rsid w:val="00A058A9"/>
    <w:rsid w:val="00A05BCA"/>
    <w:rsid w:val="00A06727"/>
    <w:rsid w:val="00A06ACF"/>
    <w:rsid w:val="00A105CA"/>
    <w:rsid w:val="00A10FE2"/>
    <w:rsid w:val="00A113F9"/>
    <w:rsid w:val="00A124D9"/>
    <w:rsid w:val="00A12BE9"/>
    <w:rsid w:val="00A12E78"/>
    <w:rsid w:val="00A13765"/>
    <w:rsid w:val="00A137E6"/>
    <w:rsid w:val="00A13B83"/>
    <w:rsid w:val="00A13C4D"/>
    <w:rsid w:val="00A14820"/>
    <w:rsid w:val="00A14D57"/>
    <w:rsid w:val="00A1571B"/>
    <w:rsid w:val="00A15E1E"/>
    <w:rsid w:val="00A16B77"/>
    <w:rsid w:val="00A16C0B"/>
    <w:rsid w:val="00A17D46"/>
    <w:rsid w:val="00A20417"/>
    <w:rsid w:val="00A2109D"/>
    <w:rsid w:val="00A21D92"/>
    <w:rsid w:val="00A223C9"/>
    <w:rsid w:val="00A22816"/>
    <w:rsid w:val="00A23037"/>
    <w:rsid w:val="00A239D2"/>
    <w:rsid w:val="00A24667"/>
    <w:rsid w:val="00A24F9C"/>
    <w:rsid w:val="00A25686"/>
    <w:rsid w:val="00A25AB2"/>
    <w:rsid w:val="00A25BD8"/>
    <w:rsid w:val="00A26295"/>
    <w:rsid w:val="00A26B59"/>
    <w:rsid w:val="00A26C61"/>
    <w:rsid w:val="00A27207"/>
    <w:rsid w:val="00A277EB"/>
    <w:rsid w:val="00A27908"/>
    <w:rsid w:val="00A3007E"/>
    <w:rsid w:val="00A306A8"/>
    <w:rsid w:val="00A312B8"/>
    <w:rsid w:val="00A3238A"/>
    <w:rsid w:val="00A3249D"/>
    <w:rsid w:val="00A325D2"/>
    <w:rsid w:val="00A326EC"/>
    <w:rsid w:val="00A33CF6"/>
    <w:rsid w:val="00A34333"/>
    <w:rsid w:val="00A34AB2"/>
    <w:rsid w:val="00A3503E"/>
    <w:rsid w:val="00A35113"/>
    <w:rsid w:val="00A358E0"/>
    <w:rsid w:val="00A35CE0"/>
    <w:rsid w:val="00A3641B"/>
    <w:rsid w:val="00A36C17"/>
    <w:rsid w:val="00A3735A"/>
    <w:rsid w:val="00A40910"/>
    <w:rsid w:val="00A40DD3"/>
    <w:rsid w:val="00A40FFD"/>
    <w:rsid w:val="00A410BF"/>
    <w:rsid w:val="00A4147F"/>
    <w:rsid w:val="00A41E3D"/>
    <w:rsid w:val="00A41FFE"/>
    <w:rsid w:val="00A42868"/>
    <w:rsid w:val="00A432D1"/>
    <w:rsid w:val="00A46706"/>
    <w:rsid w:val="00A467DD"/>
    <w:rsid w:val="00A508F3"/>
    <w:rsid w:val="00A5094D"/>
    <w:rsid w:val="00A517F5"/>
    <w:rsid w:val="00A51834"/>
    <w:rsid w:val="00A519D2"/>
    <w:rsid w:val="00A53D82"/>
    <w:rsid w:val="00A56BEF"/>
    <w:rsid w:val="00A60E59"/>
    <w:rsid w:val="00A621D0"/>
    <w:rsid w:val="00A630EB"/>
    <w:rsid w:val="00A6327E"/>
    <w:rsid w:val="00A6346A"/>
    <w:rsid w:val="00A63661"/>
    <w:rsid w:val="00A63B1E"/>
    <w:rsid w:val="00A64EF7"/>
    <w:rsid w:val="00A651B5"/>
    <w:rsid w:val="00A65D29"/>
    <w:rsid w:val="00A664B2"/>
    <w:rsid w:val="00A66A80"/>
    <w:rsid w:val="00A66DF5"/>
    <w:rsid w:val="00A6744C"/>
    <w:rsid w:val="00A677CC"/>
    <w:rsid w:val="00A67815"/>
    <w:rsid w:val="00A70B51"/>
    <w:rsid w:val="00A71B59"/>
    <w:rsid w:val="00A71DBC"/>
    <w:rsid w:val="00A7270E"/>
    <w:rsid w:val="00A7292C"/>
    <w:rsid w:val="00A73445"/>
    <w:rsid w:val="00A73756"/>
    <w:rsid w:val="00A73BF5"/>
    <w:rsid w:val="00A744E9"/>
    <w:rsid w:val="00A74AAD"/>
    <w:rsid w:val="00A74E30"/>
    <w:rsid w:val="00A76D03"/>
    <w:rsid w:val="00A778A8"/>
    <w:rsid w:val="00A80BF2"/>
    <w:rsid w:val="00A80ECC"/>
    <w:rsid w:val="00A81157"/>
    <w:rsid w:val="00A814C6"/>
    <w:rsid w:val="00A819AF"/>
    <w:rsid w:val="00A825D1"/>
    <w:rsid w:val="00A82619"/>
    <w:rsid w:val="00A82B6C"/>
    <w:rsid w:val="00A834C8"/>
    <w:rsid w:val="00A84331"/>
    <w:rsid w:val="00A84353"/>
    <w:rsid w:val="00A84D52"/>
    <w:rsid w:val="00A84E05"/>
    <w:rsid w:val="00A8571C"/>
    <w:rsid w:val="00A86E25"/>
    <w:rsid w:val="00A86EF2"/>
    <w:rsid w:val="00A8709A"/>
    <w:rsid w:val="00A90AEA"/>
    <w:rsid w:val="00A91010"/>
    <w:rsid w:val="00A91477"/>
    <w:rsid w:val="00A91CFB"/>
    <w:rsid w:val="00A92C4C"/>
    <w:rsid w:val="00A93540"/>
    <w:rsid w:val="00A9544D"/>
    <w:rsid w:val="00A96311"/>
    <w:rsid w:val="00A96EB0"/>
    <w:rsid w:val="00A97005"/>
    <w:rsid w:val="00A97351"/>
    <w:rsid w:val="00A9763F"/>
    <w:rsid w:val="00A978ED"/>
    <w:rsid w:val="00AA040B"/>
    <w:rsid w:val="00AA0416"/>
    <w:rsid w:val="00AA2E75"/>
    <w:rsid w:val="00AA35A2"/>
    <w:rsid w:val="00AA3EE1"/>
    <w:rsid w:val="00AA5FC8"/>
    <w:rsid w:val="00AA6D17"/>
    <w:rsid w:val="00AB078D"/>
    <w:rsid w:val="00AB0E42"/>
    <w:rsid w:val="00AB11C5"/>
    <w:rsid w:val="00AB1271"/>
    <w:rsid w:val="00AB1410"/>
    <w:rsid w:val="00AB2C05"/>
    <w:rsid w:val="00AB3C54"/>
    <w:rsid w:val="00AB4503"/>
    <w:rsid w:val="00AB60C0"/>
    <w:rsid w:val="00AB66A1"/>
    <w:rsid w:val="00AB68EB"/>
    <w:rsid w:val="00AB7288"/>
    <w:rsid w:val="00AC0215"/>
    <w:rsid w:val="00AC2024"/>
    <w:rsid w:val="00AC289D"/>
    <w:rsid w:val="00AC2DFC"/>
    <w:rsid w:val="00AC30CE"/>
    <w:rsid w:val="00AC3C40"/>
    <w:rsid w:val="00AC5B93"/>
    <w:rsid w:val="00AC5FDF"/>
    <w:rsid w:val="00AC6CFA"/>
    <w:rsid w:val="00AC6D61"/>
    <w:rsid w:val="00AC71E8"/>
    <w:rsid w:val="00AC72CE"/>
    <w:rsid w:val="00AC7D9C"/>
    <w:rsid w:val="00AC7DE2"/>
    <w:rsid w:val="00AD0178"/>
    <w:rsid w:val="00AD04CD"/>
    <w:rsid w:val="00AD0B3C"/>
    <w:rsid w:val="00AD0EF4"/>
    <w:rsid w:val="00AD143D"/>
    <w:rsid w:val="00AD1F41"/>
    <w:rsid w:val="00AD3B2F"/>
    <w:rsid w:val="00AD3E8B"/>
    <w:rsid w:val="00AD3F10"/>
    <w:rsid w:val="00AD4CA4"/>
    <w:rsid w:val="00AD5388"/>
    <w:rsid w:val="00AD57BB"/>
    <w:rsid w:val="00AD5CED"/>
    <w:rsid w:val="00AD7034"/>
    <w:rsid w:val="00AE2B5C"/>
    <w:rsid w:val="00AE2FB3"/>
    <w:rsid w:val="00AE3264"/>
    <w:rsid w:val="00AE39C4"/>
    <w:rsid w:val="00AE3A84"/>
    <w:rsid w:val="00AE55C7"/>
    <w:rsid w:val="00AF0612"/>
    <w:rsid w:val="00AF1415"/>
    <w:rsid w:val="00AF1642"/>
    <w:rsid w:val="00AF2685"/>
    <w:rsid w:val="00AF447D"/>
    <w:rsid w:val="00AF5C16"/>
    <w:rsid w:val="00AF6AB6"/>
    <w:rsid w:val="00AF7004"/>
    <w:rsid w:val="00AF76A5"/>
    <w:rsid w:val="00AF7C7A"/>
    <w:rsid w:val="00AF7DFE"/>
    <w:rsid w:val="00B0067C"/>
    <w:rsid w:val="00B00A19"/>
    <w:rsid w:val="00B01479"/>
    <w:rsid w:val="00B0270B"/>
    <w:rsid w:val="00B030D9"/>
    <w:rsid w:val="00B04338"/>
    <w:rsid w:val="00B04AC5"/>
    <w:rsid w:val="00B061F5"/>
    <w:rsid w:val="00B068F5"/>
    <w:rsid w:val="00B0699D"/>
    <w:rsid w:val="00B079AE"/>
    <w:rsid w:val="00B07BDC"/>
    <w:rsid w:val="00B10094"/>
    <w:rsid w:val="00B10348"/>
    <w:rsid w:val="00B10721"/>
    <w:rsid w:val="00B10AF2"/>
    <w:rsid w:val="00B10B09"/>
    <w:rsid w:val="00B11FD8"/>
    <w:rsid w:val="00B124C3"/>
    <w:rsid w:val="00B12B54"/>
    <w:rsid w:val="00B16DFE"/>
    <w:rsid w:val="00B178BB"/>
    <w:rsid w:val="00B17BA9"/>
    <w:rsid w:val="00B203FD"/>
    <w:rsid w:val="00B20439"/>
    <w:rsid w:val="00B20EC5"/>
    <w:rsid w:val="00B21512"/>
    <w:rsid w:val="00B21913"/>
    <w:rsid w:val="00B21A02"/>
    <w:rsid w:val="00B22062"/>
    <w:rsid w:val="00B22236"/>
    <w:rsid w:val="00B231F4"/>
    <w:rsid w:val="00B239C1"/>
    <w:rsid w:val="00B24558"/>
    <w:rsid w:val="00B24E07"/>
    <w:rsid w:val="00B25400"/>
    <w:rsid w:val="00B254BB"/>
    <w:rsid w:val="00B25D5F"/>
    <w:rsid w:val="00B25FCE"/>
    <w:rsid w:val="00B26772"/>
    <w:rsid w:val="00B26D3F"/>
    <w:rsid w:val="00B272C6"/>
    <w:rsid w:val="00B27377"/>
    <w:rsid w:val="00B27862"/>
    <w:rsid w:val="00B310B2"/>
    <w:rsid w:val="00B312DA"/>
    <w:rsid w:val="00B316DB"/>
    <w:rsid w:val="00B31B2E"/>
    <w:rsid w:val="00B32F7B"/>
    <w:rsid w:val="00B33BBD"/>
    <w:rsid w:val="00B3615E"/>
    <w:rsid w:val="00B36650"/>
    <w:rsid w:val="00B36656"/>
    <w:rsid w:val="00B36736"/>
    <w:rsid w:val="00B40DEE"/>
    <w:rsid w:val="00B43640"/>
    <w:rsid w:val="00B43B40"/>
    <w:rsid w:val="00B43E9B"/>
    <w:rsid w:val="00B450C6"/>
    <w:rsid w:val="00B45BF9"/>
    <w:rsid w:val="00B46125"/>
    <w:rsid w:val="00B464E2"/>
    <w:rsid w:val="00B46875"/>
    <w:rsid w:val="00B4688C"/>
    <w:rsid w:val="00B468A2"/>
    <w:rsid w:val="00B4693D"/>
    <w:rsid w:val="00B46CC4"/>
    <w:rsid w:val="00B46F20"/>
    <w:rsid w:val="00B479B2"/>
    <w:rsid w:val="00B479B9"/>
    <w:rsid w:val="00B47A72"/>
    <w:rsid w:val="00B51851"/>
    <w:rsid w:val="00B51DAF"/>
    <w:rsid w:val="00B52928"/>
    <w:rsid w:val="00B52932"/>
    <w:rsid w:val="00B53FAA"/>
    <w:rsid w:val="00B542BF"/>
    <w:rsid w:val="00B55177"/>
    <w:rsid w:val="00B55514"/>
    <w:rsid w:val="00B559A2"/>
    <w:rsid w:val="00B55C62"/>
    <w:rsid w:val="00B5633C"/>
    <w:rsid w:val="00B57181"/>
    <w:rsid w:val="00B578D2"/>
    <w:rsid w:val="00B60B0C"/>
    <w:rsid w:val="00B60D4A"/>
    <w:rsid w:val="00B61872"/>
    <w:rsid w:val="00B62FC5"/>
    <w:rsid w:val="00B644D8"/>
    <w:rsid w:val="00B646D2"/>
    <w:rsid w:val="00B64D06"/>
    <w:rsid w:val="00B6588D"/>
    <w:rsid w:val="00B6617E"/>
    <w:rsid w:val="00B6663C"/>
    <w:rsid w:val="00B6713C"/>
    <w:rsid w:val="00B67418"/>
    <w:rsid w:val="00B67B22"/>
    <w:rsid w:val="00B67DAB"/>
    <w:rsid w:val="00B72374"/>
    <w:rsid w:val="00B73557"/>
    <w:rsid w:val="00B735ED"/>
    <w:rsid w:val="00B7374B"/>
    <w:rsid w:val="00B73C4A"/>
    <w:rsid w:val="00B75F99"/>
    <w:rsid w:val="00B7734D"/>
    <w:rsid w:val="00B7748A"/>
    <w:rsid w:val="00B77B0D"/>
    <w:rsid w:val="00B80316"/>
    <w:rsid w:val="00B805D6"/>
    <w:rsid w:val="00B81536"/>
    <w:rsid w:val="00B8247D"/>
    <w:rsid w:val="00B836D9"/>
    <w:rsid w:val="00B83BB3"/>
    <w:rsid w:val="00B83BFF"/>
    <w:rsid w:val="00B83CDC"/>
    <w:rsid w:val="00B84069"/>
    <w:rsid w:val="00B8447F"/>
    <w:rsid w:val="00B85C02"/>
    <w:rsid w:val="00B85EF6"/>
    <w:rsid w:val="00B8713F"/>
    <w:rsid w:val="00B8769D"/>
    <w:rsid w:val="00B90248"/>
    <w:rsid w:val="00B9024E"/>
    <w:rsid w:val="00B905A1"/>
    <w:rsid w:val="00B914B7"/>
    <w:rsid w:val="00B91A18"/>
    <w:rsid w:val="00B938EB"/>
    <w:rsid w:val="00B95B93"/>
    <w:rsid w:val="00B970B9"/>
    <w:rsid w:val="00B97B37"/>
    <w:rsid w:val="00BA16C6"/>
    <w:rsid w:val="00BA25DC"/>
    <w:rsid w:val="00BA2CC6"/>
    <w:rsid w:val="00BA3906"/>
    <w:rsid w:val="00BA39CD"/>
    <w:rsid w:val="00BA3F71"/>
    <w:rsid w:val="00BA4073"/>
    <w:rsid w:val="00BA41E8"/>
    <w:rsid w:val="00BA5012"/>
    <w:rsid w:val="00BA648D"/>
    <w:rsid w:val="00BA65D2"/>
    <w:rsid w:val="00BA6D10"/>
    <w:rsid w:val="00BA6E20"/>
    <w:rsid w:val="00BA7C02"/>
    <w:rsid w:val="00BB00F6"/>
    <w:rsid w:val="00BB03E6"/>
    <w:rsid w:val="00BB0EF3"/>
    <w:rsid w:val="00BB2534"/>
    <w:rsid w:val="00BB262C"/>
    <w:rsid w:val="00BB2A7D"/>
    <w:rsid w:val="00BB2FE4"/>
    <w:rsid w:val="00BB339D"/>
    <w:rsid w:val="00BB382B"/>
    <w:rsid w:val="00BB3C9C"/>
    <w:rsid w:val="00BB3CD0"/>
    <w:rsid w:val="00BB476F"/>
    <w:rsid w:val="00BB5851"/>
    <w:rsid w:val="00BB5EC8"/>
    <w:rsid w:val="00BB641D"/>
    <w:rsid w:val="00BB6526"/>
    <w:rsid w:val="00BC02FB"/>
    <w:rsid w:val="00BC11A0"/>
    <w:rsid w:val="00BC187A"/>
    <w:rsid w:val="00BC20CA"/>
    <w:rsid w:val="00BC2336"/>
    <w:rsid w:val="00BC3845"/>
    <w:rsid w:val="00BC3C68"/>
    <w:rsid w:val="00BC5615"/>
    <w:rsid w:val="00BC691F"/>
    <w:rsid w:val="00BC6F43"/>
    <w:rsid w:val="00BC7AC4"/>
    <w:rsid w:val="00BC7C45"/>
    <w:rsid w:val="00BD0948"/>
    <w:rsid w:val="00BD205D"/>
    <w:rsid w:val="00BD24C1"/>
    <w:rsid w:val="00BD26B4"/>
    <w:rsid w:val="00BD3AC8"/>
    <w:rsid w:val="00BD43A0"/>
    <w:rsid w:val="00BD4BDF"/>
    <w:rsid w:val="00BD4C9C"/>
    <w:rsid w:val="00BD4DF6"/>
    <w:rsid w:val="00BD4EF8"/>
    <w:rsid w:val="00BD57F7"/>
    <w:rsid w:val="00BD6D69"/>
    <w:rsid w:val="00BD79BE"/>
    <w:rsid w:val="00BD7CBE"/>
    <w:rsid w:val="00BE03A7"/>
    <w:rsid w:val="00BE1659"/>
    <w:rsid w:val="00BE16EC"/>
    <w:rsid w:val="00BE1A95"/>
    <w:rsid w:val="00BE2BF8"/>
    <w:rsid w:val="00BE3043"/>
    <w:rsid w:val="00BE3081"/>
    <w:rsid w:val="00BE3546"/>
    <w:rsid w:val="00BE3F9B"/>
    <w:rsid w:val="00BE4A6B"/>
    <w:rsid w:val="00BE4B19"/>
    <w:rsid w:val="00BE587D"/>
    <w:rsid w:val="00BE5D24"/>
    <w:rsid w:val="00BE65D5"/>
    <w:rsid w:val="00BE7366"/>
    <w:rsid w:val="00BE7653"/>
    <w:rsid w:val="00BF1030"/>
    <w:rsid w:val="00BF12F8"/>
    <w:rsid w:val="00BF135D"/>
    <w:rsid w:val="00BF1E84"/>
    <w:rsid w:val="00BF20D2"/>
    <w:rsid w:val="00BF243D"/>
    <w:rsid w:val="00BF2795"/>
    <w:rsid w:val="00BF3420"/>
    <w:rsid w:val="00BF55DB"/>
    <w:rsid w:val="00BF56B0"/>
    <w:rsid w:val="00BF58FE"/>
    <w:rsid w:val="00BF7520"/>
    <w:rsid w:val="00BF7747"/>
    <w:rsid w:val="00BF79A6"/>
    <w:rsid w:val="00BF7F67"/>
    <w:rsid w:val="00C00339"/>
    <w:rsid w:val="00C003A0"/>
    <w:rsid w:val="00C02F81"/>
    <w:rsid w:val="00C0344B"/>
    <w:rsid w:val="00C040CF"/>
    <w:rsid w:val="00C04F17"/>
    <w:rsid w:val="00C05039"/>
    <w:rsid w:val="00C068B5"/>
    <w:rsid w:val="00C06BFF"/>
    <w:rsid w:val="00C10CFD"/>
    <w:rsid w:val="00C1139E"/>
    <w:rsid w:val="00C11B0C"/>
    <w:rsid w:val="00C14355"/>
    <w:rsid w:val="00C16AB6"/>
    <w:rsid w:val="00C176BA"/>
    <w:rsid w:val="00C17BA3"/>
    <w:rsid w:val="00C17CB7"/>
    <w:rsid w:val="00C20613"/>
    <w:rsid w:val="00C21034"/>
    <w:rsid w:val="00C21264"/>
    <w:rsid w:val="00C21D08"/>
    <w:rsid w:val="00C21EFE"/>
    <w:rsid w:val="00C2274E"/>
    <w:rsid w:val="00C2277B"/>
    <w:rsid w:val="00C2312B"/>
    <w:rsid w:val="00C23272"/>
    <w:rsid w:val="00C234A9"/>
    <w:rsid w:val="00C237FF"/>
    <w:rsid w:val="00C23F78"/>
    <w:rsid w:val="00C24394"/>
    <w:rsid w:val="00C24407"/>
    <w:rsid w:val="00C24790"/>
    <w:rsid w:val="00C24959"/>
    <w:rsid w:val="00C24BE2"/>
    <w:rsid w:val="00C251ED"/>
    <w:rsid w:val="00C256D2"/>
    <w:rsid w:val="00C265DA"/>
    <w:rsid w:val="00C27E3F"/>
    <w:rsid w:val="00C306BF"/>
    <w:rsid w:val="00C31A7B"/>
    <w:rsid w:val="00C32DEB"/>
    <w:rsid w:val="00C32F91"/>
    <w:rsid w:val="00C33E99"/>
    <w:rsid w:val="00C343AB"/>
    <w:rsid w:val="00C34464"/>
    <w:rsid w:val="00C35225"/>
    <w:rsid w:val="00C35A46"/>
    <w:rsid w:val="00C35CEF"/>
    <w:rsid w:val="00C3603C"/>
    <w:rsid w:val="00C375C4"/>
    <w:rsid w:val="00C406BE"/>
    <w:rsid w:val="00C40A87"/>
    <w:rsid w:val="00C40B9D"/>
    <w:rsid w:val="00C41E46"/>
    <w:rsid w:val="00C426A4"/>
    <w:rsid w:val="00C443F3"/>
    <w:rsid w:val="00C44841"/>
    <w:rsid w:val="00C44A27"/>
    <w:rsid w:val="00C44C34"/>
    <w:rsid w:val="00C4508E"/>
    <w:rsid w:val="00C47688"/>
    <w:rsid w:val="00C50FC0"/>
    <w:rsid w:val="00C51A48"/>
    <w:rsid w:val="00C52401"/>
    <w:rsid w:val="00C541A1"/>
    <w:rsid w:val="00C54B80"/>
    <w:rsid w:val="00C54CDF"/>
    <w:rsid w:val="00C54F6F"/>
    <w:rsid w:val="00C55339"/>
    <w:rsid w:val="00C5618E"/>
    <w:rsid w:val="00C608F4"/>
    <w:rsid w:val="00C60B0F"/>
    <w:rsid w:val="00C610CA"/>
    <w:rsid w:val="00C62692"/>
    <w:rsid w:val="00C629DA"/>
    <w:rsid w:val="00C62A14"/>
    <w:rsid w:val="00C62E12"/>
    <w:rsid w:val="00C62F1B"/>
    <w:rsid w:val="00C644A9"/>
    <w:rsid w:val="00C64FEC"/>
    <w:rsid w:val="00C65A88"/>
    <w:rsid w:val="00C65F19"/>
    <w:rsid w:val="00C66185"/>
    <w:rsid w:val="00C665DE"/>
    <w:rsid w:val="00C66A89"/>
    <w:rsid w:val="00C66C71"/>
    <w:rsid w:val="00C66E79"/>
    <w:rsid w:val="00C671FE"/>
    <w:rsid w:val="00C702F4"/>
    <w:rsid w:val="00C718B4"/>
    <w:rsid w:val="00C71911"/>
    <w:rsid w:val="00C71ABA"/>
    <w:rsid w:val="00C725BA"/>
    <w:rsid w:val="00C740E2"/>
    <w:rsid w:val="00C75ADA"/>
    <w:rsid w:val="00C75CC2"/>
    <w:rsid w:val="00C7615A"/>
    <w:rsid w:val="00C762E8"/>
    <w:rsid w:val="00C76484"/>
    <w:rsid w:val="00C769FE"/>
    <w:rsid w:val="00C77DE2"/>
    <w:rsid w:val="00C8003F"/>
    <w:rsid w:val="00C8091D"/>
    <w:rsid w:val="00C809AB"/>
    <w:rsid w:val="00C81AEF"/>
    <w:rsid w:val="00C81BBA"/>
    <w:rsid w:val="00C8269F"/>
    <w:rsid w:val="00C83B60"/>
    <w:rsid w:val="00C84D3D"/>
    <w:rsid w:val="00C853A1"/>
    <w:rsid w:val="00C85440"/>
    <w:rsid w:val="00C85FB1"/>
    <w:rsid w:val="00C8686B"/>
    <w:rsid w:val="00C86F11"/>
    <w:rsid w:val="00C878F6"/>
    <w:rsid w:val="00C87E09"/>
    <w:rsid w:val="00C87EE6"/>
    <w:rsid w:val="00C9341E"/>
    <w:rsid w:val="00C93F13"/>
    <w:rsid w:val="00C95AB7"/>
    <w:rsid w:val="00C97A3B"/>
    <w:rsid w:val="00CA030E"/>
    <w:rsid w:val="00CA1779"/>
    <w:rsid w:val="00CA27E4"/>
    <w:rsid w:val="00CA3822"/>
    <w:rsid w:val="00CA541E"/>
    <w:rsid w:val="00CA59C9"/>
    <w:rsid w:val="00CA5E5F"/>
    <w:rsid w:val="00CA5F16"/>
    <w:rsid w:val="00CA66F1"/>
    <w:rsid w:val="00CA7BED"/>
    <w:rsid w:val="00CA7CBC"/>
    <w:rsid w:val="00CB2C03"/>
    <w:rsid w:val="00CB3D7D"/>
    <w:rsid w:val="00CB41FF"/>
    <w:rsid w:val="00CB4299"/>
    <w:rsid w:val="00CB4740"/>
    <w:rsid w:val="00CB47B5"/>
    <w:rsid w:val="00CB48CB"/>
    <w:rsid w:val="00CB6DC6"/>
    <w:rsid w:val="00CB7713"/>
    <w:rsid w:val="00CC01F6"/>
    <w:rsid w:val="00CC0D5D"/>
    <w:rsid w:val="00CC3870"/>
    <w:rsid w:val="00CC38BD"/>
    <w:rsid w:val="00CC3B6E"/>
    <w:rsid w:val="00CC41C9"/>
    <w:rsid w:val="00CC4854"/>
    <w:rsid w:val="00CC4A14"/>
    <w:rsid w:val="00CC5B93"/>
    <w:rsid w:val="00CC5C48"/>
    <w:rsid w:val="00CC5DDE"/>
    <w:rsid w:val="00CC5F9A"/>
    <w:rsid w:val="00CC67A3"/>
    <w:rsid w:val="00CD0511"/>
    <w:rsid w:val="00CD0C5C"/>
    <w:rsid w:val="00CD11CB"/>
    <w:rsid w:val="00CD1DBD"/>
    <w:rsid w:val="00CD2242"/>
    <w:rsid w:val="00CD2D92"/>
    <w:rsid w:val="00CD309A"/>
    <w:rsid w:val="00CD35D9"/>
    <w:rsid w:val="00CD5BB3"/>
    <w:rsid w:val="00CD6009"/>
    <w:rsid w:val="00CD72AF"/>
    <w:rsid w:val="00CE0752"/>
    <w:rsid w:val="00CE0E37"/>
    <w:rsid w:val="00CE0E8F"/>
    <w:rsid w:val="00CE2114"/>
    <w:rsid w:val="00CE2705"/>
    <w:rsid w:val="00CE299C"/>
    <w:rsid w:val="00CE29E6"/>
    <w:rsid w:val="00CE2CB1"/>
    <w:rsid w:val="00CE30B3"/>
    <w:rsid w:val="00CE41F0"/>
    <w:rsid w:val="00CE6284"/>
    <w:rsid w:val="00CE6E16"/>
    <w:rsid w:val="00CF036E"/>
    <w:rsid w:val="00CF0B7B"/>
    <w:rsid w:val="00CF12B6"/>
    <w:rsid w:val="00CF1574"/>
    <w:rsid w:val="00CF194B"/>
    <w:rsid w:val="00CF27E9"/>
    <w:rsid w:val="00CF34D8"/>
    <w:rsid w:val="00CF40BD"/>
    <w:rsid w:val="00CF5087"/>
    <w:rsid w:val="00CF5D7E"/>
    <w:rsid w:val="00CF6697"/>
    <w:rsid w:val="00CF72BB"/>
    <w:rsid w:val="00CF7E11"/>
    <w:rsid w:val="00D0022F"/>
    <w:rsid w:val="00D00A6D"/>
    <w:rsid w:val="00D021DF"/>
    <w:rsid w:val="00D0254B"/>
    <w:rsid w:val="00D03ACD"/>
    <w:rsid w:val="00D056DB"/>
    <w:rsid w:val="00D06CFE"/>
    <w:rsid w:val="00D1002B"/>
    <w:rsid w:val="00D101ED"/>
    <w:rsid w:val="00D105E5"/>
    <w:rsid w:val="00D10DDD"/>
    <w:rsid w:val="00D1122E"/>
    <w:rsid w:val="00D128EB"/>
    <w:rsid w:val="00D12A33"/>
    <w:rsid w:val="00D13F74"/>
    <w:rsid w:val="00D1526A"/>
    <w:rsid w:val="00D166BA"/>
    <w:rsid w:val="00D16A5E"/>
    <w:rsid w:val="00D16A5F"/>
    <w:rsid w:val="00D17C54"/>
    <w:rsid w:val="00D21AF9"/>
    <w:rsid w:val="00D21DAF"/>
    <w:rsid w:val="00D2208D"/>
    <w:rsid w:val="00D2288B"/>
    <w:rsid w:val="00D2288E"/>
    <w:rsid w:val="00D25CE8"/>
    <w:rsid w:val="00D25E00"/>
    <w:rsid w:val="00D26458"/>
    <w:rsid w:val="00D26D90"/>
    <w:rsid w:val="00D270D9"/>
    <w:rsid w:val="00D276A4"/>
    <w:rsid w:val="00D2790A"/>
    <w:rsid w:val="00D30D41"/>
    <w:rsid w:val="00D30D61"/>
    <w:rsid w:val="00D32082"/>
    <w:rsid w:val="00D33386"/>
    <w:rsid w:val="00D33C86"/>
    <w:rsid w:val="00D34B0A"/>
    <w:rsid w:val="00D350FF"/>
    <w:rsid w:val="00D35446"/>
    <w:rsid w:val="00D3767B"/>
    <w:rsid w:val="00D41145"/>
    <w:rsid w:val="00D41BE4"/>
    <w:rsid w:val="00D421C8"/>
    <w:rsid w:val="00D424D8"/>
    <w:rsid w:val="00D42867"/>
    <w:rsid w:val="00D441E1"/>
    <w:rsid w:val="00D44427"/>
    <w:rsid w:val="00D44B14"/>
    <w:rsid w:val="00D45E1E"/>
    <w:rsid w:val="00D4605E"/>
    <w:rsid w:val="00D4613A"/>
    <w:rsid w:val="00D46270"/>
    <w:rsid w:val="00D468DA"/>
    <w:rsid w:val="00D47244"/>
    <w:rsid w:val="00D47587"/>
    <w:rsid w:val="00D47AA3"/>
    <w:rsid w:val="00D47CC7"/>
    <w:rsid w:val="00D508A8"/>
    <w:rsid w:val="00D51523"/>
    <w:rsid w:val="00D51A63"/>
    <w:rsid w:val="00D52E12"/>
    <w:rsid w:val="00D52E47"/>
    <w:rsid w:val="00D52E8D"/>
    <w:rsid w:val="00D53718"/>
    <w:rsid w:val="00D5372E"/>
    <w:rsid w:val="00D53B19"/>
    <w:rsid w:val="00D54011"/>
    <w:rsid w:val="00D54B5B"/>
    <w:rsid w:val="00D55580"/>
    <w:rsid w:val="00D55941"/>
    <w:rsid w:val="00D55B87"/>
    <w:rsid w:val="00D5756E"/>
    <w:rsid w:val="00D601FF"/>
    <w:rsid w:val="00D6040F"/>
    <w:rsid w:val="00D61082"/>
    <w:rsid w:val="00D62256"/>
    <w:rsid w:val="00D63A8D"/>
    <w:rsid w:val="00D66266"/>
    <w:rsid w:val="00D67360"/>
    <w:rsid w:val="00D70B63"/>
    <w:rsid w:val="00D71936"/>
    <w:rsid w:val="00D7204E"/>
    <w:rsid w:val="00D720E7"/>
    <w:rsid w:val="00D727AF"/>
    <w:rsid w:val="00D72B7F"/>
    <w:rsid w:val="00D73052"/>
    <w:rsid w:val="00D733A8"/>
    <w:rsid w:val="00D7397E"/>
    <w:rsid w:val="00D73D63"/>
    <w:rsid w:val="00D74514"/>
    <w:rsid w:val="00D747ED"/>
    <w:rsid w:val="00D75FFE"/>
    <w:rsid w:val="00D76AA3"/>
    <w:rsid w:val="00D76BB1"/>
    <w:rsid w:val="00D77461"/>
    <w:rsid w:val="00D77BA3"/>
    <w:rsid w:val="00D80385"/>
    <w:rsid w:val="00D809AA"/>
    <w:rsid w:val="00D80CD3"/>
    <w:rsid w:val="00D82431"/>
    <w:rsid w:val="00D853C3"/>
    <w:rsid w:val="00D86A28"/>
    <w:rsid w:val="00D87587"/>
    <w:rsid w:val="00D903B8"/>
    <w:rsid w:val="00D90658"/>
    <w:rsid w:val="00D90891"/>
    <w:rsid w:val="00D91AD8"/>
    <w:rsid w:val="00D92CB5"/>
    <w:rsid w:val="00D92CD9"/>
    <w:rsid w:val="00D92DE4"/>
    <w:rsid w:val="00D9385B"/>
    <w:rsid w:val="00D93B20"/>
    <w:rsid w:val="00D94759"/>
    <w:rsid w:val="00D94EAF"/>
    <w:rsid w:val="00D973EA"/>
    <w:rsid w:val="00D97694"/>
    <w:rsid w:val="00D979BD"/>
    <w:rsid w:val="00DA0A8C"/>
    <w:rsid w:val="00DA1E93"/>
    <w:rsid w:val="00DA48DB"/>
    <w:rsid w:val="00DA4BB1"/>
    <w:rsid w:val="00DB01CC"/>
    <w:rsid w:val="00DB0E96"/>
    <w:rsid w:val="00DB17C4"/>
    <w:rsid w:val="00DB189F"/>
    <w:rsid w:val="00DB2F52"/>
    <w:rsid w:val="00DB30CC"/>
    <w:rsid w:val="00DB358F"/>
    <w:rsid w:val="00DB3C45"/>
    <w:rsid w:val="00DB51D8"/>
    <w:rsid w:val="00DB52A0"/>
    <w:rsid w:val="00DB6E55"/>
    <w:rsid w:val="00DB7340"/>
    <w:rsid w:val="00DB7376"/>
    <w:rsid w:val="00DB73B0"/>
    <w:rsid w:val="00DC02BB"/>
    <w:rsid w:val="00DC066F"/>
    <w:rsid w:val="00DC0AB7"/>
    <w:rsid w:val="00DC16C1"/>
    <w:rsid w:val="00DC2396"/>
    <w:rsid w:val="00DC2642"/>
    <w:rsid w:val="00DC2A76"/>
    <w:rsid w:val="00DC2E7F"/>
    <w:rsid w:val="00DC3052"/>
    <w:rsid w:val="00DC312D"/>
    <w:rsid w:val="00DC6771"/>
    <w:rsid w:val="00DC6F5C"/>
    <w:rsid w:val="00DC702C"/>
    <w:rsid w:val="00DC768F"/>
    <w:rsid w:val="00DC7DF0"/>
    <w:rsid w:val="00DD022D"/>
    <w:rsid w:val="00DD0ABF"/>
    <w:rsid w:val="00DD0C69"/>
    <w:rsid w:val="00DD1123"/>
    <w:rsid w:val="00DD1535"/>
    <w:rsid w:val="00DD20CF"/>
    <w:rsid w:val="00DD3150"/>
    <w:rsid w:val="00DD43F2"/>
    <w:rsid w:val="00DD4879"/>
    <w:rsid w:val="00DD4BD6"/>
    <w:rsid w:val="00DD641B"/>
    <w:rsid w:val="00DD68C5"/>
    <w:rsid w:val="00DD775E"/>
    <w:rsid w:val="00DD7E67"/>
    <w:rsid w:val="00DE1063"/>
    <w:rsid w:val="00DE10B4"/>
    <w:rsid w:val="00DE1946"/>
    <w:rsid w:val="00DE1F1D"/>
    <w:rsid w:val="00DE2DE0"/>
    <w:rsid w:val="00DE4756"/>
    <w:rsid w:val="00DE4A19"/>
    <w:rsid w:val="00DE6264"/>
    <w:rsid w:val="00DE63F4"/>
    <w:rsid w:val="00DE6F2F"/>
    <w:rsid w:val="00DE7281"/>
    <w:rsid w:val="00DE7B65"/>
    <w:rsid w:val="00DF022C"/>
    <w:rsid w:val="00DF05D9"/>
    <w:rsid w:val="00DF0BC5"/>
    <w:rsid w:val="00DF14F4"/>
    <w:rsid w:val="00DF2702"/>
    <w:rsid w:val="00DF2EC2"/>
    <w:rsid w:val="00DF2F64"/>
    <w:rsid w:val="00DF3389"/>
    <w:rsid w:val="00DF3715"/>
    <w:rsid w:val="00DF3BF9"/>
    <w:rsid w:val="00DF4542"/>
    <w:rsid w:val="00DF4B03"/>
    <w:rsid w:val="00DF6216"/>
    <w:rsid w:val="00DF626D"/>
    <w:rsid w:val="00DF659F"/>
    <w:rsid w:val="00DF6D3E"/>
    <w:rsid w:val="00DF72A2"/>
    <w:rsid w:val="00DF7A52"/>
    <w:rsid w:val="00E00DBF"/>
    <w:rsid w:val="00E01744"/>
    <w:rsid w:val="00E01981"/>
    <w:rsid w:val="00E02778"/>
    <w:rsid w:val="00E03910"/>
    <w:rsid w:val="00E03DCF"/>
    <w:rsid w:val="00E04960"/>
    <w:rsid w:val="00E05106"/>
    <w:rsid w:val="00E052EB"/>
    <w:rsid w:val="00E064B7"/>
    <w:rsid w:val="00E07467"/>
    <w:rsid w:val="00E07BDC"/>
    <w:rsid w:val="00E10119"/>
    <w:rsid w:val="00E10CDA"/>
    <w:rsid w:val="00E115C8"/>
    <w:rsid w:val="00E12924"/>
    <w:rsid w:val="00E12B1B"/>
    <w:rsid w:val="00E12DDC"/>
    <w:rsid w:val="00E13EB7"/>
    <w:rsid w:val="00E14021"/>
    <w:rsid w:val="00E157D8"/>
    <w:rsid w:val="00E16492"/>
    <w:rsid w:val="00E16904"/>
    <w:rsid w:val="00E178D7"/>
    <w:rsid w:val="00E203E1"/>
    <w:rsid w:val="00E20CE9"/>
    <w:rsid w:val="00E2192F"/>
    <w:rsid w:val="00E21B3C"/>
    <w:rsid w:val="00E21F00"/>
    <w:rsid w:val="00E227EF"/>
    <w:rsid w:val="00E228B8"/>
    <w:rsid w:val="00E23EE7"/>
    <w:rsid w:val="00E243DD"/>
    <w:rsid w:val="00E2458B"/>
    <w:rsid w:val="00E249D8"/>
    <w:rsid w:val="00E24BC1"/>
    <w:rsid w:val="00E25399"/>
    <w:rsid w:val="00E27AEB"/>
    <w:rsid w:val="00E27B35"/>
    <w:rsid w:val="00E27CA4"/>
    <w:rsid w:val="00E32743"/>
    <w:rsid w:val="00E32E67"/>
    <w:rsid w:val="00E33123"/>
    <w:rsid w:val="00E33B9B"/>
    <w:rsid w:val="00E33EA6"/>
    <w:rsid w:val="00E35D39"/>
    <w:rsid w:val="00E367A6"/>
    <w:rsid w:val="00E367B6"/>
    <w:rsid w:val="00E3683E"/>
    <w:rsid w:val="00E3685E"/>
    <w:rsid w:val="00E37108"/>
    <w:rsid w:val="00E37A0D"/>
    <w:rsid w:val="00E40054"/>
    <w:rsid w:val="00E41868"/>
    <w:rsid w:val="00E419A6"/>
    <w:rsid w:val="00E41BCD"/>
    <w:rsid w:val="00E428C3"/>
    <w:rsid w:val="00E42C06"/>
    <w:rsid w:val="00E44691"/>
    <w:rsid w:val="00E4473B"/>
    <w:rsid w:val="00E44A42"/>
    <w:rsid w:val="00E451B4"/>
    <w:rsid w:val="00E456D4"/>
    <w:rsid w:val="00E466B7"/>
    <w:rsid w:val="00E46F3F"/>
    <w:rsid w:val="00E47288"/>
    <w:rsid w:val="00E47564"/>
    <w:rsid w:val="00E5049B"/>
    <w:rsid w:val="00E50969"/>
    <w:rsid w:val="00E515ED"/>
    <w:rsid w:val="00E524FE"/>
    <w:rsid w:val="00E54759"/>
    <w:rsid w:val="00E54795"/>
    <w:rsid w:val="00E552A3"/>
    <w:rsid w:val="00E5593A"/>
    <w:rsid w:val="00E55FB6"/>
    <w:rsid w:val="00E577D9"/>
    <w:rsid w:val="00E602CC"/>
    <w:rsid w:val="00E607A2"/>
    <w:rsid w:val="00E6145F"/>
    <w:rsid w:val="00E615D7"/>
    <w:rsid w:val="00E63E18"/>
    <w:rsid w:val="00E647E3"/>
    <w:rsid w:val="00E64C52"/>
    <w:rsid w:val="00E65655"/>
    <w:rsid w:val="00E65B44"/>
    <w:rsid w:val="00E66610"/>
    <w:rsid w:val="00E66A5D"/>
    <w:rsid w:val="00E70A7E"/>
    <w:rsid w:val="00E716B9"/>
    <w:rsid w:val="00E72534"/>
    <w:rsid w:val="00E7286C"/>
    <w:rsid w:val="00E72BCB"/>
    <w:rsid w:val="00E72F19"/>
    <w:rsid w:val="00E73176"/>
    <w:rsid w:val="00E7324A"/>
    <w:rsid w:val="00E763A1"/>
    <w:rsid w:val="00E76C0A"/>
    <w:rsid w:val="00E76E47"/>
    <w:rsid w:val="00E772E7"/>
    <w:rsid w:val="00E77C5D"/>
    <w:rsid w:val="00E81A76"/>
    <w:rsid w:val="00E82583"/>
    <w:rsid w:val="00E83244"/>
    <w:rsid w:val="00E8388F"/>
    <w:rsid w:val="00E843B2"/>
    <w:rsid w:val="00E84984"/>
    <w:rsid w:val="00E86AEE"/>
    <w:rsid w:val="00E87D09"/>
    <w:rsid w:val="00E90015"/>
    <w:rsid w:val="00E903F9"/>
    <w:rsid w:val="00E91EB2"/>
    <w:rsid w:val="00E92417"/>
    <w:rsid w:val="00E92F99"/>
    <w:rsid w:val="00E95BE3"/>
    <w:rsid w:val="00E96ECD"/>
    <w:rsid w:val="00E9709E"/>
    <w:rsid w:val="00E97C45"/>
    <w:rsid w:val="00EA1829"/>
    <w:rsid w:val="00EA1A02"/>
    <w:rsid w:val="00EA1AA5"/>
    <w:rsid w:val="00EA370A"/>
    <w:rsid w:val="00EA453E"/>
    <w:rsid w:val="00EA4EC0"/>
    <w:rsid w:val="00EA4FD2"/>
    <w:rsid w:val="00EA58AD"/>
    <w:rsid w:val="00EA591D"/>
    <w:rsid w:val="00EA67CB"/>
    <w:rsid w:val="00EA68DB"/>
    <w:rsid w:val="00EA699D"/>
    <w:rsid w:val="00EA7A25"/>
    <w:rsid w:val="00EB069B"/>
    <w:rsid w:val="00EB097E"/>
    <w:rsid w:val="00EB28EE"/>
    <w:rsid w:val="00EB3053"/>
    <w:rsid w:val="00EB389D"/>
    <w:rsid w:val="00EB390B"/>
    <w:rsid w:val="00EB3960"/>
    <w:rsid w:val="00EB4099"/>
    <w:rsid w:val="00EB46FD"/>
    <w:rsid w:val="00EB4A01"/>
    <w:rsid w:val="00EB4B47"/>
    <w:rsid w:val="00EB4DEC"/>
    <w:rsid w:val="00EB5151"/>
    <w:rsid w:val="00EB5555"/>
    <w:rsid w:val="00EB557F"/>
    <w:rsid w:val="00EB605F"/>
    <w:rsid w:val="00EB6398"/>
    <w:rsid w:val="00EB6578"/>
    <w:rsid w:val="00EB6D61"/>
    <w:rsid w:val="00EB70F0"/>
    <w:rsid w:val="00EB713D"/>
    <w:rsid w:val="00EB73BD"/>
    <w:rsid w:val="00EB7A14"/>
    <w:rsid w:val="00EB7B2D"/>
    <w:rsid w:val="00EC1592"/>
    <w:rsid w:val="00EC2A4C"/>
    <w:rsid w:val="00EC2D28"/>
    <w:rsid w:val="00EC37B1"/>
    <w:rsid w:val="00EC4B69"/>
    <w:rsid w:val="00EC5C82"/>
    <w:rsid w:val="00EC60A1"/>
    <w:rsid w:val="00EC64C5"/>
    <w:rsid w:val="00EC7D2E"/>
    <w:rsid w:val="00ED1E3C"/>
    <w:rsid w:val="00ED28DB"/>
    <w:rsid w:val="00ED3E06"/>
    <w:rsid w:val="00ED45EC"/>
    <w:rsid w:val="00ED4849"/>
    <w:rsid w:val="00ED5D4F"/>
    <w:rsid w:val="00EE0020"/>
    <w:rsid w:val="00EE16BE"/>
    <w:rsid w:val="00EE2266"/>
    <w:rsid w:val="00EE2564"/>
    <w:rsid w:val="00EE269E"/>
    <w:rsid w:val="00EE3669"/>
    <w:rsid w:val="00EE3B0E"/>
    <w:rsid w:val="00EE59D8"/>
    <w:rsid w:val="00EE5F7D"/>
    <w:rsid w:val="00EE5FD2"/>
    <w:rsid w:val="00EE67ED"/>
    <w:rsid w:val="00EE74BF"/>
    <w:rsid w:val="00EF0746"/>
    <w:rsid w:val="00EF07DE"/>
    <w:rsid w:val="00EF0F9D"/>
    <w:rsid w:val="00EF136B"/>
    <w:rsid w:val="00EF1486"/>
    <w:rsid w:val="00EF171C"/>
    <w:rsid w:val="00EF1DC5"/>
    <w:rsid w:val="00EF23E8"/>
    <w:rsid w:val="00EF3B3E"/>
    <w:rsid w:val="00EF4534"/>
    <w:rsid w:val="00EF4B63"/>
    <w:rsid w:val="00EF5B41"/>
    <w:rsid w:val="00EF63FE"/>
    <w:rsid w:val="00EF653C"/>
    <w:rsid w:val="00F005A3"/>
    <w:rsid w:val="00F01B33"/>
    <w:rsid w:val="00F028BB"/>
    <w:rsid w:val="00F0325A"/>
    <w:rsid w:val="00F0369B"/>
    <w:rsid w:val="00F04096"/>
    <w:rsid w:val="00F04AAC"/>
    <w:rsid w:val="00F04CBC"/>
    <w:rsid w:val="00F04E26"/>
    <w:rsid w:val="00F10307"/>
    <w:rsid w:val="00F10D9E"/>
    <w:rsid w:val="00F11A27"/>
    <w:rsid w:val="00F11D7F"/>
    <w:rsid w:val="00F11FA0"/>
    <w:rsid w:val="00F12725"/>
    <w:rsid w:val="00F12AC4"/>
    <w:rsid w:val="00F12BD9"/>
    <w:rsid w:val="00F1309B"/>
    <w:rsid w:val="00F1318F"/>
    <w:rsid w:val="00F13453"/>
    <w:rsid w:val="00F13A12"/>
    <w:rsid w:val="00F13FF4"/>
    <w:rsid w:val="00F148AB"/>
    <w:rsid w:val="00F151D0"/>
    <w:rsid w:val="00F1523B"/>
    <w:rsid w:val="00F15863"/>
    <w:rsid w:val="00F16A83"/>
    <w:rsid w:val="00F17356"/>
    <w:rsid w:val="00F175DB"/>
    <w:rsid w:val="00F178B4"/>
    <w:rsid w:val="00F17907"/>
    <w:rsid w:val="00F17D87"/>
    <w:rsid w:val="00F20457"/>
    <w:rsid w:val="00F204CD"/>
    <w:rsid w:val="00F20E9D"/>
    <w:rsid w:val="00F22E44"/>
    <w:rsid w:val="00F25727"/>
    <w:rsid w:val="00F25F4B"/>
    <w:rsid w:val="00F26B93"/>
    <w:rsid w:val="00F30272"/>
    <w:rsid w:val="00F31FE3"/>
    <w:rsid w:val="00F324AF"/>
    <w:rsid w:val="00F32D78"/>
    <w:rsid w:val="00F332B1"/>
    <w:rsid w:val="00F33742"/>
    <w:rsid w:val="00F3416D"/>
    <w:rsid w:val="00F35920"/>
    <w:rsid w:val="00F35F8D"/>
    <w:rsid w:val="00F377CF"/>
    <w:rsid w:val="00F423E7"/>
    <w:rsid w:val="00F435DD"/>
    <w:rsid w:val="00F4443F"/>
    <w:rsid w:val="00F461D4"/>
    <w:rsid w:val="00F46F02"/>
    <w:rsid w:val="00F471CF"/>
    <w:rsid w:val="00F50D7E"/>
    <w:rsid w:val="00F51412"/>
    <w:rsid w:val="00F516C9"/>
    <w:rsid w:val="00F51C6D"/>
    <w:rsid w:val="00F51CB8"/>
    <w:rsid w:val="00F51D7E"/>
    <w:rsid w:val="00F51FBD"/>
    <w:rsid w:val="00F5238C"/>
    <w:rsid w:val="00F523C6"/>
    <w:rsid w:val="00F53FE9"/>
    <w:rsid w:val="00F541A1"/>
    <w:rsid w:val="00F54DF4"/>
    <w:rsid w:val="00F550DD"/>
    <w:rsid w:val="00F55B34"/>
    <w:rsid w:val="00F571F6"/>
    <w:rsid w:val="00F6008E"/>
    <w:rsid w:val="00F6040D"/>
    <w:rsid w:val="00F634DA"/>
    <w:rsid w:val="00F6358F"/>
    <w:rsid w:val="00F64212"/>
    <w:rsid w:val="00F66E62"/>
    <w:rsid w:val="00F704D3"/>
    <w:rsid w:val="00F70663"/>
    <w:rsid w:val="00F70C6A"/>
    <w:rsid w:val="00F71B2C"/>
    <w:rsid w:val="00F72565"/>
    <w:rsid w:val="00F730AF"/>
    <w:rsid w:val="00F73F1A"/>
    <w:rsid w:val="00F74DE0"/>
    <w:rsid w:val="00F75087"/>
    <w:rsid w:val="00F75FAA"/>
    <w:rsid w:val="00F7673A"/>
    <w:rsid w:val="00F76791"/>
    <w:rsid w:val="00F7726D"/>
    <w:rsid w:val="00F77498"/>
    <w:rsid w:val="00F77890"/>
    <w:rsid w:val="00F8038F"/>
    <w:rsid w:val="00F81055"/>
    <w:rsid w:val="00F81D75"/>
    <w:rsid w:val="00F823B3"/>
    <w:rsid w:val="00F83CA6"/>
    <w:rsid w:val="00F8450B"/>
    <w:rsid w:val="00F85CF3"/>
    <w:rsid w:val="00F86584"/>
    <w:rsid w:val="00F869C1"/>
    <w:rsid w:val="00F86D4E"/>
    <w:rsid w:val="00F879BE"/>
    <w:rsid w:val="00F9062D"/>
    <w:rsid w:val="00F91419"/>
    <w:rsid w:val="00F91A65"/>
    <w:rsid w:val="00F91D95"/>
    <w:rsid w:val="00F9248A"/>
    <w:rsid w:val="00F931BB"/>
    <w:rsid w:val="00F967CF"/>
    <w:rsid w:val="00F96894"/>
    <w:rsid w:val="00F96CCC"/>
    <w:rsid w:val="00F96D6D"/>
    <w:rsid w:val="00F97BA7"/>
    <w:rsid w:val="00F97D7D"/>
    <w:rsid w:val="00F97DB5"/>
    <w:rsid w:val="00FA10FF"/>
    <w:rsid w:val="00FA158B"/>
    <w:rsid w:val="00FA34F5"/>
    <w:rsid w:val="00FA370C"/>
    <w:rsid w:val="00FA41F2"/>
    <w:rsid w:val="00FA492B"/>
    <w:rsid w:val="00FA5F01"/>
    <w:rsid w:val="00FA6F80"/>
    <w:rsid w:val="00FB0251"/>
    <w:rsid w:val="00FB051E"/>
    <w:rsid w:val="00FB11A3"/>
    <w:rsid w:val="00FB131F"/>
    <w:rsid w:val="00FB1B4C"/>
    <w:rsid w:val="00FB201F"/>
    <w:rsid w:val="00FB3A27"/>
    <w:rsid w:val="00FB3EE8"/>
    <w:rsid w:val="00FB419D"/>
    <w:rsid w:val="00FB5770"/>
    <w:rsid w:val="00FB5F0F"/>
    <w:rsid w:val="00FB62CF"/>
    <w:rsid w:val="00FB7E12"/>
    <w:rsid w:val="00FC0551"/>
    <w:rsid w:val="00FC27BF"/>
    <w:rsid w:val="00FC2853"/>
    <w:rsid w:val="00FC32E3"/>
    <w:rsid w:val="00FC3E17"/>
    <w:rsid w:val="00FC40AE"/>
    <w:rsid w:val="00FC534C"/>
    <w:rsid w:val="00FC56D5"/>
    <w:rsid w:val="00FC6988"/>
    <w:rsid w:val="00FC6A8F"/>
    <w:rsid w:val="00FC6FED"/>
    <w:rsid w:val="00FC7369"/>
    <w:rsid w:val="00FC78CD"/>
    <w:rsid w:val="00FC7998"/>
    <w:rsid w:val="00FD0831"/>
    <w:rsid w:val="00FD08EF"/>
    <w:rsid w:val="00FD1640"/>
    <w:rsid w:val="00FD58B0"/>
    <w:rsid w:val="00FD6A94"/>
    <w:rsid w:val="00FD761E"/>
    <w:rsid w:val="00FD76F2"/>
    <w:rsid w:val="00FE0B16"/>
    <w:rsid w:val="00FE1814"/>
    <w:rsid w:val="00FE1B02"/>
    <w:rsid w:val="00FE23F7"/>
    <w:rsid w:val="00FE2F1E"/>
    <w:rsid w:val="00FE3D58"/>
    <w:rsid w:val="00FE433C"/>
    <w:rsid w:val="00FE5A9B"/>
    <w:rsid w:val="00FE5D23"/>
    <w:rsid w:val="00FE646B"/>
    <w:rsid w:val="00FE64FB"/>
    <w:rsid w:val="00FE654C"/>
    <w:rsid w:val="00FE7BD9"/>
    <w:rsid w:val="00FE7C38"/>
    <w:rsid w:val="00FF1294"/>
    <w:rsid w:val="00FF1669"/>
    <w:rsid w:val="00FF1DB9"/>
    <w:rsid w:val="00FF2178"/>
    <w:rsid w:val="00FF254D"/>
    <w:rsid w:val="00FF35E1"/>
    <w:rsid w:val="00FF56A3"/>
    <w:rsid w:val="00FF5E8D"/>
    <w:rsid w:val="00FF6019"/>
    <w:rsid w:val="00FF7879"/>
    <w:rsid w:val="05384D91"/>
    <w:rsid w:val="06FF7E69"/>
    <w:rsid w:val="097BB0B3"/>
    <w:rsid w:val="0AFE6029"/>
    <w:rsid w:val="0AFFBD21"/>
    <w:rsid w:val="0B6A90F9"/>
    <w:rsid w:val="0B9AC566"/>
    <w:rsid w:val="0BBA54EB"/>
    <w:rsid w:val="0E7FD9A9"/>
    <w:rsid w:val="0F1F1264"/>
    <w:rsid w:val="0F9243BD"/>
    <w:rsid w:val="0FD6F813"/>
    <w:rsid w:val="0FEEBD91"/>
    <w:rsid w:val="0FF70817"/>
    <w:rsid w:val="127B4FB5"/>
    <w:rsid w:val="135B7C0A"/>
    <w:rsid w:val="13FE55BA"/>
    <w:rsid w:val="15DD58DE"/>
    <w:rsid w:val="15EFB8E4"/>
    <w:rsid w:val="15EFDFF6"/>
    <w:rsid w:val="167F906F"/>
    <w:rsid w:val="16FEBD42"/>
    <w:rsid w:val="16FF34E8"/>
    <w:rsid w:val="17CF4487"/>
    <w:rsid w:val="17EBA315"/>
    <w:rsid w:val="17F71D97"/>
    <w:rsid w:val="17F7346E"/>
    <w:rsid w:val="17FE7F41"/>
    <w:rsid w:val="17FF2A7F"/>
    <w:rsid w:val="17FF9050"/>
    <w:rsid w:val="18DAC3D3"/>
    <w:rsid w:val="19FCB987"/>
    <w:rsid w:val="1A4F6E83"/>
    <w:rsid w:val="1ABF41B4"/>
    <w:rsid w:val="1B272C3D"/>
    <w:rsid w:val="1B77497B"/>
    <w:rsid w:val="1BCCA5A7"/>
    <w:rsid w:val="1BD54BDD"/>
    <w:rsid w:val="1BFBD76A"/>
    <w:rsid w:val="1D6F597D"/>
    <w:rsid w:val="1DDFF798"/>
    <w:rsid w:val="1DFFFB67"/>
    <w:rsid w:val="1EAF7313"/>
    <w:rsid w:val="1EBFAC3C"/>
    <w:rsid w:val="1EE166AD"/>
    <w:rsid w:val="1EEB6F0B"/>
    <w:rsid w:val="1EF9CFD5"/>
    <w:rsid w:val="1F6FFEE0"/>
    <w:rsid w:val="1F7B5235"/>
    <w:rsid w:val="1F7FDB85"/>
    <w:rsid w:val="1F9C50FF"/>
    <w:rsid w:val="1FAE8393"/>
    <w:rsid w:val="1FB8CCEE"/>
    <w:rsid w:val="1FDDAA95"/>
    <w:rsid w:val="1FEF002A"/>
    <w:rsid w:val="1FEF1829"/>
    <w:rsid w:val="1FF7778E"/>
    <w:rsid w:val="1FFA4B4C"/>
    <w:rsid w:val="1FFEB58A"/>
    <w:rsid w:val="1FFF9E0D"/>
    <w:rsid w:val="1FFFEAED"/>
    <w:rsid w:val="20790BEB"/>
    <w:rsid w:val="217F4A6A"/>
    <w:rsid w:val="23D6FE1C"/>
    <w:rsid w:val="23EEFDC3"/>
    <w:rsid w:val="26A74FCB"/>
    <w:rsid w:val="26F42254"/>
    <w:rsid w:val="279F298E"/>
    <w:rsid w:val="27B64980"/>
    <w:rsid w:val="27B9852C"/>
    <w:rsid w:val="27DD0C72"/>
    <w:rsid w:val="29F30528"/>
    <w:rsid w:val="2A3D7BA5"/>
    <w:rsid w:val="2AEFDEB2"/>
    <w:rsid w:val="2AFAB483"/>
    <w:rsid w:val="2B9314C3"/>
    <w:rsid w:val="2BFF7349"/>
    <w:rsid w:val="2BFFC131"/>
    <w:rsid w:val="2CBE14A4"/>
    <w:rsid w:val="2D25CA57"/>
    <w:rsid w:val="2D743AE0"/>
    <w:rsid w:val="2D7CEE1E"/>
    <w:rsid w:val="2D7F16C9"/>
    <w:rsid w:val="2DB642AC"/>
    <w:rsid w:val="2DFB62C6"/>
    <w:rsid w:val="2DFF0EE2"/>
    <w:rsid w:val="2E3EE4E5"/>
    <w:rsid w:val="2E3EFDC3"/>
    <w:rsid w:val="2EF34B44"/>
    <w:rsid w:val="2F231D35"/>
    <w:rsid w:val="2F3D992B"/>
    <w:rsid w:val="2F7F116D"/>
    <w:rsid w:val="2F9FEFE6"/>
    <w:rsid w:val="2FAD1FC6"/>
    <w:rsid w:val="2FB77DE1"/>
    <w:rsid w:val="2FD31963"/>
    <w:rsid w:val="2FDECD47"/>
    <w:rsid w:val="2FEDFE57"/>
    <w:rsid w:val="2FF757B0"/>
    <w:rsid w:val="2FF7C864"/>
    <w:rsid w:val="2FF86237"/>
    <w:rsid w:val="2FFC7E07"/>
    <w:rsid w:val="2FFF408D"/>
    <w:rsid w:val="2FFF5753"/>
    <w:rsid w:val="317D7AB7"/>
    <w:rsid w:val="32681A68"/>
    <w:rsid w:val="32E7E708"/>
    <w:rsid w:val="33BF28C3"/>
    <w:rsid w:val="33DEC91C"/>
    <w:rsid w:val="33DF30C9"/>
    <w:rsid w:val="33F6C9F5"/>
    <w:rsid w:val="33FB8719"/>
    <w:rsid w:val="33FD42A2"/>
    <w:rsid w:val="34124DDF"/>
    <w:rsid w:val="34FBD52B"/>
    <w:rsid w:val="3521A35F"/>
    <w:rsid w:val="35F2AAD7"/>
    <w:rsid w:val="35F68BFB"/>
    <w:rsid w:val="35FFAC21"/>
    <w:rsid w:val="36750E63"/>
    <w:rsid w:val="367FF8A1"/>
    <w:rsid w:val="36B5EEB0"/>
    <w:rsid w:val="36BF02D3"/>
    <w:rsid w:val="36DF231F"/>
    <w:rsid w:val="36FDBAC5"/>
    <w:rsid w:val="36FFE0AB"/>
    <w:rsid w:val="374DEEFF"/>
    <w:rsid w:val="375E79D1"/>
    <w:rsid w:val="375F43C4"/>
    <w:rsid w:val="376C76D4"/>
    <w:rsid w:val="376F3879"/>
    <w:rsid w:val="37747B2B"/>
    <w:rsid w:val="37BFBCC8"/>
    <w:rsid w:val="37DF724E"/>
    <w:rsid w:val="37E71D6B"/>
    <w:rsid w:val="37F7F3C8"/>
    <w:rsid w:val="37FBF3F3"/>
    <w:rsid w:val="37FBF958"/>
    <w:rsid w:val="37FC7580"/>
    <w:rsid w:val="37FD4B3A"/>
    <w:rsid w:val="37FFECC6"/>
    <w:rsid w:val="3831698F"/>
    <w:rsid w:val="38D7F381"/>
    <w:rsid w:val="38E4CD20"/>
    <w:rsid w:val="38FBA876"/>
    <w:rsid w:val="3957A2FD"/>
    <w:rsid w:val="39678DF7"/>
    <w:rsid w:val="396FD28E"/>
    <w:rsid w:val="398EA309"/>
    <w:rsid w:val="39D3E7A1"/>
    <w:rsid w:val="39DDEC04"/>
    <w:rsid w:val="39F81811"/>
    <w:rsid w:val="3A3BE337"/>
    <w:rsid w:val="3A6AE177"/>
    <w:rsid w:val="3ADF2541"/>
    <w:rsid w:val="3AFD122C"/>
    <w:rsid w:val="3AFF6B1A"/>
    <w:rsid w:val="3B579BDA"/>
    <w:rsid w:val="3B5EF361"/>
    <w:rsid w:val="3B733853"/>
    <w:rsid w:val="3BBBC800"/>
    <w:rsid w:val="3BBF94D4"/>
    <w:rsid w:val="3BBFA3CB"/>
    <w:rsid w:val="3BC5B307"/>
    <w:rsid w:val="3BD69188"/>
    <w:rsid w:val="3BE7116F"/>
    <w:rsid w:val="3BE7A5BA"/>
    <w:rsid w:val="3BE98208"/>
    <w:rsid w:val="3BEBA11F"/>
    <w:rsid w:val="3BEF4413"/>
    <w:rsid w:val="3BEF47B5"/>
    <w:rsid w:val="3BF9FD65"/>
    <w:rsid w:val="3BFDB00F"/>
    <w:rsid w:val="3BFF8068"/>
    <w:rsid w:val="3C3EA7DF"/>
    <w:rsid w:val="3C7F85F2"/>
    <w:rsid w:val="3C9F91C2"/>
    <w:rsid w:val="3CD56758"/>
    <w:rsid w:val="3CF5BFB0"/>
    <w:rsid w:val="3CFAB437"/>
    <w:rsid w:val="3CFFFA2E"/>
    <w:rsid w:val="3D3FAE72"/>
    <w:rsid w:val="3D76BFFA"/>
    <w:rsid w:val="3D9ED538"/>
    <w:rsid w:val="3DAE65C1"/>
    <w:rsid w:val="3DBB1140"/>
    <w:rsid w:val="3DBF9607"/>
    <w:rsid w:val="3DC4FC4D"/>
    <w:rsid w:val="3DD34C16"/>
    <w:rsid w:val="3DD77093"/>
    <w:rsid w:val="3DEE9C6B"/>
    <w:rsid w:val="3DF34F68"/>
    <w:rsid w:val="3DF5C21D"/>
    <w:rsid w:val="3DFA2DC7"/>
    <w:rsid w:val="3DFE7A98"/>
    <w:rsid w:val="3DFF7443"/>
    <w:rsid w:val="3E5BA427"/>
    <w:rsid w:val="3E7A1B38"/>
    <w:rsid w:val="3E7B44AE"/>
    <w:rsid w:val="3EB23457"/>
    <w:rsid w:val="3EC9255D"/>
    <w:rsid w:val="3EDCB62D"/>
    <w:rsid w:val="3EEEAC2F"/>
    <w:rsid w:val="3EEED971"/>
    <w:rsid w:val="3EEF2E79"/>
    <w:rsid w:val="3EF57651"/>
    <w:rsid w:val="3F2E4B07"/>
    <w:rsid w:val="3F301F23"/>
    <w:rsid w:val="3F39DFBE"/>
    <w:rsid w:val="3F3ADF03"/>
    <w:rsid w:val="3F3B2D29"/>
    <w:rsid w:val="3F3D18A3"/>
    <w:rsid w:val="3F47FD58"/>
    <w:rsid w:val="3F5B54FF"/>
    <w:rsid w:val="3F5F1441"/>
    <w:rsid w:val="3F61E297"/>
    <w:rsid w:val="3F77FCF3"/>
    <w:rsid w:val="3F7B5D7F"/>
    <w:rsid w:val="3F7E9165"/>
    <w:rsid w:val="3F7F4AAE"/>
    <w:rsid w:val="3F7FA106"/>
    <w:rsid w:val="3F7FEDC0"/>
    <w:rsid w:val="3F9644C5"/>
    <w:rsid w:val="3F99170E"/>
    <w:rsid w:val="3F99A42A"/>
    <w:rsid w:val="3F9EA036"/>
    <w:rsid w:val="3F9FB20F"/>
    <w:rsid w:val="3FB32B6E"/>
    <w:rsid w:val="3FB9B0F7"/>
    <w:rsid w:val="3FB9E5E6"/>
    <w:rsid w:val="3FBA8D12"/>
    <w:rsid w:val="3FBBAF88"/>
    <w:rsid w:val="3FBFEF60"/>
    <w:rsid w:val="3FC35E1B"/>
    <w:rsid w:val="3FC7F5AA"/>
    <w:rsid w:val="3FCF7770"/>
    <w:rsid w:val="3FCFFAB2"/>
    <w:rsid w:val="3FD0A6C7"/>
    <w:rsid w:val="3FD3142C"/>
    <w:rsid w:val="3FD50C4A"/>
    <w:rsid w:val="3FD74A3C"/>
    <w:rsid w:val="3FD7B447"/>
    <w:rsid w:val="3FDB2421"/>
    <w:rsid w:val="3FE585F9"/>
    <w:rsid w:val="3FE7BAF7"/>
    <w:rsid w:val="3FE8201D"/>
    <w:rsid w:val="3FEDBAC3"/>
    <w:rsid w:val="3FF3A414"/>
    <w:rsid w:val="3FF4FFA8"/>
    <w:rsid w:val="3FF70F62"/>
    <w:rsid w:val="3FF7D463"/>
    <w:rsid w:val="3FF96654"/>
    <w:rsid w:val="3FFB714E"/>
    <w:rsid w:val="3FFBFD73"/>
    <w:rsid w:val="3FFC6736"/>
    <w:rsid w:val="3FFD296D"/>
    <w:rsid w:val="3FFD3838"/>
    <w:rsid w:val="3FFEE7D0"/>
    <w:rsid w:val="3FFF2DCC"/>
    <w:rsid w:val="3FFF691F"/>
    <w:rsid w:val="3FFF713F"/>
    <w:rsid w:val="3FFFFD2E"/>
    <w:rsid w:val="42FF60B2"/>
    <w:rsid w:val="439B61ED"/>
    <w:rsid w:val="43BBCE85"/>
    <w:rsid w:val="445B23FA"/>
    <w:rsid w:val="45AF46D1"/>
    <w:rsid w:val="45F5D12C"/>
    <w:rsid w:val="45FC901A"/>
    <w:rsid w:val="473F4491"/>
    <w:rsid w:val="475F890D"/>
    <w:rsid w:val="477FB13D"/>
    <w:rsid w:val="47DF62B3"/>
    <w:rsid w:val="47FB6CE6"/>
    <w:rsid w:val="49FC770E"/>
    <w:rsid w:val="49FFFC1E"/>
    <w:rsid w:val="4AD5FFEF"/>
    <w:rsid w:val="4B36C3A6"/>
    <w:rsid w:val="4B8DE063"/>
    <w:rsid w:val="4BCFDC4B"/>
    <w:rsid w:val="4BD4BD1A"/>
    <w:rsid w:val="4BDE9B22"/>
    <w:rsid w:val="4BFF57E2"/>
    <w:rsid w:val="4BFFC788"/>
    <w:rsid w:val="4BFFECB9"/>
    <w:rsid w:val="4CF6E048"/>
    <w:rsid w:val="4DBB9DAF"/>
    <w:rsid w:val="4DBCE1F4"/>
    <w:rsid w:val="4DEF5379"/>
    <w:rsid w:val="4EAF8A8C"/>
    <w:rsid w:val="4EF535D4"/>
    <w:rsid w:val="4EF6A2FD"/>
    <w:rsid w:val="4F4B38EF"/>
    <w:rsid w:val="4F5C9A95"/>
    <w:rsid w:val="4FEE00FA"/>
    <w:rsid w:val="4FEFEE2A"/>
    <w:rsid w:val="4FF57885"/>
    <w:rsid w:val="4FF8027B"/>
    <w:rsid w:val="4FFB2953"/>
    <w:rsid w:val="4FFECF5C"/>
    <w:rsid w:val="50F62C21"/>
    <w:rsid w:val="51F7CC04"/>
    <w:rsid w:val="525C9647"/>
    <w:rsid w:val="52E77188"/>
    <w:rsid w:val="52EFB819"/>
    <w:rsid w:val="533FFC85"/>
    <w:rsid w:val="535F33E0"/>
    <w:rsid w:val="536F892D"/>
    <w:rsid w:val="537F0E3E"/>
    <w:rsid w:val="53DD4153"/>
    <w:rsid w:val="53DFA666"/>
    <w:rsid w:val="53FA9FA3"/>
    <w:rsid w:val="53FBB9DB"/>
    <w:rsid w:val="53FD511F"/>
    <w:rsid w:val="552FE71C"/>
    <w:rsid w:val="555FDF2D"/>
    <w:rsid w:val="557C95F7"/>
    <w:rsid w:val="55B7A796"/>
    <w:rsid w:val="55FFE42E"/>
    <w:rsid w:val="567A711E"/>
    <w:rsid w:val="567D63DF"/>
    <w:rsid w:val="56D2177F"/>
    <w:rsid w:val="56DFEDD1"/>
    <w:rsid w:val="56ECC045"/>
    <w:rsid w:val="56FDEFAE"/>
    <w:rsid w:val="56FF861A"/>
    <w:rsid w:val="56FF8942"/>
    <w:rsid w:val="572D7F4A"/>
    <w:rsid w:val="573F01F5"/>
    <w:rsid w:val="576B73A2"/>
    <w:rsid w:val="577B3541"/>
    <w:rsid w:val="577EAAFA"/>
    <w:rsid w:val="577F9BF8"/>
    <w:rsid w:val="577FC58C"/>
    <w:rsid w:val="57AF31EA"/>
    <w:rsid w:val="57AF69EB"/>
    <w:rsid w:val="57BF1380"/>
    <w:rsid w:val="57CE1008"/>
    <w:rsid w:val="57CFA339"/>
    <w:rsid w:val="57DCE273"/>
    <w:rsid w:val="57DEE757"/>
    <w:rsid w:val="57FE140D"/>
    <w:rsid w:val="57FF7DF6"/>
    <w:rsid w:val="594ECA61"/>
    <w:rsid w:val="596FF79C"/>
    <w:rsid w:val="599FFFE7"/>
    <w:rsid w:val="59BF2626"/>
    <w:rsid w:val="59D56D3A"/>
    <w:rsid w:val="59EF1597"/>
    <w:rsid w:val="59F7F49B"/>
    <w:rsid w:val="59FD5417"/>
    <w:rsid w:val="59FF6E71"/>
    <w:rsid w:val="59FFCC99"/>
    <w:rsid w:val="5AE999E7"/>
    <w:rsid w:val="5AFD8816"/>
    <w:rsid w:val="5AFEBC51"/>
    <w:rsid w:val="5B6F6CBE"/>
    <w:rsid w:val="5BBF5452"/>
    <w:rsid w:val="5BDF7CC9"/>
    <w:rsid w:val="5BE78616"/>
    <w:rsid w:val="5BEF5AFF"/>
    <w:rsid w:val="5BF3767A"/>
    <w:rsid w:val="5BFF0992"/>
    <w:rsid w:val="5C0FF826"/>
    <w:rsid w:val="5CEFC5C7"/>
    <w:rsid w:val="5CF3FC10"/>
    <w:rsid w:val="5D0C2085"/>
    <w:rsid w:val="5D5CC29B"/>
    <w:rsid w:val="5D6F9614"/>
    <w:rsid w:val="5D779EAF"/>
    <w:rsid w:val="5D7D78AA"/>
    <w:rsid w:val="5D7D8C8C"/>
    <w:rsid w:val="5DAE1D4B"/>
    <w:rsid w:val="5DCB9ED8"/>
    <w:rsid w:val="5DDE16C0"/>
    <w:rsid w:val="5DDF439A"/>
    <w:rsid w:val="5DE6102E"/>
    <w:rsid w:val="5DFEFA17"/>
    <w:rsid w:val="5DFEFE2D"/>
    <w:rsid w:val="5DFFB90E"/>
    <w:rsid w:val="5E3508DF"/>
    <w:rsid w:val="5E7DEE0D"/>
    <w:rsid w:val="5E9FEABB"/>
    <w:rsid w:val="5EA3DD23"/>
    <w:rsid w:val="5EB13C4C"/>
    <w:rsid w:val="5EB7D488"/>
    <w:rsid w:val="5ECDD52F"/>
    <w:rsid w:val="5EE78265"/>
    <w:rsid w:val="5EEEA6B3"/>
    <w:rsid w:val="5EEFEB28"/>
    <w:rsid w:val="5EF7B862"/>
    <w:rsid w:val="5F276E18"/>
    <w:rsid w:val="5F3A0D6D"/>
    <w:rsid w:val="5F3F5E53"/>
    <w:rsid w:val="5F570526"/>
    <w:rsid w:val="5F59C1A1"/>
    <w:rsid w:val="5F7784C5"/>
    <w:rsid w:val="5F7B22F9"/>
    <w:rsid w:val="5F7FA62D"/>
    <w:rsid w:val="5F7FAF3A"/>
    <w:rsid w:val="5F876F96"/>
    <w:rsid w:val="5F9D41CD"/>
    <w:rsid w:val="5FA74BEB"/>
    <w:rsid w:val="5FAAE451"/>
    <w:rsid w:val="5FB3DB17"/>
    <w:rsid w:val="5FB3E3A0"/>
    <w:rsid w:val="5FB573E6"/>
    <w:rsid w:val="5FBD4875"/>
    <w:rsid w:val="5FBD9B76"/>
    <w:rsid w:val="5FBE8019"/>
    <w:rsid w:val="5FBF2E42"/>
    <w:rsid w:val="5FBF879F"/>
    <w:rsid w:val="5FBFA91A"/>
    <w:rsid w:val="5FBFC277"/>
    <w:rsid w:val="5FBFF1F7"/>
    <w:rsid w:val="5FC78FAE"/>
    <w:rsid w:val="5FCCF4C7"/>
    <w:rsid w:val="5FD74097"/>
    <w:rsid w:val="5FDBECEB"/>
    <w:rsid w:val="5FDC29C4"/>
    <w:rsid w:val="5FDFE876"/>
    <w:rsid w:val="5FED6A61"/>
    <w:rsid w:val="5FEE7220"/>
    <w:rsid w:val="5FEE9B03"/>
    <w:rsid w:val="5FEFE27D"/>
    <w:rsid w:val="5FF6198D"/>
    <w:rsid w:val="5FF76D4F"/>
    <w:rsid w:val="5FF7FA59"/>
    <w:rsid w:val="5FFAB17D"/>
    <w:rsid w:val="5FFB6174"/>
    <w:rsid w:val="5FFB6583"/>
    <w:rsid w:val="5FFB8D71"/>
    <w:rsid w:val="5FFBBBD4"/>
    <w:rsid w:val="5FFD724E"/>
    <w:rsid w:val="5FFDD3C2"/>
    <w:rsid w:val="5FFF7075"/>
    <w:rsid w:val="5FFFA1D4"/>
    <w:rsid w:val="5FFFDED1"/>
    <w:rsid w:val="61DFB911"/>
    <w:rsid w:val="62FE77B0"/>
    <w:rsid w:val="637F0A7F"/>
    <w:rsid w:val="646265DF"/>
    <w:rsid w:val="65B62A61"/>
    <w:rsid w:val="65B907C0"/>
    <w:rsid w:val="65FE5945"/>
    <w:rsid w:val="65FF3C4F"/>
    <w:rsid w:val="65FFC9C5"/>
    <w:rsid w:val="667F68EC"/>
    <w:rsid w:val="66DB6124"/>
    <w:rsid w:val="676FE7CA"/>
    <w:rsid w:val="677F090C"/>
    <w:rsid w:val="677F48D8"/>
    <w:rsid w:val="679DD0D2"/>
    <w:rsid w:val="67B7AB0C"/>
    <w:rsid w:val="67D3BA04"/>
    <w:rsid w:val="67DA0AF1"/>
    <w:rsid w:val="67DD7084"/>
    <w:rsid w:val="67DE76A9"/>
    <w:rsid w:val="67DEBE62"/>
    <w:rsid w:val="67DEFF3A"/>
    <w:rsid w:val="67DF8831"/>
    <w:rsid w:val="67EA856D"/>
    <w:rsid w:val="67F59148"/>
    <w:rsid w:val="67F6C5FC"/>
    <w:rsid w:val="67FB9F81"/>
    <w:rsid w:val="67FBA6FA"/>
    <w:rsid w:val="67FFF07B"/>
    <w:rsid w:val="6863BED5"/>
    <w:rsid w:val="68A51F3A"/>
    <w:rsid w:val="68CA4E41"/>
    <w:rsid w:val="695FCC9C"/>
    <w:rsid w:val="69BBC4B1"/>
    <w:rsid w:val="69DE19D0"/>
    <w:rsid w:val="69DE77E0"/>
    <w:rsid w:val="69DF2C31"/>
    <w:rsid w:val="69EB7ECD"/>
    <w:rsid w:val="69ED9B33"/>
    <w:rsid w:val="69FB161A"/>
    <w:rsid w:val="69FCCD1A"/>
    <w:rsid w:val="6A9E616E"/>
    <w:rsid w:val="6AF7601D"/>
    <w:rsid w:val="6AFC2865"/>
    <w:rsid w:val="6AFF306F"/>
    <w:rsid w:val="6B29FF3B"/>
    <w:rsid w:val="6B6AB349"/>
    <w:rsid w:val="6B7AFB18"/>
    <w:rsid w:val="6B7B8532"/>
    <w:rsid w:val="6B7D6DD4"/>
    <w:rsid w:val="6B944F7F"/>
    <w:rsid w:val="6BB7C8CA"/>
    <w:rsid w:val="6BFC151E"/>
    <w:rsid w:val="6BFD5D45"/>
    <w:rsid w:val="6BFFE7DA"/>
    <w:rsid w:val="6BFFF384"/>
    <w:rsid w:val="6C17AB0B"/>
    <w:rsid w:val="6CF52F9C"/>
    <w:rsid w:val="6CFF152B"/>
    <w:rsid w:val="6D3EEEFB"/>
    <w:rsid w:val="6D688DE2"/>
    <w:rsid w:val="6D6C10DC"/>
    <w:rsid w:val="6D7F1CFA"/>
    <w:rsid w:val="6DA94129"/>
    <w:rsid w:val="6DAF6DAC"/>
    <w:rsid w:val="6DB50C08"/>
    <w:rsid w:val="6DD77967"/>
    <w:rsid w:val="6DDB3332"/>
    <w:rsid w:val="6DDF6074"/>
    <w:rsid w:val="6DE52AB9"/>
    <w:rsid w:val="6DEF1C75"/>
    <w:rsid w:val="6DFEFAE3"/>
    <w:rsid w:val="6E324BD7"/>
    <w:rsid w:val="6E5B0FC4"/>
    <w:rsid w:val="6E7B9609"/>
    <w:rsid w:val="6EA1C417"/>
    <w:rsid w:val="6EAF3549"/>
    <w:rsid w:val="6EB7C7E8"/>
    <w:rsid w:val="6EBB5AC9"/>
    <w:rsid w:val="6ECF165A"/>
    <w:rsid w:val="6ECF736B"/>
    <w:rsid w:val="6EDF8694"/>
    <w:rsid w:val="6EE1E54E"/>
    <w:rsid w:val="6EE5C7A8"/>
    <w:rsid w:val="6EF480FE"/>
    <w:rsid w:val="6EF7E7A2"/>
    <w:rsid w:val="6EFBAC27"/>
    <w:rsid w:val="6EFEA2E0"/>
    <w:rsid w:val="6F2FD190"/>
    <w:rsid w:val="6F3697FC"/>
    <w:rsid w:val="6F3B3637"/>
    <w:rsid w:val="6F3B3B8F"/>
    <w:rsid w:val="6F576187"/>
    <w:rsid w:val="6F6E4EE8"/>
    <w:rsid w:val="6F6F888C"/>
    <w:rsid w:val="6F759133"/>
    <w:rsid w:val="6F7BD5DF"/>
    <w:rsid w:val="6F7D584A"/>
    <w:rsid w:val="6F7DDE23"/>
    <w:rsid w:val="6F7E3C58"/>
    <w:rsid w:val="6F9EAE20"/>
    <w:rsid w:val="6FAC195A"/>
    <w:rsid w:val="6FADC338"/>
    <w:rsid w:val="6FBAF3DF"/>
    <w:rsid w:val="6FBF9BA0"/>
    <w:rsid w:val="6FD314CE"/>
    <w:rsid w:val="6FD55D78"/>
    <w:rsid w:val="6FD5783B"/>
    <w:rsid w:val="6FD959E6"/>
    <w:rsid w:val="6FDBCD8A"/>
    <w:rsid w:val="6FEF3789"/>
    <w:rsid w:val="6FF69A55"/>
    <w:rsid w:val="6FFADE44"/>
    <w:rsid w:val="6FFB3419"/>
    <w:rsid w:val="6FFBD72A"/>
    <w:rsid w:val="6FFCEC90"/>
    <w:rsid w:val="6FFD94FF"/>
    <w:rsid w:val="6FFDCB10"/>
    <w:rsid w:val="6FFE0975"/>
    <w:rsid w:val="6FFE742E"/>
    <w:rsid w:val="6FFE78C8"/>
    <w:rsid w:val="6FFED212"/>
    <w:rsid w:val="6FFF5E8B"/>
    <w:rsid w:val="6FFF69BB"/>
    <w:rsid w:val="7077171B"/>
    <w:rsid w:val="707FDCCA"/>
    <w:rsid w:val="70F78AE0"/>
    <w:rsid w:val="70FFB297"/>
    <w:rsid w:val="716B76BC"/>
    <w:rsid w:val="717DA17B"/>
    <w:rsid w:val="717DD04A"/>
    <w:rsid w:val="7197AEEA"/>
    <w:rsid w:val="71BEE22C"/>
    <w:rsid w:val="71D141E5"/>
    <w:rsid w:val="71DF9A99"/>
    <w:rsid w:val="71F6B95D"/>
    <w:rsid w:val="71FFE8BE"/>
    <w:rsid w:val="72778B6B"/>
    <w:rsid w:val="72E5BF88"/>
    <w:rsid w:val="72ED4273"/>
    <w:rsid w:val="72F28C7E"/>
    <w:rsid w:val="72FB6C03"/>
    <w:rsid w:val="72FB90F7"/>
    <w:rsid w:val="72FBF895"/>
    <w:rsid w:val="72FDC4D7"/>
    <w:rsid w:val="7357C574"/>
    <w:rsid w:val="736BE269"/>
    <w:rsid w:val="736F3FDD"/>
    <w:rsid w:val="737E3091"/>
    <w:rsid w:val="737FD70C"/>
    <w:rsid w:val="73B9F43B"/>
    <w:rsid w:val="73BE5ABE"/>
    <w:rsid w:val="73BE5BB3"/>
    <w:rsid w:val="73BFECC9"/>
    <w:rsid w:val="73CC5F1D"/>
    <w:rsid w:val="73EE6728"/>
    <w:rsid w:val="73EE77E7"/>
    <w:rsid w:val="73F976B8"/>
    <w:rsid w:val="73FFA6D4"/>
    <w:rsid w:val="73FFF5A2"/>
    <w:rsid w:val="743FB732"/>
    <w:rsid w:val="74573C4C"/>
    <w:rsid w:val="74739F5F"/>
    <w:rsid w:val="74AC10F3"/>
    <w:rsid w:val="74BED5EA"/>
    <w:rsid w:val="74DDC1F5"/>
    <w:rsid w:val="74FB103E"/>
    <w:rsid w:val="74FF2C75"/>
    <w:rsid w:val="74FFEC79"/>
    <w:rsid w:val="752F3F87"/>
    <w:rsid w:val="755D77BF"/>
    <w:rsid w:val="757CCA2E"/>
    <w:rsid w:val="759BD825"/>
    <w:rsid w:val="75D8F338"/>
    <w:rsid w:val="75DAA063"/>
    <w:rsid w:val="75DF1317"/>
    <w:rsid w:val="75E95420"/>
    <w:rsid w:val="75F3C6FB"/>
    <w:rsid w:val="75FD0D26"/>
    <w:rsid w:val="75FD4E80"/>
    <w:rsid w:val="75FDCC45"/>
    <w:rsid w:val="75FE324A"/>
    <w:rsid w:val="75FE7E64"/>
    <w:rsid w:val="75FF0DF8"/>
    <w:rsid w:val="766C7157"/>
    <w:rsid w:val="767743E7"/>
    <w:rsid w:val="76BDB7CB"/>
    <w:rsid w:val="76BE9BF5"/>
    <w:rsid w:val="76DE0C4C"/>
    <w:rsid w:val="76DEF6B5"/>
    <w:rsid w:val="76E7BF0D"/>
    <w:rsid w:val="76EF3CEE"/>
    <w:rsid w:val="76F61E48"/>
    <w:rsid w:val="76F90F4D"/>
    <w:rsid w:val="76FF24B2"/>
    <w:rsid w:val="7702863E"/>
    <w:rsid w:val="773B286B"/>
    <w:rsid w:val="773BD368"/>
    <w:rsid w:val="774F30DF"/>
    <w:rsid w:val="775E61D0"/>
    <w:rsid w:val="7777D138"/>
    <w:rsid w:val="777A92FC"/>
    <w:rsid w:val="777BE08E"/>
    <w:rsid w:val="777C9073"/>
    <w:rsid w:val="777DD9FA"/>
    <w:rsid w:val="778B9399"/>
    <w:rsid w:val="77B1CE5E"/>
    <w:rsid w:val="77B53F5C"/>
    <w:rsid w:val="77BBFBC8"/>
    <w:rsid w:val="77BD6A5D"/>
    <w:rsid w:val="77BDD1F1"/>
    <w:rsid w:val="77BDE9B1"/>
    <w:rsid w:val="77BE017F"/>
    <w:rsid w:val="77C9DE9D"/>
    <w:rsid w:val="77CD1A9C"/>
    <w:rsid w:val="77DB2355"/>
    <w:rsid w:val="77DD3049"/>
    <w:rsid w:val="77DF9D03"/>
    <w:rsid w:val="77DFE4B2"/>
    <w:rsid w:val="77E76A7D"/>
    <w:rsid w:val="77EDB751"/>
    <w:rsid w:val="77EFAAA4"/>
    <w:rsid w:val="77F2DA80"/>
    <w:rsid w:val="77F53C35"/>
    <w:rsid w:val="77F70358"/>
    <w:rsid w:val="77F75407"/>
    <w:rsid w:val="77FF2D1D"/>
    <w:rsid w:val="77FF550E"/>
    <w:rsid w:val="77FF8EF1"/>
    <w:rsid w:val="77FF9800"/>
    <w:rsid w:val="77FF9FBC"/>
    <w:rsid w:val="77FFBDC1"/>
    <w:rsid w:val="780FBBA4"/>
    <w:rsid w:val="781F4071"/>
    <w:rsid w:val="78576E65"/>
    <w:rsid w:val="78F4B875"/>
    <w:rsid w:val="78F68615"/>
    <w:rsid w:val="795F4C73"/>
    <w:rsid w:val="7995EEAE"/>
    <w:rsid w:val="79A34DCF"/>
    <w:rsid w:val="79BD2849"/>
    <w:rsid w:val="79C3FB9C"/>
    <w:rsid w:val="79DC1BAD"/>
    <w:rsid w:val="79DF3820"/>
    <w:rsid w:val="79E78618"/>
    <w:rsid w:val="79F1EF51"/>
    <w:rsid w:val="79F5932E"/>
    <w:rsid w:val="79F6545C"/>
    <w:rsid w:val="79FB06E5"/>
    <w:rsid w:val="79FE1A85"/>
    <w:rsid w:val="79FE3504"/>
    <w:rsid w:val="79FFB5D4"/>
    <w:rsid w:val="7A1F1673"/>
    <w:rsid w:val="7A6FBD89"/>
    <w:rsid w:val="7A7BBACC"/>
    <w:rsid w:val="7A9B0CD9"/>
    <w:rsid w:val="7ADBC838"/>
    <w:rsid w:val="7ADF8B49"/>
    <w:rsid w:val="7AE59FD3"/>
    <w:rsid w:val="7AE76B34"/>
    <w:rsid w:val="7AEDB363"/>
    <w:rsid w:val="7AFA01A1"/>
    <w:rsid w:val="7AFEECB5"/>
    <w:rsid w:val="7AFF9598"/>
    <w:rsid w:val="7B02694D"/>
    <w:rsid w:val="7B171DC1"/>
    <w:rsid w:val="7B27D218"/>
    <w:rsid w:val="7B3DE43A"/>
    <w:rsid w:val="7B3E20C4"/>
    <w:rsid w:val="7B3F93BF"/>
    <w:rsid w:val="7B3FC27C"/>
    <w:rsid w:val="7B4A5E3E"/>
    <w:rsid w:val="7B578B52"/>
    <w:rsid w:val="7B5CDB38"/>
    <w:rsid w:val="7B5F250F"/>
    <w:rsid w:val="7B65554A"/>
    <w:rsid w:val="7B67351B"/>
    <w:rsid w:val="7B6A5CF5"/>
    <w:rsid w:val="7B6D981A"/>
    <w:rsid w:val="7B764E37"/>
    <w:rsid w:val="7B798700"/>
    <w:rsid w:val="7B7B94C0"/>
    <w:rsid w:val="7B7D8842"/>
    <w:rsid w:val="7B7F3146"/>
    <w:rsid w:val="7B7F7422"/>
    <w:rsid w:val="7B7FA0F4"/>
    <w:rsid w:val="7B8AC688"/>
    <w:rsid w:val="7B8E46B4"/>
    <w:rsid w:val="7B9B1FEE"/>
    <w:rsid w:val="7B9F47E2"/>
    <w:rsid w:val="7BA81D92"/>
    <w:rsid w:val="7BAFE5A0"/>
    <w:rsid w:val="7BB76C50"/>
    <w:rsid w:val="7BBE24F7"/>
    <w:rsid w:val="7BBE5016"/>
    <w:rsid w:val="7BBFF0B5"/>
    <w:rsid w:val="7BBFF491"/>
    <w:rsid w:val="7BCE1317"/>
    <w:rsid w:val="7BCEF1D0"/>
    <w:rsid w:val="7BCF8CEA"/>
    <w:rsid w:val="7BD95CA9"/>
    <w:rsid w:val="7BDD6AE1"/>
    <w:rsid w:val="7BDDC5D4"/>
    <w:rsid w:val="7BEF0125"/>
    <w:rsid w:val="7BEF2E42"/>
    <w:rsid w:val="7BEFA204"/>
    <w:rsid w:val="7BF297A8"/>
    <w:rsid w:val="7BF36372"/>
    <w:rsid w:val="7BF383AB"/>
    <w:rsid w:val="7BF7A20D"/>
    <w:rsid w:val="7BF7AC7A"/>
    <w:rsid w:val="7BFB2B25"/>
    <w:rsid w:val="7BFD0F5D"/>
    <w:rsid w:val="7BFD90AA"/>
    <w:rsid w:val="7BFDE407"/>
    <w:rsid w:val="7BFE52A3"/>
    <w:rsid w:val="7BFE8A71"/>
    <w:rsid w:val="7BFEF093"/>
    <w:rsid w:val="7BFF069D"/>
    <w:rsid w:val="7BFF19C2"/>
    <w:rsid w:val="7BFF4803"/>
    <w:rsid w:val="7BFF61C5"/>
    <w:rsid w:val="7BFF66F2"/>
    <w:rsid w:val="7BFF6CE2"/>
    <w:rsid w:val="7BFFD0BB"/>
    <w:rsid w:val="7C7659ED"/>
    <w:rsid w:val="7C7FFFEF"/>
    <w:rsid w:val="7CB74863"/>
    <w:rsid w:val="7CBB5940"/>
    <w:rsid w:val="7CBEE5D4"/>
    <w:rsid w:val="7CDD349D"/>
    <w:rsid w:val="7CDE962B"/>
    <w:rsid w:val="7CE7DC0C"/>
    <w:rsid w:val="7CEF8139"/>
    <w:rsid w:val="7CF52929"/>
    <w:rsid w:val="7CFB5F1F"/>
    <w:rsid w:val="7CFB6F6B"/>
    <w:rsid w:val="7CFF22CC"/>
    <w:rsid w:val="7CFFAD51"/>
    <w:rsid w:val="7CFFB208"/>
    <w:rsid w:val="7CFFC404"/>
    <w:rsid w:val="7D1B1002"/>
    <w:rsid w:val="7D4EFA63"/>
    <w:rsid w:val="7D5EA6F8"/>
    <w:rsid w:val="7D6C392F"/>
    <w:rsid w:val="7D77349E"/>
    <w:rsid w:val="7D773AE2"/>
    <w:rsid w:val="7D798A65"/>
    <w:rsid w:val="7D7F970E"/>
    <w:rsid w:val="7D7FB866"/>
    <w:rsid w:val="7D967EC9"/>
    <w:rsid w:val="7DB27624"/>
    <w:rsid w:val="7DB92B40"/>
    <w:rsid w:val="7DBD013C"/>
    <w:rsid w:val="7DBDE703"/>
    <w:rsid w:val="7DBE1315"/>
    <w:rsid w:val="7DBF6F1B"/>
    <w:rsid w:val="7DBF882C"/>
    <w:rsid w:val="7DBFE35C"/>
    <w:rsid w:val="7DE3D244"/>
    <w:rsid w:val="7DE79B52"/>
    <w:rsid w:val="7DEAEB06"/>
    <w:rsid w:val="7DEC1A6E"/>
    <w:rsid w:val="7DEF56D8"/>
    <w:rsid w:val="7DEF83C2"/>
    <w:rsid w:val="7DEFE949"/>
    <w:rsid w:val="7DF3A405"/>
    <w:rsid w:val="7DF6E75D"/>
    <w:rsid w:val="7DF721D9"/>
    <w:rsid w:val="7DF77603"/>
    <w:rsid w:val="7DF995DB"/>
    <w:rsid w:val="7DFD0177"/>
    <w:rsid w:val="7DFDF0B7"/>
    <w:rsid w:val="7DFE3690"/>
    <w:rsid w:val="7DFE994A"/>
    <w:rsid w:val="7DFF0024"/>
    <w:rsid w:val="7DFF2191"/>
    <w:rsid w:val="7DFF95CC"/>
    <w:rsid w:val="7DFFCB5C"/>
    <w:rsid w:val="7E0E7118"/>
    <w:rsid w:val="7E1F18DC"/>
    <w:rsid w:val="7E66597C"/>
    <w:rsid w:val="7E6F61EC"/>
    <w:rsid w:val="7E72E930"/>
    <w:rsid w:val="7E76040B"/>
    <w:rsid w:val="7E7DFC0E"/>
    <w:rsid w:val="7E7F2043"/>
    <w:rsid w:val="7E7FF4B1"/>
    <w:rsid w:val="7E8FC2F1"/>
    <w:rsid w:val="7E9660BD"/>
    <w:rsid w:val="7E9B635C"/>
    <w:rsid w:val="7EAB257A"/>
    <w:rsid w:val="7EAB6B68"/>
    <w:rsid w:val="7EACB981"/>
    <w:rsid w:val="7EB99910"/>
    <w:rsid w:val="7EBA80EB"/>
    <w:rsid w:val="7EBD3334"/>
    <w:rsid w:val="7EBE73C9"/>
    <w:rsid w:val="7EBEE7BC"/>
    <w:rsid w:val="7ECF173A"/>
    <w:rsid w:val="7ED334D6"/>
    <w:rsid w:val="7ED38757"/>
    <w:rsid w:val="7ED95021"/>
    <w:rsid w:val="7EDC3835"/>
    <w:rsid w:val="7EDE2B15"/>
    <w:rsid w:val="7EE6A884"/>
    <w:rsid w:val="7EE7E42A"/>
    <w:rsid w:val="7EEAD6E6"/>
    <w:rsid w:val="7EED9B3D"/>
    <w:rsid w:val="7EEF0FDA"/>
    <w:rsid w:val="7EEFB6DA"/>
    <w:rsid w:val="7EF54C18"/>
    <w:rsid w:val="7EF64F56"/>
    <w:rsid w:val="7EF65E25"/>
    <w:rsid w:val="7EF70841"/>
    <w:rsid w:val="7EFD3657"/>
    <w:rsid w:val="7EFDAD35"/>
    <w:rsid w:val="7EFE29E8"/>
    <w:rsid w:val="7EFE6209"/>
    <w:rsid w:val="7EFEB06A"/>
    <w:rsid w:val="7EFF19B6"/>
    <w:rsid w:val="7EFF251F"/>
    <w:rsid w:val="7EFF3BB1"/>
    <w:rsid w:val="7EFF6EEA"/>
    <w:rsid w:val="7EFF8A4C"/>
    <w:rsid w:val="7F19749D"/>
    <w:rsid w:val="7F1F0A75"/>
    <w:rsid w:val="7F2BC72D"/>
    <w:rsid w:val="7F36B61D"/>
    <w:rsid w:val="7F37031B"/>
    <w:rsid w:val="7F3B977D"/>
    <w:rsid w:val="7F3BCD43"/>
    <w:rsid w:val="7F3D753E"/>
    <w:rsid w:val="7F46E525"/>
    <w:rsid w:val="7F4DD8E4"/>
    <w:rsid w:val="7F53A6A6"/>
    <w:rsid w:val="7F577007"/>
    <w:rsid w:val="7F57EA52"/>
    <w:rsid w:val="7F5B4CB3"/>
    <w:rsid w:val="7F5EB716"/>
    <w:rsid w:val="7F5F416F"/>
    <w:rsid w:val="7F5F9A53"/>
    <w:rsid w:val="7F5FF33F"/>
    <w:rsid w:val="7F60ED6C"/>
    <w:rsid w:val="7F665EC9"/>
    <w:rsid w:val="7F6DD6FE"/>
    <w:rsid w:val="7F6E2036"/>
    <w:rsid w:val="7F6F24EA"/>
    <w:rsid w:val="7F6F36EC"/>
    <w:rsid w:val="7F6F9CB1"/>
    <w:rsid w:val="7F709A1A"/>
    <w:rsid w:val="7F763DDD"/>
    <w:rsid w:val="7F7B296E"/>
    <w:rsid w:val="7F7B314E"/>
    <w:rsid w:val="7F7B3675"/>
    <w:rsid w:val="7F7B4127"/>
    <w:rsid w:val="7F7D2D0A"/>
    <w:rsid w:val="7F7DEC8A"/>
    <w:rsid w:val="7F7E1687"/>
    <w:rsid w:val="7F7F3D8D"/>
    <w:rsid w:val="7F7F97BD"/>
    <w:rsid w:val="7F7FA766"/>
    <w:rsid w:val="7F7FE09A"/>
    <w:rsid w:val="7F9B77BD"/>
    <w:rsid w:val="7F9F59D1"/>
    <w:rsid w:val="7F9F63EB"/>
    <w:rsid w:val="7F9FE334"/>
    <w:rsid w:val="7FA79E41"/>
    <w:rsid w:val="7FAAE9B6"/>
    <w:rsid w:val="7FB090E9"/>
    <w:rsid w:val="7FB3A142"/>
    <w:rsid w:val="7FB74488"/>
    <w:rsid w:val="7FBAF915"/>
    <w:rsid w:val="7FBB07A1"/>
    <w:rsid w:val="7FBBBA89"/>
    <w:rsid w:val="7FBDA9AE"/>
    <w:rsid w:val="7FBEB496"/>
    <w:rsid w:val="7FBEBB23"/>
    <w:rsid w:val="7FBF0F98"/>
    <w:rsid w:val="7FBF6B61"/>
    <w:rsid w:val="7FBFAFED"/>
    <w:rsid w:val="7FC90CF5"/>
    <w:rsid w:val="7FC9B5E6"/>
    <w:rsid w:val="7FCB111C"/>
    <w:rsid w:val="7FCF143D"/>
    <w:rsid w:val="7FD30B69"/>
    <w:rsid w:val="7FD7A8F8"/>
    <w:rsid w:val="7FD7D540"/>
    <w:rsid w:val="7FD9B07E"/>
    <w:rsid w:val="7FDA4140"/>
    <w:rsid w:val="7FDB098D"/>
    <w:rsid w:val="7FDB5525"/>
    <w:rsid w:val="7FDF3F23"/>
    <w:rsid w:val="7FDF7BA1"/>
    <w:rsid w:val="7FDF899F"/>
    <w:rsid w:val="7FDF8D93"/>
    <w:rsid w:val="7FDFD39A"/>
    <w:rsid w:val="7FE1B830"/>
    <w:rsid w:val="7FE2B32C"/>
    <w:rsid w:val="7FE64202"/>
    <w:rsid w:val="7FEBF800"/>
    <w:rsid w:val="7FED498B"/>
    <w:rsid w:val="7FEF2001"/>
    <w:rsid w:val="7FEF6A1F"/>
    <w:rsid w:val="7FEF9795"/>
    <w:rsid w:val="7FEFFCA3"/>
    <w:rsid w:val="7FF3F45C"/>
    <w:rsid w:val="7FF5C79F"/>
    <w:rsid w:val="7FF73874"/>
    <w:rsid w:val="7FF74ED0"/>
    <w:rsid w:val="7FF76571"/>
    <w:rsid w:val="7FF765FC"/>
    <w:rsid w:val="7FF76619"/>
    <w:rsid w:val="7FF76A3E"/>
    <w:rsid w:val="7FF775CC"/>
    <w:rsid w:val="7FF85BDC"/>
    <w:rsid w:val="7FF940B2"/>
    <w:rsid w:val="7FF942C6"/>
    <w:rsid w:val="7FFAFBDD"/>
    <w:rsid w:val="7FFB2E0D"/>
    <w:rsid w:val="7FFB6970"/>
    <w:rsid w:val="7FFBB7A9"/>
    <w:rsid w:val="7FFBC5F7"/>
    <w:rsid w:val="7FFBC7AF"/>
    <w:rsid w:val="7FFC774C"/>
    <w:rsid w:val="7FFC7820"/>
    <w:rsid w:val="7FFC8934"/>
    <w:rsid w:val="7FFCC14C"/>
    <w:rsid w:val="7FFD0E11"/>
    <w:rsid w:val="7FFD30FA"/>
    <w:rsid w:val="7FFDB4CE"/>
    <w:rsid w:val="7FFDCA46"/>
    <w:rsid w:val="7FFEEE3B"/>
    <w:rsid w:val="7FFEEEC6"/>
    <w:rsid w:val="7FFF0260"/>
    <w:rsid w:val="7FFF0CFA"/>
    <w:rsid w:val="7FFF2AC4"/>
    <w:rsid w:val="7FFF38CB"/>
    <w:rsid w:val="7FFF3CF1"/>
    <w:rsid w:val="7FFF442F"/>
    <w:rsid w:val="7FFF4589"/>
    <w:rsid w:val="7FFF6062"/>
    <w:rsid w:val="7FFF6699"/>
    <w:rsid w:val="7FFF8FD6"/>
    <w:rsid w:val="7FFF92E1"/>
    <w:rsid w:val="7FFF9EC6"/>
    <w:rsid w:val="7FFF9F5D"/>
    <w:rsid w:val="7FFFA0EB"/>
    <w:rsid w:val="7FFFACC6"/>
    <w:rsid w:val="7FFFC0D9"/>
    <w:rsid w:val="7FFFC210"/>
    <w:rsid w:val="7FFFC6A5"/>
    <w:rsid w:val="7FFFD8BA"/>
    <w:rsid w:val="7FFFD92F"/>
    <w:rsid w:val="84FF22F9"/>
    <w:rsid w:val="857F9715"/>
    <w:rsid w:val="87EB35D8"/>
    <w:rsid w:val="8BAEC20F"/>
    <w:rsid w:val="8BBF7F28"/>
    <w:rsid w:val="8BDD6446"/>
    <w:rsid w:val="8BEB9EAE"/>
    <w:rsid w:val="8BF5B465"/>
    <w:rsid w:val="8DF9F40C"/>
    <w:rsid w:val="8DFF48E4"/>
    <w:rsid w:val="8E7C6D4A"/>
    <w:rsid w:val="8EEFFDBB"/>
    <w:rsid w:val="8F1A4140"/>
    <w:rsid w:val="8F3FCB9E"/>
    <w:rsid w:val="8F962619"/>
    <w:rsid w:val="8FDBA9A5"/>
    <w:rsid w:val="8FDC3D26"/>
    <w:rsid w:val="8FEE0C5E"/>
    <w:rsid w:val="8FF1E4C9"/>
    <w:rsid w:val="8FFD3913"/>
    <w:rsid w:val="8FFE57DA"/>
    <w:rsid w:val="93CF70B9"/>
    <w:rsid w:val="95B94939"/>
    <w:rsid w:val="95DDA62C"/>
    <w:rsid w:val="95FFD506"/>
    <w:rsid w:val="96FE66F3"/>
    <w:rsid w:val="976F776E"/>
    <w:rsid w:val="97BE8491"/>
    <w:rsid w:val="97BECCE0"/>
    <w:rsid w:val="97BFFFAE"/>
    <w:rsid w:val="98674CC0"/>
    <w:rsid w:val="9976586C"/>
    <w:rsid w:val="99FE8453"/>
    <w:rsid w:val="9A5982B1"/>
    <w:rsid w:val="9A5F96F1"/>
    <w:rsid w:val="9AA70088"/>
    <w:rsid w:val="9AE64587"/>
    <w:rsid w:val="9B5FC5C7"/>
    <w:rsid w:val="9BC512A1"/>
    <w:rsid w:val="9BDE13EE"/>
    <w:rsid w:val="9CCBB844"/>
    <w:rsid w:val="9CDF42FC"/>
    <w:rsid w:val="9D3BCE85"/>
    <w:rsid w:val="9DC72394"/>
    <w:rsid w:val="9DEF66EB"/>
    <w:rsid w:val="9E3F7994"/>
    <w:rsid w:val="9EBC7CB2"/>
    <w:rsid w:val="9EBFEF34"/>
    <w:rsid w:val="9EDB45EE"/>
    <w:rsid w:val="9EFBC33E"/>
    <w:rsid w:val="9F7306BB"/>
    <w:rsid w:val="9F7E63DB"/>
    <w:rsid w:val="9F9E355F"/>
    <w:rsid w:val="9FAF1790"/>
    <w:rsid w:val="9FBEF3B6"/>
    <w:rsid w:val="9FCABAA1"/>
    <w:rsid w:val="9FCF1726"/>
    <w:rsid w:val="9FCF8BBC"/>
    <w:rsid w:val="9FD78379"/>
    <w:rsid w:val="9FDCE5CA"/>
    <w:rsid w:val="9FDF1225"/>
    <w:rsid w:val="9FDF2195"/>
    <w:rsid w:val="9FEEE43A"/>
    <w:rsid w:val="9FF78DB4"/>
    <w:rsid w:val="9FF8A98B"/>
    <w:rsid w:val="9FFBFD63"/>
    <w:rsid w:val="9FFCAD0C"/>
    <w:rsid w:val="9FFDBA9D"/>
    <w:rsid w:val="9FFDBC85"/>
    <w:rsid w:val="9FFEB0B7"/>
    <w:rsid w:val="A1FF6572"/>
    <w:rsid w:val="A346D97E"/>
    <w:rsid w:val="A37DE3E3"/>
    <w:rsid w:val="A4EEAD74"/>
    <w:rsid w:val="A56BCB03"/>
    <w:rsid w:val="A5F79205"/>
    <w:rsid w:val="A6B6269D"/>
    <w:rsid w:val="A6B7AECD"/>
    <w:rsid w:val="A79A313B"/>
    <w:rsid w:val="A7AF6399"/>
    <w:rsid w:val="A7AFC54F"/>
    <w:rsid w:val="A7EF2544"/>
    <w:rsid w:val="A7F9306D"/>
    <w:rsid w:val="A7FDB26E"/>
    <w:rsid w:val="AB679146"/>
    <w:rsid w:val="AB7FF6D4"/>
    <w:rsid w:val="ABEEA7CA"/>
    <w:rsid w:val="ABFFD812"/>
    <w:rsid w:val="ACA9D263"/>
    <w:rsid w:val="ACFB59A2"/>
    <w:rsid w:val="ADC69261"/>
    <w:rsid w:val="ADD6140B"/>
    <w:rsid w:val="ADF09C17"/>
    <w:rsid w:val="ADFF9AA0"/>
    <w:rsid w:val="AE6E2DF0"/>
    <w:rsid w:val="AE6F7E37"/>
    <w:rsid w:val="AE8D1FFA"/>
    <w:rsid w:val="AECFFA23"/>
    <w:rsid w:val="AEDE518F"/>
    <w:rsid w:val="AEEFCF38"/>
    <w:rsid w:val="AEFED43D"/>
    <w:rsid w:val="AEFF3549"/>
    <w:rsid w:val="AF338219"/>
    <w:rsid w:val="AF69C701"/>
    <w:rsid w:val="AFB787C2"/>
    <w:rsid w:val="AFC0DFDF"/>
    <w:rsid w:val="AFDEDD44"/>
    <w:rsid w:val="AFDF0CE8"/>
    <w:rsid w:val="AFE95D1E"/>
    <w:rsid w:val="AFEB0E25"/>
    <w:rsid w:val="AFEB4572"/>
    <w:rsid w:val="AFED0B2A"/>
    <w:rsid w:val="AFEE200A"/>
    <w:rsid w:val="AFF74EB3"/>
    <w:rsid w:val="AFFD76E2"/>
    <w:rsid w:val="AFFD81C8"/>
    <w:rsid w:val="AFFF2216"/>
    <w:rsid w:val="AFFF31C9"/>
    <w:rsid w:val="AFFF4872"/>
    <w:rsid w:val="B1ED7194"/>
    <w:rsid w:val="B1F64924"/>
    <w:rsid w:val="B1FF711F"/>
    <w:rsid w:val="B2DACFC6"/>
    <w:rsid w:val="B2FFED19"/>
    <w:rsid w:val="B3168800"/>
    <w:rsid w:val="B37EA82C"/>
    <w:rsid w:val="B3BCEB55"/>
    <w:rsid w:val="B3BFB1F0"/>
    <w:rsid w:val="B3BFB8F9"/>
    <w:rsid w:val="B3DB8417"/>
    <w:rsid w:val="B3EC6D36"/>
    <w:rsid w:val="B3FF15FF"/>
    <w:rsid w:val="B47F2F40"/>
    <w:rsid w:val="B4F605CD"/>
    <w:rsid w:val="B5EF371E"/>
    <w:rsid w:val="B5F94D19"/>
    <w:rsid w:val="B5FB260A"/>
    <w:rsid w:val="B5FD1987"/>
    <w:rsid w:val="B6BC12FF"/>
    <w:rsid w:val="B6CF7E3A"/>
    <w:rsid w:val="B6EEA170"/>
    <w:rsid w:val="B6FD7638"/>
    <w:rsid w:val="B7332C78"/>
    <w:rsid w:val="B74FA520"/>
    <w:rsid w:val="B77348A9"/>
    <w:rsid w:val="B776754D"/>
    <w:rsid w:val="B7771B9F"/>
    <w:rsid w:val="B777C751"/>
    <w:rsid w:val="B78B7018"/>
    <w:rsid w:val="B7978BE2"/>
    <w:rsid w:val="B7B569F3"/>
    <w:rsid w:val="B7E1BB64"/>
    <w:rsid w:val="B7E7EFB9"/>
    <w:rsid w:val="B7EFBB41"/>
    <w:rsid w:val="B7F71686"/>
    <w:rsid w:val="B7F95E1D"/>
    <w:rsid w:val="B7FD11D1"/>
    <w:rsid w:val="B7FD58E8"/>
    <w:rsid w:val="B7FF4CEF"/>
    <w:rsid w:val="B7FF78A0"/>
    <w:rsid w:val="B7FFE8C3"/>
    <w:rsid w:val="B97F13BB"/>
    <w:rsid w:val="B9ABAD1B"/>
    <w:rsid w:val="B9DDCCD7"/>
    <w:rsid w:val="B9DDD31A"/>
    <w:rsid w:val="B9DF911F"/>
    <w:rsid w:val="B9F11C0E"/>
    <w:rsid w:val="B9F38AAA"/>
    <w:rsid w:val="B9F70E6B"/>
    <w:rsid w:val="B9FB553A"/>
    <w:rsid w:val="B9FBBB40"/>
    <w:rsid w:val="B9FC8019"/>
    <w:rsid w:val="B9FF0D01"/>
    <w:rsid w:val="B9FFDFBC"/>
    <w:rsid w:val="BAB7FAAD"/>
    <w:rsid w:val="BAFF44E7"/>
    <w:rsid w:val="BBAB332C"/>
    <w:rsid w:val="BBAFC44A"/>
    <w:rsid w:val="BBB35ABE"/>
    <w:rsid w:val="BBDB943C"/>
    <w:rsid w:val="BBDFB652"/>
    <w:rsid w:val="BBE34A86"/>
    <w:rsid w:val="BBE58808"/>
    <w:rsid w:val="BBF3A513"/>
    <w:rsid w:val="BBF67215"/>
    <w:rsid w:val="BBFBC2DE"/>
    <w:rsid w:val="BBFC8374"/>
    <w:rsid w:val="BBFE9773"/>
    <w:rsid w:val="BBFF6840"/>
    <w:rsid w:val="BBFFB7F6"/>
    <w:rsid w:val="BCEB1B50"/>
    <w:rsid w:val="BCFDF8C0"/>
    <w:rsid w:val="BD2EF079"/>
    <w:rsid w:val="BD3BDC4F"/>
    <w:rsid w:val="BD5F8C76"/>
    <w:rsid w:val="BD7FBD44"/>
    <w:rsid w:val="BD9D2F0F"/>
    <w:rsid w:val="BD9FC109"/>
    <w:rsid w:val="BDA37855"/>
    <w:rsid w:val="BDBDA75D"/>
    <w:rsid w:val="BDC925B7"/>
    <w:rsid w:val="BDDE9F5C"/>
    <w:rsid w:val="BDEF742B"/>
    <w:rsid w:val="BDF6D5E4"/>
    <w:rsid w:val="BDF6F16D"/>
    <w:rsid w:val="BDFEBBB1"/>
    <w:rsid w:val="BDFF6988"/>
    <w:rsid w:val="BE37DF3A"/>
    <w:rsid w:val="BE3B47F6"/>
    <w:rsid w:val="BE5E31D6"/>
    <w:rsid w:val="BEDAB132"/>
    <w:rsid w:val="BEE74EFF"/>
    <w:rsid w:val="BEEF55EE"/>
    <w:rsid w:val="BEFC1D97"/>
    <w:rsid w:val="BEFEC6AA"/>
    <w:rsid w:val="BF1ED4CB"/>
    <w:rsid w:val="BF2D86A2"/>
    <w:rsid w:val="BF33DC7A"/>
    <w:rsid w:val="BF3B3CC9"/>
    <w:rsid w:val="BF3BA040"/>
    <w:rsid w:val="BF3F80DE"/>
    <w:rsid w:val="BF3FE99C"/>
    <w:rsid w:val="BF6F4CA1"/>
    <w:rsid w:val="BF6FEB54"/>
    <w:rsid w:val="BF774BAF"/>
    <w:rsid w:val="BF77A93E"/>
    <w:rsid w:val="BF7BD1A4"/>
    <w:rsid w:val="BF7E0384"/>
    <w:rsid w:val="BF7EA48B"/>
    <w:rsid w:val="BF7F504A"/>
    <w:rsid w:val="BF7FF160"/>
    <w:rsid w:val="BF8E9517"/>
    <w:rsid w:val="BF98B5B1"/>
    <w:rsid w:val="BFAFA728"/>
    <w:rsid w:val="BFB68FF7"/>
    <w:rsid w:val="BFBC0092"/>
    <w:rsid w:val="BFBE1889"/>
    <w:rsid w:val="BFBF0B9A"/>
    <w:rsid w:val="BFBF3B32"/>
    <w:rsid w:val="BFBF5437"/>
    <w:rsid w:val="BFCE5580"/>
    <w:rsid w:val="BFD5042B"/>
    <w:rsid w:val="BFDC7C1E"/>
    <w:rsid w:val="BFDE68FD"/>
    <w:rsid w:val="BFDF8F55"/>
    <w:rsid w:val="BFE56ACA"/>
    <w:rsid w:val="BFE957F8"/>
    <w:rsid w:val="BFEA10B9"/>
    <w:rsid w:val="BFEBD595"/>
    <w:rsid w:val="BFEEA527"/>
    <w:rsid w:val="BFEEE85E"/>
    <w:rsid w:val="BFEF26C8"/>
    <w:rsid w:val="BFF39118"/>
    <w:rsid w:val="BFF74E26"/>
    <w:rsid w:val="BFF76B7D"/>
    <w:rsid w:val="BFFB03CA"/>
    <w:rsid w:val="BFFB86BD"/>
    <w:rsid w:val="BFFD0043"/>
    <w:rsid w:val="BFFD7DB1"/>
    <w:rsid w:val="BFFD937C"/>
    <w:rsid w:val="BFFE729A"/>
    <w:rsid w:val="BFFF47DD"/>
    <w:rsid w:val="BFFF5B90"/>
    <w:rsid w:val="BFFF6754"/>
    <w:rsid w:val="BFFF67AC"/>
    <w:rsid w:val="BFFFC938"/>
    <w:rsid w:val="BFFFEE2D"/>
    <w:rsid w:val="C2EE3327"/>
    <w:rsid w:val="C4FF71D8"/>
    <w:rsid w:val="C5A37B7A"/>
    <w:rsid w:val="C77F297E"/>
    <w:rsid w:val="C7E70F90"/>
    <w:rsid w:val="C7EE0087"/>
    <w:rsid w:val="C7FE5B85"/>
    <w:rsid w:val="C7FF23C9"/>
    <w:rsid w:val="C7FF3880"/>
    <w:rsid w:val="C7FF9B1C"/>
    <w:rsid w:val="C7FFB887"/>
    <w:rsid w:val="CB7CCB31"/>
    <w:rsid w:val="CBFF1424"/>
    <w:rsid w:val="CCFFCAA6"/>
    <w:rsid w:val="CD3FF332"/>
    <w:rsid w:val="CDF75181"/>
    <w:rsid w:val="CDFDCBC8"/>
    <w:rsid w:val="CDFF9E9E"/>
    <w:rsid w:val="CE690193"/>
    <w:rsid w:val="CE6BEFFD"/>
    <w:rsid w:val="CE6FEFD4"/>
    <w:rsid w:val="CED925E7"/>
    <w:rsid w:val="CEDECB4A"/>
    <w:rsid w:val="CEFC1495"/>
    <w:rsid w:val="CEFF7D39"/>
    <w:rsid w:val="CF3EAA09"/>
    <w:rsid w:val="CF640E5D"/>
    <w:rsid w:val="CF77EA86"/>
    <w:rsid w:val="CF9C6F1E"/>
    <w:rsid w:val="CFB76774"/>
    <w:rsid w:val="CFBFA4C2"/>
    <w:rsid w:val="CFDB317C"/>
    <w:rsid w:val="CFE45B42"/>
    <w:rsid w:val="CFEDF223"/>
    <w:rsid w:val="CFEFDB3F"/>
    <w:rsid w:val="CFF1C806"/>
    <w:rsid w:val="CFF661D4"/>
    <w:rsid w:val="CFF76EC7"/>
    <w:rsid w:val="CFFBAB7F"/>
    <w:rsid w:val="CFFE278F"/>
    <w:rsid w:val="D0CFC10C"/>
    <w:rsid w:val="D0FE8873"/>
    <w:rsid w:val="D1FF5EC0"/>
    <w:rsid w:val="D227F724"/>
    <w:rsid w:val="D2EF5C11"/>
    <w:rsid w:val="D2FADA4A"/>
    <w:rsid w:val="D2FE92B4"/>
    <w:rsid w:val="D2FFC640"/>
    <w:rsid w:val="D33FF575"/>
    <w:rsid w:val="D39F0DA0"/>
    <w:rsid w:val="D3BFAED4"/>
    <w:rsid w:val="D3DB5903"/>
    <w:rsid w:val="D3EFD4E6"/>
    <w:rsid w:val="D5325571"/>
    <w:rsid w:val="D59FEDF7"/>
    <w:rsid w:val="D5B31A38"/>
    <w:rsid w:val="D5DB0D43"/>
    <w:rsid w:val="D5F72D49"/>
    <w:rsid w:val="D5FF9D99"/>
    <w:rsid w:val="D6556621"/>
    <w:rsid w:val="D6F731C9"/>
    <w:rsid w:val="D76DA6A2"/>
    <w:rsid w:val="D777E07B"/>
    <w:rsid w:val="D77B2A1E"/>
    <w:rsid w:val="D77F4B88"/>
    <w:rsid w:val="D77FEF52"/>
    <w:rsid w:val="D77FFA87"/>
    <w:rsid w:val="D797657D"/>
    <w:rsid w:val="D79F3749"/>
    <w:rsid w:val="D7DF0FBB"/>
    <w:rsid w:val="D7E76D5A"/>
    <w:rsid w:val="D7F67B5D"/>
    <w:rsid w:val="D7F6C1F4"/>
    <w:rsid w:val="D7F7C9AA"/>
    <w:rsid w:val="D7F90AF5"/>
    <w:rsid w:val="D7FB359F"/>
    <w:rsid w:val="D7FC30DF"/>
    <w:rsid w:val="D93FD3C3"/>
    <w:rsid w:val="D975EAFB"/>
    <w:rsid w:val="D9BF11E9"/>
    <w:rsid w:val="D9D708EF"/>
    <w:rsid w:val="D9F5B450"/>
    <w:rsid w:val="D9FFC4AC"/>
    <w:rsid w:val="DA6EB891"/>
    <w:rsid w:val="DA7D6600"/>
    <w:rsid w:val="DADFD132"/>
    <w:rsid w:val="DAE24EB9"/>
    <w:rsid w:val="DAFDDEEC"/>
    <w:rsid w:val="DB313EFA"/>
    <w:rsid w:val="DB7F356A"/>
    <w:rsid w:val="DBB77CCA"/>
    <w:rsid w:val="DBD49D81"/>
    <w:rsid w:val="DBDBCC32"/>
    <w:rsid w:val="DBF618F1"/>
    <w:rsid w:val="DBF7D804"/>
    <w:rsid w:val="DBFCCC10"/>
    <w:rsid w:val="DBFDD965"/>
    <w:rsid w:val="DBFF3CFC"/>
    <w:rsid w:val="DBFFF5FA"/>
    <w:rsid w:val="DBFFFA41"/>
    <w:rsid w:val="DC3FAEAC"/>
    <w:rsid w:val="DC5D415B"/>
    <w:rsid w:val="DC7DC7DC"/>
    <w:rsid w:val="DC8D962F"/>
    <w:rsid w:val="DCDB7605"/>
    <w:rsid w:val="DCF9C767"/>
    <w:rsid w:val="DCFB2285"/>
    <w:rsid w:val="DCFB60EA"/>
    <w:rsid w:val="DD350DA8"/>
    <w:rsid w:val="DD6FF04E"/>
    <w:rsid w:val="DD7A2964"/>
    <w:rsid w:val="DD7BCBCC"/>
    <w:rsid w:val="DD7FA80A"/>
    <w:rsid w:val="DDAE27D1"/>
    <w:rsid w:val="DDBA6896"/>
    <w:rsid w:val="DDBCCCCB"/>
    <w:rsid w:val="DDC6740F"/>
    <w:rsid w:val="DDD7887D"/>
    <w:rsid w:val="DDDC329C"/>
    <w:rsid w:val="DDDFD00B"/>
    <w:rsid w:val="DDE336CA"/>
    <w:rsid w:val="DDEFCA2B"/>
    <w:rsid w:val="DDF7E93C"/>
    <w:rsid w:val="DDF940A0"/>
    <w:rsid w:val="DDFF69F1"/>
    <w:rsid w:val="DE1B3EFD"/>
    <w:rsid w:val="DE1F709F"/>
    <w:rsid w:val="DE1F80AD"/>
    <w:rsid w:val="DE7B66C1"/>
    <w:rsid w:val="DE7DC567"/>
    <w:rsid w:val="DE8DB1E5"/>
    <w:rsid w:val="DEBBFC72"/>
    <w:rsid w:val="DEBE852A"/>
    <w:rsid w:val="DED09AB6"/>
    <w:rsid w:val="DEDD303F"/>
    <w:rsid w:val="DEDD615D"/>
    <w:rsid w:val="DEDFE87A"/>
    <w:rsid w:val="DEED9290"/>
    <w:rsid w:val="DEEFE498"/>
    <w:rsid w:val="DEF5C9F4"/>
    <w:rsid w:val="DEF90987"/>
    <w:rsid w:val="DEFA892F"/>
    <w:rsid w:val="DEFE65C2"/>
    <w:rsid w:val="DEFED075"/>
    <w:rsid w:val="DEFF2C20"/>
    <w:rsid w:val="DF0F519E"/>
    <w:rsid w:val="DF1F99EB"/>
    <w:rsid w:val="DF2D99BF"/>
    <w:rsid w:val="DF5DE8FD"/>
    <w:rsid w:val="DF5ECA5B"/>
    <w:rsid w:val="DF5EEE89"/>
    <w:rsid w:val="DF6D71FF"/>
    <w:rsid w:val="DF6FA363"/>
    <w:rsid w:val="DF7B6881"/>
    <w:rsid w:val="DF7F86ED"/>
    <w:rsid w:val="DF7FB91C"/>
    <w:rsid w:val="DF80C7E5"/>
    <w:rsid w:val="DF9E68B6"/>
    <w:rsid w:val="DFAD4637"/>
    <w:rsid w:val="DFB3AFAD"/>
    <w:rsid w:val="DFB3FBEA"/>
    <w:rsid w:val="DFB8C303"/>
    <w:rsid w:val="DFBA3A03"/>
    <w:rsid w:val="DFBB3E83"/>
    <w:rsid w:val="DFBE137E"/>
    <w:rsid w:val="DFBFEFB2"/>
    <w:rsid w:val="DFCF61FB"/>
    <w:rsid w:val="DFD3C6AA"/>
    <w:rsid w:val="DFD5EADB"/>
    <w:rsid w:val="DFDE74CA"/>
    <w:rsid w:val="DFDFE68C"/>
    <w:rsid w:val="DFDFFAB0"/>
    <w:rsid w:val="DFEB64C4"/>
    <w:rsid w:val="DFEE44BE"/>
    <w:rsid w:val="DFEF3794"/>
    <w:rsid w:val="DFEFCF78"/>
    <w:rsid w:val="DFEFE843"/>
    <w:rsid w:val="DFF16927"/>
    <w:rsid w:val="DFF253AE"/>
    <w:rsid w:val="DFF36696"/>
    <w:rsid w:val="DFF70690"/>
    <w:rsid w:val="DFF7528B"/>
    <w:rsid w:val="DFFBB357"/>
    <w:rsid w:val="DFFBB579"/>
    <w:rsid w:val="DFFC9EBC"/>
    <w:rsid w:val="DFFD5389"/>
    <w:rsid w:val="DFFD7262"/>
    <w:rsid w:val="DFFD7C0B"/>
    <w:rsid w:val="DFFF4891"/>
    <w:rsid w:val="DFFF9159"/>
    <w:rsid w:val="DFFFA7D4"/>
    <w:rsid w:val="DFFFF000"/>
    <w:rsid w:val="DFFFF472"/>
    <w:rsid w:val="E1F77BF5"/>
    <w:rsid w:val="E1FB529B"/>
    <w:rsid w:val="E1FD9859"/>
    <w:rsid w:val="E27F71B7"/>
    <w:rsid w:val="E3CD4039"/>
    <w:rsid w:val="E3FB7383"/>
    <w:rsid w:val="E3FD43BA"/>
    <w:rsid w:val="E3FD6B47"/>
    <w:rsid w:val="E3FFC802"/>
    <w:rsid w:val="E45EB98C"/>
    <w:rsid w:val="E4B6046C"/>
    <w:rsid w:val="E4FF69A7"/>
    <w:rsid w:val="E56FDD6C"/>
    <w:rsid w:val="E5BB00DE"/>
    <w:rsid w:val="E5BB3E0A"/>
    <w:rsid w:val="E5F3592D"/>
    <w:rsid w:val="E5FBE54C"/>
    <w:rsid w:val="E5FF9B0D"/>
    <w:rsid w:val="E63FE271"/>
    <w:rsid w:val="E67F5471"/>
    <w:rsid w:val="E6E3F65F"/>
    <w:rsid w:val="E6FF3D51"/>
    <w:rsid w:val="E6FF5CE9"/>
    <w:rsid w:val="E6FFA405"/>
    <w:rsid w:val="E77BA556"/>
    <w:rsid w:val="E79F9C41"/>
    <w:rsid w:val="E7B4D1D3"/>
    <w:rsid w:val="E7BD7B2A"/>
    <w:rsid w:val="E7DB0DA0"/>
    <w:rsid w:val="E7F5AA34"/>
    <w:rsid w:val="E7F65235"/>
    <w:rsid w:val="E7F7B1CA"/>
    <w:rsid w:val="E7FADFB1"/>
    <w:rsid w:val="E7FD27C0"/>
    <w:rsid w:val="E7FD2968"/>
    <w:rsid w:val="E7FE587E"/>
    <w:rsid w:val="E7FF0192"/>
    <w:rsid w:val="E7FF0C15"/>
    <w:rsid w:val="E7FF1EBE"/>
    <w:rsid w:val="E7FFA46B"/>
    <w:rsid w:val="E99E487E"/>
    <w:rsid w:val="E9A6118A"/>
    <w:rsid w:val="E9B9A2F1"/>
    <w:rsid w:val="E9BBB0D2"/>
    <w:rsid w:val="E9F27B49"/>
    <w:rsid w:val="E9F96CC9"/>
    <w:rsid w:val="E9FD34C5"/>
    <w:rsid w:val="E9FE0765"/>
    <w:rsid w:val="EA5F23B1"/>
    <w:rsid w:val="EAAF7688"/>
    <w:rsid w:val="EAFF7263"/>
    <w:rsid w:val="EAFF956A"/>
    <w:rsid w:val="EB5F21F5"/>
    <w:rsid w:val="EB79B313"/>
    <w:rsid w:val="EB7D1524"/>
    <w:rsid w:val="EB7D2DCF"/>
    <w:rsid w:val="EB9FF418"/>
    <w:rsid w:val="EBBFB6B6"/>
    <w:rsid w:val="EBDD542E"/>
    <w:rsid w:val="EBDD85C6"/>
    <w:rsid w:val="EBDD93DF"/>
    <w:rsid w:val="EBF5AFA9"/>
    <w:rsid w:val="EBF9F1C8"/>
    <w:rsid w:val="EBFB4C18"/>
    <w:rsid w:val="EBFF1533"/>
    <w:rsid w:val="EC681018"/>
    <w:rsid w:val="ECD7F897"/>
    <w:rsid w:val="ECEE19E2"/>
    <w:rsid w:val="ECFDE23D"/>
    <w:rsid w:val="ED3C055A"/>
    <w:rsid w:val="ED3D5D9C"/>
    <w:rsid w:val="ED5F8B94"/>
    <w:rsid w:val="ED723120"/>
    <w:rsid w:val="EDB4EDDA"/>
    <w:rsid w:val="EDB53F91"/>
    <w:rsid w:val="EDD63E46"/>
    <w:rsid w:val="EDEA16A3"/>
    <w:rsid w:val="EDEE65B4"/>
    <w:rsid w:val="EDF6E0E1"/>
    <w:rsid w:val="EDF7C161"/>
    <w:rsid w:val="EE7552F8"/>
    <w:rsid w:val="EE765CDA"/>
    <w:rsid w:val="EE979B8B"/>
    <w:rsid w:val="EE9B4178"/>
    <w:rsid w:val="EE9F3EDE"/>
    <w:rsid w:val="EEA9B334"/>
    <w:rsid w:val="EEBFF065"/>
    <w:rsid w:val="EEDD3C13"/>
    <w:rsid w:val="EEDF36D9"/>
    <w:rsid w:val="EEDFEE02"/>
    <w:rsid w:val="EEEF4341"/>
    <w:rsid w:val="EEFD68CF"/>
    <w:rsid w:val="EEFDA11D"/>
    <w:rsid w:val="EEFF44EE"/>
    <w:rsid w:val="EF27DE69"/>
    <w:rsid w:val="EF2FFA5F"/>
    <w:rsid w:val="EF5DBC5C"/>
    <w:rsid w:val="EF73BA3F"/>
    <w:rsid w:val="EF75794B"/>
    <w:rsid w:val="EF79D6D1"/>
    <w:rsid w:val="EF7B122B"/>
    <w:rsid w:val="EF7BD23F"/>
    <w:rsid w:val="EF7E55E8"/>
    <w:rsid w:val="EF7F8B8A"/>
    <w:rsid w:val="EF7FD267"/>
    <w:rsid w:val="EF92B3DF"/>
    <w:rsid w:val="EF9CC1C4"/>
    <w:rsid w:val="EF9F6E0D"/>
    <w:rsid w:val="EFB38C25"/>
    <w:rsid w:val="EFB77140"/>
    <w:rsid w:val="EFBF834F"/>
    <w:rsid w:val="EFC54993"/>
    <w:rsid w:val="EFC86991"/>
    <w:rsid w:val="EFD92ED5"/>
    <w:rsid w:val="EFDB5286"/>
    <w:rsid w:val="EFDBD27F"/>
    <w:rsid w:val="EFDE51F0"/>
    <w:rsid w:val="EFE752F5"/>
    <w:rsid w:val="EFEE99DC"/>
    <w:rsid w:val="EFEF3AB0"/>
    <w:rsid w:val="EFEF9D04"/>
    <w:rsid w:val="EFF36F5F"/>
    <w:rsid w:val="EFFD0015"/>
    <w:rsid w:val="EFFD0764"/>
    <w:rsid w:val="EFFDA772"/>
    <w:rsid w:val="EFFDB4D7"/>
    <w:rsid w:val="EFFDE347"/>
    <w:rsid w:val="EFFE7C82"/>
    <w:rsid w:val="EFFE8FC2"/>
    <w:rsid w:val="EFFEA1FE"/>
    <w:rsid w:val="EFFEB96E"/>
    <w:rsid w:val="EFFF0883"/>
    <w:rsid w:val="EFFF5079"/>
    <w:rsid w:val="EFFF58DB"/>
    <w:rsid w:val="EFFFA67F"/>
    <w:rsid w:val="F0591CD3"/>
    <w:rsid w:val="F05FB82A"/>
    <w:rsid w:val="F073315B"/>
    <w:rsid w:val="F0FF22F5"/>
    <w:rsid w:val="F15B5C37"/>
    <w:rsid w:val="F1EBFF94"/>
    <w:rsid w:val="F1EF8352"/>
    <w:rsid w:val="F1F14855"/>
    <w:rsid w:val="F1F77BBB"/>
    <w:rsid w:val="F1F7C687"/>
    <w:rsid w:val="F1FD2D49"/>
    <w:rsid w:val="F29CE358"/>
    <w:rsid w:val="F2C31772"/>
    <w:rsid w:val="F2E7FEDD"/>
    <w:rsid w:val="F2EB60C8"/>
    <w:rsid w:val="F2FD8718"/>
    <w:rsid w:val="F2FEEDE3"/>
    <w:rsid w:val="F33FE8DA"/>
    <w:rsid w:val="F359F8CB"/>
    <w:rsid w:val="F37492EA"/>
    <w:rsid w:val="F37F3125"/>
    <w:rsid w:val="F3DB27DC"/>
    <w:rsid w:val="F3DBE4C6"/>
    <w:rsid w:val="F3DFD7D7"/>
    <w:rsid w:val="F3E52C9F"/>
    <w:rsid w:val="F3EB637B"/>
    <w:rsid w:val="F3EF7210"/>
    <w:rsid w:val="F3FAF7D7"/>
    <w:rsid w:val="F3FB7D85"/>
    <w:rsid w:val="F3FBD5BC"/>
    <w:rsid w:val="F3FF9F0A"/>
    <w:rsid w:val="F4BF251F"/>
    <w:rsid w:val="F4BF4CBE"/>
    <w:rsid w:val="F4F77F4E"/>
    <w:rsid w:val="F53F52D7"/>
    <w:rsid w:val="F55F6E72"/>
    <w:rsid w:val="F57B0B12"/>
    <w:rsid w:val="F5CFAD68"/>
    <w:rsid w:val="F5DD837C"/>
    <w:rsid w:val="F5DF4E8E"/>
    <w:rsid w:val="F5DFD1A6"/>
    <w:rsid w:val="F5E1F130"/>
    <w:rsid w:val="F5E35FA7"/>
    <w:rsid w:val="F5F1F727"/>
    <w:rsid w:val="F5F38377"/>
    <w:rsid w:val="F5F63FF4"/>
    <w:rsid w:val="F5F642B9"/>
    <w:rsid w:val="F5F7E4D3"/>
    <w:rsid w:val="F5FBE724"/>
    <w:rsid w:val="F5FC4135"/>
    <w:rsid w:val="F5FDB462"/>
    <w:rsid w:val="F5FF91B4"/>
    <w:rsid w:val="F5FFF7E6"/>
    <w:rsid w:val="F63CF73A"/>
    <w:rsid w:val="F6743812"/>
    <w:rsid w:val="F67F5C52"/>
    <w:rsid w:val="F6912555"/>
    <w:rsid w:val="F6B6231E"/>
    <w:rsid w:val="F6C227F6"/>
    <w:rsid w:val="F6D7608F"/>
    <w:rsid w:val="F6E38A8D"/>
    <w:rsid w:val="F6E705D2"/>
    <w:rsid w:val="F6EF57E0"/>
    <w:rsid w:val="F6FDD906"/>
    <w:rsid w:val="F6FFEBC0"/>
    <w:rsid w:val="F76AE138"/>
    <w:rsid w:val="F76CB9BD"/>
    <w:rsid w:val="F76F1863"/>
    <w:rsid w:val="F76F9A08"/>
    <w:rsid w:val="F773B4CB"/>
    <w:rsid w:val="F777244C"/>
    <w:rsid w:val="F7773FAE"/>
    <w:rsid w:val="F77B00D8"/>
    <w:rsid w:val="F77B82C1"/>
    <w:rsid w:val="F77DACD9"/>
    <w:rsid w:val="F77EEE05"/>
    <w:rsid w:val="F77F18EC"/>
    <w:rsid w:val="F77F35BE"/>
    <w:rsid w:val="F77FDA25"/>
    <w:rsid w:val="F79D748C"/>
    <w:rsid w:val="F7A6B90A"/>
    <w:rsid w:val="F7ABE749"/>
    <w:rsid w:val="F7ADBE5B"/>
    <w:rsid w:val="F7AF05A0"/>
    <w:rsid w:val="F7AFA0B9"/>
    <w:rsid w:val="F7B726A9"/>
    <w:rsid w:val="F7B734CC"/>
    <w:rsid w:val="F7B96F75"/>
    <w:rsid w:val="F7BA9245"/>
    <w:rsid w:val="F7BF3C24"/>
    <w:rsid w:val="F7CBE35C"/>
    <w:rsid w:val="F7CCE406"/>
    <w:rsid w:val="F7DB6FB3"/>
    <w:rsid w:val="F7DD94E9"/>
    <w:rsid w:val="F7DE29F3"/>
    <w:rsid w:val="F7DF521E"/>
    <w:rsid w:val="F7EBA120"/>
    <w:rsid w:val="F7ECB91B"/>
    <w:rsid w:val="F7ECF1B1"/>
    <w:rsid w:val="F7ED4D72"/>
    <w:rsid w:val="F7EDF87F"/>
    <w:rsid w:val="F7EE5BAF"/>
    <w:rsid w:val="F7EE813E"/>
    <w:rsid w:val="F7EE97A4"/>
    <w:rsid w:val="F7EE9B44"/>
    <w:rsid w:val="F7EF3CE6"/>
    <w:rsid w:val="F7F6E1AA"/>
    <w:rsid w:val="F7F7169A"/>
    <w:rsid w:val="F7F76A8C"/>
    <w:rsid w:val="F7F7E7F1"/>
    <w:rsid w:val="F7F7F720"/>
    <w:rsid w:val="F7F8B649"/>
    <w:rsid w:val="F7F9692A"/>
    <w:rsid w:val="F7FD40BB"/>
    <w:rsid w:val="F7FDC335"/>
    <w:rsid w:val="F7FEE29B"/>
    <w:rsid w:val="F7FF1602"/>
    <w:rsid w:val="F7FF509D"/>
    <w:rsid w:val="F7FF8B41"/>
    <w:rsid w:val="F7FFD083"/>
    <w:rsid w:val="F81F8343"/>
    <w:rsid w:val="F832E40B"/>
    <w:rsid w:val="F89F5F5A"/>
    <w:rsid w:val="F8BF3D23"/>
    <w:rsid w:val="F8CF05B0"/>
    <w:rsid w:val="F8DE5D48"/>
    <w:rsid w:val="F8F727D2"/>
    <w:rsid w:val="F8FF3FCF"/>
    <w:rsid w:val="F915A474"/>
    <w:rsid w:val="F97748DB"/>
    <w:rsid w:val="F97EF839"/>
    <w:rsid w:val="F98B63B3"/>
    <w:rsid w:val="F98F8992"/>
    <w:rsid w:val="F99EA9FB"/>
    <w:rsid w:val="F9BBDB5B"/>
    <w:rsid w:val="F9E9358C"/>
    <w:rsid w:val="F9EEE440"/>
    <w:rsid w:val="F9FDBD76"/>
    <w:rsid w:val="FA2B7178"/>
    <w:rsid w:val="FA4B3F14"/>
    <w:rsid w:val="FA674F71"/>
    <w:rsid w:val="FA78EC26"/>
    <w:rsid w:val="FA7E6ABE"/>
    <w:rsid w:val="FAB6C909"/>
    <w:rsid w:val="FABB50DE"/>
    <w:rsid w:val="FABF95C9"/>
    <w:rsid w:val="FADF1B1B"/>
    <w:rsid w:val="FADFB2E2"/>
    <w:rsid w:val="FADFD2AD"/>
    <w:rsid w:val="FAEBB35B"/>
    <w:rsid w:val="FAF42080"/>
    <w:rsid w:val="FAF8A0DF"/>
    <w:rsid w:val="FB2D31E7"/>
    <w:rsid w:val="FB2FACDE"/>
    <w:rsid w:val="FB37CE5D"/>
    <w:rsid w:val="FB39DFFF"/>
    <w:rsid w:val="FB3B5B7D"/>
    <w:rsid w:val="FB3D6B96"/>
    <w:rsid w:val="FB538B8F"/>
    <w:rsid w:val="FB5A37A6"/>
    <w:rsid w:val="FB5B56B0"/>
    <w:rsid w:val="FB5FC655"/>
    <w:rsid w:val="FB6714A3"/>
    <w:rsid w:val="FB6D8E54"/>
    <w:rsid w:val="FB6F3357"/>
    <w:rsid w:val="FB734E15"/>
    <w:rsid w:val="FB7AF9BD"/>
    <w:rsid w:val="FB7B7159"/>
    <w:rsid w:val="FB7E3976"/>
    <w:rsid w:val="FB7EF5FD"/>
    <w:rsid w:val="FB7F63D4"/>
    <w:rsid w:val="FB7F6FB8"/>
    <w:rsid w:val="FB7F9706"/>
    <w:rsid w:val="FB7FA4BB"/>
    <w:rsid w:val="FB8FCA13"/>
    <w:rsid w:val="FB9F9050"/>
    <w:rsid w:val="FBB05B28"/>
    <w:rsid w:val="FBB0E544"/>
    <w:rsid w:val="FBB157D7"/>
    <w:rsid w:val="FBB38A27"/>
    <w:rsid w:val="FBB7F3F0"/>
    <w:rsid w:val="FBBB13B1"/>
    <w:rsid w:val="FBBF59CA"/>
    <w:rsid w:val="FBBF9115"/>
    <w:rsid w:val="FBC78C36"/>
    <w:rsid w:val="FBCCA894"/>
    <w:rsid w:val="FBD70267"/>
    <w:rsid w:val="FBD956AA"/>
    <w:rsid w:val="FBDE9989"/>
    <w:rsid w:val="FBDF551B"/>
    <w:rsid w:val="FBDF738C"/>
    <w:rsid w:val="FBDF9BBF"/>
    <w:rsid w:val="FBEB3285"/>
    <w:rsid w:val="FBEBC101"/>
    <w:rsid w:val="FBEF3ED8"/>
    <w:rsid w:val="FBF1C231"/>
    <w:rsid w:val="FBF3D060"/>
    <w:rsid w:val="FBF3DB6A"/>
    <w:rsid w:val="FBF79C21"/>
    <w:rsid w:val="FBF898F3"/>
    <w:rsid w:val="FBF98210"/>
    <w:rsid w:val="FBFBF896"/>
    <w:rsid w:val="FBFC1B75"/>
    <w:rsid w:val="FBFE62E1"/>
    <w:rsid w:val="FBFE72A4"/>
    <w:rsid w:val="FBFE7748"/>
    <w:rsid w:val="FBFF52CC"/>
    <w:rsid w:val="FBFFAAD3"/>
    <w:rsid w:val="FBFFF6EE"/>
    <w:rsid w:val="FC5FE8CB"/>
    <w:rsid w:val="FC6814FA"/>
    <w:rsid w:val="FC7CC397"/>
    <w:rsid w:val="FC8D1139"/>
    <w:rsid w:val="FC8FD1D8"/>
    <w:rsid w:val="FCA950BB"/>
    <w:rsid w:val="FCB53AE1"/>
    <w:rsid w:val="FCBEEFE9"/>
    <w:rsid w:val="FCBFD511"/>
    <w:rsid w:val="FCC9434D"/>
    <w:rsid w:val="FCD60859"/>
    <w:rsid w:val="FCD96996"/>
    <w:rsid w:val="FCDF4B2F"/>
    <w:rsid w:val="FCDFADAC"/>
    <w:rsid w:val="FCDFB3E5"/>
    <w:rsid w:val="FCDFEE22"/>
    <w:rsid w:val="FCE89748"/>
    <w:rsid w:val="FCED64A8"/>
    <w:rsid w:val="FCF74460"/>
    <w:rsid w:val="FCFB7C82"/>
    <w:rsid w:val="FCFE4670"/>
    <w:rsid w:val="FCFE69C0"/>
    <w:rsid w:val="FCFFAC8D"/>
    <w:rsid w:val="FCFFB4FC"/>
    <w:rsid w:val="FD3F68AC"/>
    <w:rsid w:val="FD5EA9E0"/>
    <w:rsid w:val="FD6DE9DF"/>
    <w:rsid w:val="FD6FC305"/>
    <w:rsid w:val="FD7C3674"/>
    <w:rsid w:val="FD7FEF0E"/>
    <w:rsid w:val="FD9FEDE9"/>
    <w:rsid w:val="FDA21891"/>
    <w:rsid w:val="FDA7DE85"/>
    <w:rsid w:val="FDBBC6A3"/>
    <w:rsid w:val="FDBBF7EE"/>
    <w:rsid w:val="FDBD7738"/>
    <w:rsid w:val="FDBF7FED"/>
    <w:rsid w:val="FDBFC7B4"/>
    <w:rsid w:val="FDCD5A80"/>
    <w:rsid w:val="FDD6E51F"/>
    <w:rsid w:val="FDDDE9CD"/>
    <w:rsid w:val="FDDF59F3"/>
    <w:rsid w:val="FDE23827"/>
    <w:rsid w:val="FDE239A1"/>
    <w:rsid w:val="FDEF304D"/>
    <w:rsid w:val="FDEF9E34"/>
    <w:rsid w:val="FDF39B01"/>
    <w:rsid w:val="FDF57F1A"/>
    <w:rsid w:val="FDF7A406"/>
    <w:rsid w:val="FDF7DA82"/>
    <w:rsid w:val="FDF910B7"/>
    <w:rsid w:val="FDFAD49E"/>
    <w:rsid w:val="FDFC3904"/>
    <w:rsid w:val="FDFDC369"/>
    <w:rsid w:val="FDFDF861"/>
    <w:rsid w:val="FDFE3451"/>
    <w:rsid w:val="FDFE3909"/>
    <w:rsid w:val="FDFE3FAA"/>
    <w:rsid w:val="FDFEC2B8"/>
    <w:rsid w:val="FDFED824"/>
    <w:rsid w:val="FDFEF8FE"/>
    <w:rsid w:val="FDFF1EB6"/>
    <w:rsid w:val="FDFF244C"/>
    <w:rsid w:val="FDFF4387"/>
    <w:rsid w:val="FDFF6068"/>
    <w:rsid w:val="FDFF74CA"/>
    <w:rsid w:val="FDFF7941"/>
    <w:rsid w:val="FDFF8E24"/>
    <w:rsid w:val="FE4BDE9E"/>
    <w:rsid w:val="FE5E128C"/>
    <w:rsid w:val="FE5F26E8"/>
    <w:rsid w:val="FE737D1D"/>
    <w:rsid w:val="FE75BB2F"/>
    <w:rsid w:val="FE7B6295"/>
    <w:rsid w:val="FE7FE7BA"/>
    <w:rsid w:val="FE8FF73F"/>
    <w:rsid w:val="FE9BA744"/>
    <w:rsid w:val="FEB7E2F8"/>
    <w:rsid w:val="FEB9DE06"/>
    <w:rsid w:val="FEBB3986"/>
    <w:rsid w:val="FEBB8F2B"/>
    <w:rsid w:val="FEBBAB2C"/>
    <w:rsid w:val="FEBE7192"/>
    <w:rsid w:val="FEC4ECC1"/>
    <w:rsid w:val="FEC7DF4F"/>
    <w:rsid w:val="FECF01BB"/>
    <w:rsid w:val="FED730AF"/>
    <w:rsid w:val="FEDF07E4"/>
    <w:rsid w:val="FEDF5B71"/>
    <w:rsid w:val="FEDF9CA6"/>
    <w:rsid w:val="FEEC0096"/>
    <w:rsid w:val="FEED309E"/>
    <w:rsid w:val="FEED9928"/>
    <w:rsid w:val="FEEF5672"/>
    <w:rsid w:val="FEEF781F"/>
    <w:rsid w:val="FEEF7ABC"/>
    <w:rsid w:val="FEF101A9"/>
    <w:rsid w:val="FEF21FDF"/>
    <w:rsid w:val="FEF929BE"/>
    <w:rsid w:val="FEFA21C5"/>
    <w:rsid w:val="FEFAD20A"/>
    <w:rsid w:val="FEFBA92A"/>
    <w:rsid w:val="FEFC7F1A"/>
    <w:rsid w:val="FEFCDFDD"/>
    <w:rsid w:val="FEFD266C"/>
    <w:rsid w:val="FEFE22F8"/>
    <w:rsid w:val="FEFE8F48"/>
    <w:rsid w:val="FEFEB8E5"/>
    <w:rsid w:val="FEFF33EF"/>
    <w:rsid w:val="FEFF58FA"/>
    <w:rsid w:val="FEFF89C6"/>
    <w:rsid w:val="FEFF8E5C"/>
    <w:rsid w:val="FEFF9576"/>
    <w:rsid w:val="FF24DFBC"/>
    <w:rsid w:val="FF2B9EAD"/>
    <w:rsid w:val="FF2F86F8"/>
    <w:rsid w:val="FF39A642"/>
    <w:rsid w:val="FF3E054A"/>
    <w:rsid w:val="FF3E6642"/>
    <w:rsid w:val="FF3E76BE"/>
    <w:rsid w:val="FF3EC7E3"/>
    <w:rsid w:val="FF505437"/>
    <w:rsid w:val="FF5642B6"/>
    <w:rsid w:val="FF5707E1"/>
    <w:rsid w:val="FF5D9E08"/>
    <w:rsid w:val="FF5E61C9"/>
    <w:rsid w:val="FF5F4BA5"/>
    <w:rsid w:val="FF5FB520"/>
    <w:rsid w:val="FF654D7F"/>
    <w:rsid w:val="FF674FF6"/>
    <w:rsid w:val="FF6B8957"/>
    <w:rsid w:val="FF6DCD9A"/>
    <w:rsid w:val="FF6E223E"/>
    <w:rsid w:val="FF72FA7C"/>
    <w:rsid w:val="FF739DF0"/>
    <w:rsid w:val="FF76C84D"/>
    <w:rsid w:val="FF7B050E"/>
    <w:rsid w:val="FF7BBD5C"/>
    <w:rsid w:val="FF7D138C"/>
    <w:rsid w:val="FF7D2DB3"/>
    <w:rsid w:val="FF7DCC82"/>
    <w:rsid w:val="FF7E13D7"/>
    <w:rsid w:val="FF7E7351"/>
    <w:rsid w:val="FF7F46DF"/>
    <w:rsid w:val="FF7FBE6D"/>
    <w:rsid w:val="FF7FF992"/>
    <w:rsid w:val="FF7FFF52"/>
    <w:rsid w:val="FF86360F"/>
    <w:rsid w:val="FF8C9CD3"/>
    <w:rsid w:val="FF95A5D9"/>
    <w:rsid w:val="FF975037"/>
    <w:rsid w:val="FF9EB4DA"/>
    <w:rsid w:val="FFA7498B"/>
    <w:rsid w:val="FFA9BDE3"/>
    <w:rsid w:val="FFAB5948"/>
    <w:rsid w:val="FFABAE7A"/>
    <w:rsid w:val="FFAEA500"/>
    <w:rsid w:val="FFAF2C50"/>
    <w:rsid w:val="FFAFE4BD"/>
    <w:rsid w:val="FFB6855C"/>
    <w:rsid w:val="FFB7F5DD"/>
    <w:rsid w:val="FFBB1E73"/>
    <w:rsid w:val="FFBB3285"/>
    <w:rsid w:val="FFBB6CAB"/>
    <w:rsid w:val="FFBB926F"/>
    <w:rsid w:val="FFBD6693"/>
    <w:rsid w:val="FFBDC2B7"/>
    <w:rsid w:val="FFBF2CA4"/>
    <w:rsid w:val="FFBF3429"/>
    <w:rsid w:val="FFBF8794"/>
    <w:rsid w:val="FFBF9465"/>
    <w:rsid w:val="FFBFA52A"/>
    <w:rsid w:val="FFBFC424"/>
    <w:rsid w:val="FFC74365"/>
    <w:rsid w:val="FFCD2B0F"/>
    <w:rsid w:val="FFCFBFED"/>
    <w:rsid w:val="FFCFF751"/>
    <w:rsid w:val="FFD39181"/>
    <w:rsid w:val="FFD3F76F"/>
    <w:rsid w:val="FFD76ACB"/>
    <w:rsid w:val="FFDAE271"/>
    <w:rsid w:val="FFDAEC46"/>
    <w:rsid w:val="FFDB6972"/>
    <w:rsid w:val="FFDBB572"/>
    <w:rsid w:val="FFDC417B"/>
    <w:rsid w:val="FFDD773F"/>
    <w:rsid w:val="FFDD83EC"/>
    <w:rsid w:val="FFDDCD41"/>
    <w:rsid w:val="FFDE273E"/>
    <w:rsid w:val="FFDF611F"/>
    <w:rsid w:val="FFDF6522"/>
    <w:rsid w:val="FFE44D55"/>
    <w:rsid w:val="FFE52BDA"/>
    <w:rsid w:val="FFE5CA31"/>
    <w:rsid w:val="FFE5D30D"/>
    <w:rsid w:val="FFE76E0B"/>
    <w:rsid w:val="FFE957DF"/>
    <w:rsid w:val="FFEDB8AA"/>
    <w:rsid w:val="FFEE4AAF"/>
    <w:rsid w:val="FFEE8DAA"/>
    <w:rsid w:val="FFEF09FC"/>
    <w:rsid w:val="FFEF0C5C"/>
    <w:rsid w:val="FFEF0EF9"/>
    <w:rsid w:val="FFEF1846"/>
    <w:rsid w:val="FFEF720F"/>
    <w:rsid w:val="FFEF730A"/>
    <w:rsid w:val="FFEF9838"/>
    <w:rsid w:val="FFEF9F05"/>
    <w:rsid w:val="FFEFD402"/>
    <w:rsid w:val="FFF34B90"/>
    <w:rsid w:val="FFF359A4"/>
    <w:rsid w:val="FFF599AA"/>
    <w:rsid w:val="FFF700CB"/>
    <w:rsid w:val="FFF728F4"/>
    <w:rsid w:val="FFF74E16"/>
    <w:rsid w:val="FFF74FCE"/>
    <w:rsid w:val="FFF764C2"/>
    <w:rsid w:val="FFF7701C"/>
    <w:rsid w:val="FFF788B7"/>
    <w:rsid w:val="FFF7DE79"/>
    <w:rsid w:val="FFF7EAC3"/>
    <w:rsid w:val="FFF92E37"/>
    <w:rsid w:val="FFFA88AE"/>
    <w:rsid w:val="FFFB9560"/>
    <w:rsid w:val="FFFC7EDE"/>
    <w:rsid w:val="FFFC8BFD"/>
    <w:rsid w:val="FFFCBEF1"/>
    <w:rsid w:val="FFFCD433"/>
    <w:rsid w:val="FFFD0D12"/>
    <w:rsid w:val="FFFD6530"/>
    <w:rsid w:val="FFFDC816"/>
    <w:rsid w:val="FFFE5124"/>
    <w:rsid w:val="FFFEAACC"/>
    <w:rsid w:val="FFFF013C"/>
    <w:rsid w:val="FFFF09E5"/>
    <w:rsid w:val="FFFF3DD6"/>
    <w:rsid w:val="FFFF95C2"/>
    <w:rsid w:val="FFFF96BF"/>
    <w:rsid w:val="FFFF9959"/>
    <w:rsid w:val="FFFF99C1"/>
    <w:rsid w:val="FFFFA08D"/>
    <w:rsid w:val="FFFFA199"/>
    <w:rsid w:val="FFFFA99D"/>
    <w:rsid w:val="FFFFBCC9"/>
    <w:rsid w:val="FFFFC2C8"/>
    <w:rsid w:val="FFFFC441"/>
    <w:rsid w:val="FFFFD00D"/>
    <w:rsid w:val="FFFFD87C"/>
    <w:rsid w:val="FFFFDB51"/>
    <w:rsid w:val="FFFFE7E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2"/>
    <w:basedOn w:val="1"/>
    <w:next w:val="1"/>
    <w:autoRedefine/>
    <w:unhideWhenUsed/>
    <w:qFormat/>
    <w:uiPriority w:val="9"/>
    <w:pPr>
      <w:keepNext/>
      <w:keepLines/>
      <w:spacing w:before="260" w:after="260" w:line="416" w:lineRule="auto"/>
      <w:outlineLvl w:val="1"/>
    </w:pPr>
    <w:rPr>
      <w:rFonts w:ascii="Cambria" w:hAnsi="Cambria" w:eastAsia="宋体" w:cs="Times New Roman"/>
      <w:b/>
      <w:bCs/>
      <w:kern w:val="0"/>
      <w:sz w:val="32"/>
      <w:szCs w:val="32"/>
    </w:rPr>
  </w:style>
  <w:style w:type="character" w:default="1" w:styleId="13">
    <w:name w:val="Default Paragraph Font"/>
    <w:autoRedefine/>
    <w:semiHidden/>
    <w:qFormat/>
    <w:uiPriority w:val="0"/>
  </w:style>
  <w:style w:type="table" w:default="1" w:styleId="11">
    <w:name w:val="Normal Table"/>
    <w:autoRedefine/>
    <w:semiHidden/>
    <w:qFormat/>
    <w:uiPriority w:val="0"/>
    <w:tblPr>
      <w:tblCellMar>
        <w:top w:w="0" w:type="dxa"/>
        <w:left w:w="108" w:type="dxa"/>
        <w:bottom w:w="0" w:type="dxa"/>
        <w:right w:w="108" w:type="dxa"/>
      </w:tblCellMar>
    </w:tblPr>
  </w:style>
  <w:style w:type="paragraph" w:styleId="3">
    <w:name w:val="Body Text"/>
    <w:basedOn w:val="1"/>
    <w:link w:val="16"/>
    <w:autoRedefine/>
    <w:qFormat/>
    <w:uiPriority w:val="0"/>
    <w:pPr>
      <w:jc w:val="center"/>
    </w:pPr>
    <w:rPr>
      <w:rFonts w:eastAsia="黑体"/>
      <w:sz w:val="36"/>
    </w:rPr>
  </w:style>
  <w:style w:type="paragraph" w:styleId="4">
    <w:name w:val="Plain Text"/>
    <w:basedOn w:val="1"/>
    <w:autoRedefine/>
    <w:qFormat/>
    <w:uiPriority w:val="99"/>
    <w:rPr>
      <w:rFonts w:ascii="宋体" w:hAnsi="Courier New" w:cs="楷体_GB2312"/>
      <w:sz w:val="36"/>
      <w:szCs w:val="20"/>
    </w:rPr>
  </w:style>
  <w:style w:type="paragraph" w:styleId="5">
    <w:name w:val="Date"/>
    <w:basedOn w:val="1"/>
    <w:next w:val="1"/>
    <w:autoRedefine/>
    <w:qFormat/>
    <w:uiPriority w:val="0"/>
    <w:pPr>
      <w:ind w:left="100" w:leftChars="2500"/>
    </w:pPr>
  </w:style>
  <w:style w:type="paragraph" w:styleId="6">
    <w:name w:val="Body Text Indent 2"/>
    <w:basedOn w:val="1"/>
    <w:next w:val="1"/>
    <w:autoRedefine/>
    <w:qFormat/>
    <w:uiPriority w:val="99"/>
    <w:pPr>
      <w:ind w:firstLine="640" w:firstLineChars="200"/>
    </w:pPr>
    <w:rPr>
      <w:sz w:val="32"/>
      <w:szCs w:val="32"/>
    </w:rPr>
  </w:style>
  <w:style w:type="paragraph" w:styleId="7">
    <w:name w:val="Balloon Text"/>
    <w:basedOn w:val="1"/>
    <w:autoRedefine/>
    <w:semiHidden/>
    <w:qFormat/>
    <w:uiPriority w:val="0"/>
    <w:rPr>
      <w:sz w:val="18"/>
      <w:szCs w:val="18"/>
    </w:rPr>
  </w:style>
  <w:style w:type="paragraph" w:styleId="8">
    <w:name w:val="footer"/>
    <w:basedOn w:val="1"/>
    <w:link w:val="17"/>
    <w:autoRedefine/>
    <w:qFormat/>
    <w:uiPriority w:val="0"/>
    <w:pPr>
      <w:tabs>
        <w:tab w:val="center" w:pos="4153"/>
        <w:tab w:val="right" w:pos="8306"/>
      </w:tabs>
      <w:snapToGrid w:val="0"/>
      <w:jc w:val="left"/>
    </w:pPr>
    <w:rPr>
      <w:sz w:val="18"/>
    </w:rPr>
  </w:style>
  <w:style w:type="paragraph" w:styleId="9">
    <w:name w:val="header"/>
    <w:basedOn w:val="1"/>
    <w:link w:val="18"/>
    <w:autoRedefine/>
    <w:qFormat/>
    <w:uiPriority w:val="0"/>
    <w:pPr>
      <w:pBdr>
        <w:bottom w:val="single" w:color="auto" w:sz="6" w:space="1"/>
      </w:pBdr>
      <w:tabs>
        <w:tab w:val="center" w:pos="4153"/>
        <w:tab w:val="right" w:pos="8306"/>
      </w:tabs>
      <w:snapToGrid w:val="0"/>
      <w:jc w:val="center"/>
    </w:pPr>
    <w:rPr>
      <w:sz w:val="18"/>
    </w:rPr>
  </w:style>
  <w:style w:type="paragraph" w:styleId="10">
    <w:name w:val="Normal (Web)"/>
    <w:basedOn w:val="1"/>
    <w:autoRedefine/>
    <w:qFormat/>
    <w:uiPriority w:val="0"/>
    <w:rPr>
      <w:rFonts w:eastAsia="宋体"/>
      <w:sz w:val="24"/>
      <w:szCs w:val="24"/>
    </w:rPr>
  </w:style>
  <w:style w:type="table" w:styleId="12">
    <w:name w:val="Table Grid"/>
    <w:basedOn w:val="11"/>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autoRedefine/>
    <w:qFormat/>
    <w:uiPriority w:val="0"/>
    <w:rPr>
      <w:b/>
      <w:bCs/>
    </w:rPr>
  </w:style>
  <w:style w:type="character" w:styleId="15">
    <w:name w:val="page number"/>
    <w:autoRedefine/>
    <w:qFormat/>
    <w:uiPriority w:val="0"/>
  </w:style>
  <w:style w:type="character" w:customStyle="1" w:styleId="16">
    <w:name w:val="正文文本 字符"/>
    <w:link w:val="3"/>
    <w:autoRedefine/>
    <w:qFormat/>
    <w:uiPriority w:val="0"/>
    <w:rPr>
      <w:rFonts w:eastAsia="黑体"/>
      <w:kern w:val="2"/>
      <w:sz w:val="36"/>
      <w:lang w:val="en-US" w:eastAsia="zh-CN" w:bidi="ar-SA"/>
    </w:rPr>
  </w:style>
  <w:style w:type="character" w:customStyle="1" w:styleId="17">
    <w:name w:val="页脚 字符"/>
    <w:link w:val="8"/>
    <w:autoRedefine/>
    <w:qFormat/>
    <w:locked/>
    <w:uiPriority w:val="0"/>
    <w:rPr>
      <w:rFonts w:eastAsia="仿宋_GB2312"/>
      <w:kern w:val="2"/>
      <w:sz w:val="18"/>
      <w:lang w:val="en-US" w:eastAsia="zh-CN" w:bidi="ar-SA"/>
    </w:rPr>
  </w:style>
  <w:style w:type="character" w:customStyle="1" w:styleId="18">
    <w:name w:val="页眉 字符"/>
    <w:link w:val="9"/>
    <w:autoRedefine/>
    <w:semiHidden/>
    <w:qFormat/>
    <w:locked/>
    <w:uiPriority w:val="0"/>
    <w:rPr>
      <w:rFonts w:eastAsia="仿宋_GB2312"/>
      <w:kern w:val="2"/>
      <w:sz w:val="18"/>
      <w:lang w:val="en-US" w:eastAsia="zh-CN" w:bidi="ar-SA"/>
    </w:rPr>
  </w:style>
  <w:style w:type="paragraph" w:customStyle="1" w:styleId="19">
    <w:name w:val="List Paragraph1"/>
    <w:basedOn w:val="1"/>
    <w:autoRedefine/>
    <w:qFormat/>
    <w:uiPriority w:val="0"/>
    <w:pPr>
      <w:ind w:firstLine="420" w:firstLineChars="200"/>
    </w:pPr>
    <w:rPr>
      <w:rFonts w:ascii="Calibri" w:hAnsi="Calibri" w:eastAsia="宋体"/>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30</Pages>
  <Words>1621</Words>
  <Characters>9245</Characters>
  <Lines>77</Lines>
  <Paragraphs>21</Paragraphs>
  <TotalTime>1</TotalTime>
  <ScaleCrop>false</ScaleCrop>
  <LinksUpToDate>false</LinksUpToDate>
  <CharactersWithSpaces>10845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2022-02-06T16:27:00Z</dcterms:created>
  <dc:creator>杨丽</dc:creator>
  <cp:lastModifiedBy>Administrator</cp:lastModifiedBy>
  <cp:lastPrinted>2023-02-07T01:31:00Z</cp:lastPrinted>
  <dcterms:modified xsi:type="dcterms:W3CDTF">2024-03-28T03:22:06Z</dcterms:modified>
  <dc:title>财〔2002〕号</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CE74C14080D3483F8B3DEBB6203CEC8F_13</vt:lpwstr>
  </property>
</Properties>
</file>