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Times New Roman" w:hAnsi="Times New Roman" w:eastAsia="黑体"/>
          <w:kern w:val="0"/>
          <w:sz w:val="32"/>
          <w:szCs w:val="32"/>
        </w:rPr>
      </w:pPr>
    </w:p>
    <w:p>
      <w:pPr>
        <w:spacing w:line="580" w:lineRule="exact"/>
        <w:jc w:val="center"/>
        <w:rPr>
          <w:rFonts w:ascii="Times New Roman" w:hAnsi="Times New Roman" w:eastAsia="方正小标宋简体"/>
          <w:bCs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简体"/>
          <w:bCs/>
          <w:color w:val="000000"/>
          <w:kern w:val="0"/>
          <w:sz w:val="44"/>
          <w:szCs w:val="44"/>
        </w:rPr>
        <w:t>项目支出绩效自评表</w:t>
      </w:r>
    </w:p>
    <w:p>
      <w:pPr>
        <w:spacing w:line="580" w:lineRule="exact"/>
        <w:jc w:val="center"/>
        <w:rPr>
          <w:rFonts w:ascii="Times New Roman" w:hAnsi="Times New Roman" w:eastAsia="黑体"/>
          <w:bCs/>
          <w:sz w:val="30"/>
          <w:szCs w:val="30"/>
        </w:rPr>
      </w:pPr>
      <w:r>
        <w:rPr>
          <w:rFonts w:ascii="Times New Roman" w:hAnsi="Times New Roman"/>
          <w:color w:val="000000"/>
          <w:kern w:val="0"/>
          <w:sz w:val="22"/>
        </w:rPr>
        <w:t xml:space="preserve">（ </w:t>
      </w:r>
      <w:r>
        <w:rPr>
          <w:rFonts w:hint="eastAsia" w:ascii="Times New Roman" w:hAnsi="Times New Roman"/>
          <w:color w:val="000000"/>
          <w:kern w:val="0"/>
          <w:sz w:val="22"/>
          <w:lang w:eastAsia="zh-CN"/>
        </w:rPr>
        <w:t>2022</w:t>
      </w:r>
      <w:r>
        <w:rPr>
          <w:rFonts w:ascii="Times New Roman" w:hAnsi="Times New Roman"/>
          <w:color w:val="000000"/>
          <w:kern w:val="0"/>
          <w:sz w:val="22"/>
        </w:rPr>
        <w:t xml:space="preserve">  年度）</w:t>
      </w:r>
    </w:p>
    <w:tbl>
      <w:tblPr>
        <w:tblStyle w:val="4"/>
        <w:tblW w:w="96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747"/>
        <w:gridCol w:w="1218"/>
        <w:gridCol w:w="1543"/>
        <w:gridCol w:w="478"/>
        <w:gridCol w:w="665"/>
        <w:gridCol w:w="3"/>
        <w:gridCol w:w="1404"/>
        <w:gridCol w:w="1214"/>
        <w:gridCol w:w="505"/>
        <w:gridCol w:w="654"/>
        <w:gridCol w:w="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99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6997" w:type="dxa"/>
            <w:gridSpan w:val="9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招商引资工作经费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99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主管单位</w:t>
            </w:r>
          </w:p>
        </w:tc>
        <w:tc>
          <w:tcPr>
            <w:tcW w:w="2689" w:type="dxa"/>
            <w:gridSpan w:val="4"/>
            <w:vAlign w:val="center"/>
          </w:tcPr>
          <w:p>
            <w:pPr>
              <w:spacing w:line="280" w:lineRule="exact"/>
              <w:jc w:val="left"/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eastAsia="zh-CN"/>
              </w:rPr>
              <w:t>相山区人民政府</w:t>
            </w:r>
          </w:p>
        </w:tc>
        <w:tc>
          <w:tcPr>
            <w:tcW w:w="140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实施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2904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相山区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eastAsia="zh-CN"/>
              </w:rPr>
              <w:t>投资促进局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99" w:type="dxa"/>
            <w:gridSpan w:val="3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资金情况</w:t>
            </w:r>
          </w:p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（万元）</w:t>
            </w:r>
          </w:p>
        </w:tc>
        <w:tc>
          <w:tcPr>
            <w:tcW w:w="1543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4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全年预算数（A）</w:t>
            </w:r>
          </w:p>
        </w:tc>
        <w:tc>
          <w:tcPr>
            <w:tcW w:w="261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全年执行数（B）</w:t>
            </w:r>
          </w:p>
        </w:tc>
        <w:tc>
          <w:tcPr>
            <w:tcW w:w="5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6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执行率（B/A)</w:t>
            </w:r>
          </w:p>
        </w:tc>
        <w:tc>
          <w:tcPr>
            <w:tcW w:w="531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699" w:type="dxa"/>
            <w:gridSpan w:val="3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43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年度资金总额：</w:t>
            </w:r>
          </w:p>
        </w:tc>
        <w:tc>
          <w:tcPr>
            <w:tcW w:w="114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224.2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61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140.61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54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53.9%</w:t>
            </w:r>
          </w:p>
        </w:tc>
        <w:tc>
          <w:tcPr>
            <w:tcW w:w="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699" w:type="dxa"/>
            <w:gridSpan w:val="3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43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其中：</w:t>
            </w:r>
            <w:r>
              <w:rPr>
                <w:rFonts w:ascii="Times New Roman" w:hAnsi="Times New Roman"/>
                <w:color w:val="000000"/>
                <w:spacing w:val="-12"/>
                <w:kern w:val="0"/>
                <w:szCs w:val="21"/>
              </w:rPr>
              <w:t>本年财政拨款</w:t>
            </w:r>
          </w:p>
        </w:tc>
        <w:tc>
          <w:tcPr>
            <w:tcW w:w="114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224.27</w:t>
            </w:r>
          </w:p>
        </w:tc>
        <w:tc>
          <w:tcPr>
            <w:tcW w:w="261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140.61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54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53.9%</w:t>
            </w:r>
          </w:p>
        </w:tc>
        <w:tc>
          <w:tcPr>
            <w:tcW w:w="531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699" w:type="dxa"/>
            <w:gridSpan w:val="3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43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其他资金</w:t>
            </w:r>
          </w:p>
        </w:tc>
        <w:tc>
          <w:tcPr>
            <w:tcW w:w="114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1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54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31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73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年度总体目标完成情况</w:t>
            </w:r>
          </w:p>
        </w:tc>
        <w:tc>
          <w:tcPr>
            <w:tcW w:w="4654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年初设定目标</w:t>
            </w:r>
          </w:p>
        </w:tc>
        <w:tc>
          <w:tcPr>
            <w:tcW w:w="4308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年度总体目标完成情况综述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654" w:type="dxa"/>
            <w:gridSpan w:val="6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20" w:firstLineChars="200"/>
              <w:textAlignment w:val="auto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继续坚持区领导带头外出招商制度和驻外招商制度，紧盯长三角、珠三角、京津冀等重点区域开展招商，有针对性地举办招商推介和对接活动，1-1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月份，区领导外出开展招商活动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45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批次，共1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61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天，在昆山、深圳等地举办招商推介活动6次。</w:t>
            </w:r>
          </w:p>
        </w:tc>
        <w:tc>
          <w:tcPr>
            <w:tcW w:w="4308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新签约工业及配套项目27个，协议投资额76.03亿元，其中20亿元以上的1个（翌光科技项目），10亿元以上的1个（诺讯智能产业园项目），亿元以上项目14个，亿元以下的11个。年预计完成规模工业固定投资额14.2亿元；年预计完成利用省外资金（含商业投资）114亿元。</w:t>
            </w:r>
          </w:p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654" w:type="dxa"/>
            <w:gridSpan w:val="6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存在的问题：</w:t>
            </w:r>
          </w:p>
        </w:tc>
        <w:tc>
          <w:tcPr>
            <w:tcW w:w="4308" w:type="dxa"/>
            <w:gridSpan w:val="5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整改的措施与建议：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3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年度绩效指标完成情况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一级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指标</w:t>
            </w:r>
          </w:p>
        </w:tc>
        <w:tc>
          <w:tcPr>
            <w:tcW w:w="121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202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140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年度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121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全年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实际值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得分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评价得分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产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出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指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标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(50分)</w:t>
            </w:r>
          </w:p>
        </w:tc>
        <w:tc>
          <w:tcPr>
            <w:tcW w:w="1218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数量指标</w:t>
            </w:r>
          </w:p>
        </w:tc>
        <w:tc>
          <w:tcPr>
            <w:tcW w:w="202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重点跟踪的项目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个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04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≥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30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14" w:type="dxa"/>
            <w:vAlign w:val="center"/>
          </w:tcPr>
          <w:p>
            <w:pPr>
              <w:spacing w:line="280" w:lineRule="exact"/>
              <w:jc w:val="left"/>
              <w:rPr>
                <w:rFonts w:hint="eastAsia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42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1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2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预签约项目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27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个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404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≥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12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14" w:type="dxa"/>
            <w:vAlign w:val="center"/>
          </w:tcPr>
          <w:p>
            <w:pPr>
              <w:spacing w:line="280" w:lineRule="exact"/>
              <w:ind w:firstLine="210" w:firstLineChars="100"/>
              <w:jc w:val="left"/>
              <w:rPr>
                <w:rFonts w:hint="eastAsia" w:ascii="Times New Roman" w:hAnsi="Times New Roman" w:eastAsia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1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2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已签约项目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个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10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04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≥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30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14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50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18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质量指标</w:t>
            </w:r>
          </w:p>
        </w:tc>
        <w:tc>
          <w:tcPr>
            <w:tcW w:w="202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利用省外资金完成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76.03亿元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404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76.03亿元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14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76.03亿元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1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2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当年固定资产投资5000万元及以上项目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27个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0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27个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14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280" w:lineRule="exact"/>
              <w:jc w:val="left"/>
            </w:pPr>
          </w:p>
        </w:tc>
        <w:tc>
          <w:tcPr>
            <w:tcW w:w="747" w:type="dxa"/>
            <w:vMerge w:val="continue"/>
            <w:vAlign w:val="center"/>
          </w:tcPr>
          <w:p>
            <w:pPr>
              <w:spacing w:line="280" w:lineRule="exact"/>
              <w:jc w:val="left"/>
            </w:pPr>
          </w:p>
        </w:tc>
        <w:tc>
          <w:tcPr>
            <w:tcW w:w="121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2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规模项目当年实际固定资产投资额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14.2亿元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。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04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14.2亿元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14" w:type="dxa"/>
            <w:vAlign w:val="center"/>
          </w:tcPr>
          <w:p>
            <w:pPr>
              <w:spacing w:line="280" w:lineRule="exact"/>
              <w:jc w:val="left"/>
              <w:rPr>
                <w:rFonts w:hint="eastAsia" w:ascii="Times New Roman" w:hAnsi="Times New Roman" w:eastAsia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20亿元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47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时效指标</w:t>
            </w:r>
          </w:p>
        </w:tc>
        <w:tc>
          <w:tcPr>
            <w:tcW w:w="202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eastAsia="zh-CN"/>
              </w:rPr>
              <w:t>不适用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140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/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14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/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47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成本指标</w:t>
            </w:r>
          </w:p>
        </w:tc>
        <w:tc>
          <w:tcPr>
            <w:tcW w:w="202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eastAsia="zh-CN"/>
              </w:rPr>
              <w:t>成本控制情况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04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eastAsia="zh-CN"/>
              </w:rPr>
              <w:t>未超支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14" w:type="dxa"/>
            <w:vAlign w:val="center"/>
          </w:tcPr>
          <w:p>
            <w:pPr>
              <w:spacing w:line="280" w:lineRule="exact"/>
              <w:jc w:val="left"/>
              <w:rPr>
                <w:rFonts w:hint="eastAsia" w:ascii="Times New Roman" w:hAnsi="Times New Roman" w:eastAsia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……</w:t>
            </w:r>
          </w:p>
        </w:tc>
        <w:tc>
          <w:tcPr>
            <w:tcW w:w="202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0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14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效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益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指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标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(30分)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</w:pPr>
          </w:p>
        </w:tc>
        <w:tc>
          <w:tcPr>
            <w:tcW w:w="1218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经济效益</w:t>
            </w:r>
          </w:p>
          <w:p>
            <w:pPr>
              <w:spacing w:line="280" w:lineRule="exact"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指标</w:t>
            </w:r>
          </w:p>
        </w:tc>
        <w:tc>
          <w:tcPr>
            <w:tcW w:w="2021" w:type="dxa"/>
            <w:gridSpan w:val="2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eastAsia="zh-CN"/>
              </w:rPr>
              <w:t>增加税收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30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0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eastAsia="zh-CN"/>
              </w:rPr>
              <w:t>有效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14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100%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734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（10分）</w:t>
            </w:r>
          </w:p>
        </w:tc>
        <w:tc>
          <w:tcPr>
            <w:tcW w:w="1218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服务对象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202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</w:rPr>
              <w:t>服务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eastAsia="zh-CN"/>
              </w:rPr>
              <w:t>招商引资企业</w:t>
            </w:r>
          </w:p>
        </w:tc>
        <w:tc>
          <w:tcPr>
            <w:tcW w:w="665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07" w:type="dxa"/>
            <w:gridSpan w:val="2"/>
            <w:vAlign w:val="center"/>
          </w:tcPr>
          <w:p>
            <w:pPr>
              <w:spacing w:line="280" w:lineRule="exact"/>
              <w:jc w:val="left"/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 xml:space="preserve">    有效</w:t>
            </w:r>
          </w:p>
        </w:tc>
        <w:tc>
          <w:tcPr>
            <w:tcW w:w="1214" w:type="dxa"/>
            <w:vAlign w:val="center"/>
          </w:tcPr>
          <w:p>
            <w:pPr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100%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9696" w:type="dxa"/>
            <w:gridSpan w:val="12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注：1.一级指标分值统一设置为：产出指标50分、效益指标30分、服务对象满意度指标10分、预算资金执行率10分。如有特殊情况，上述权重可做适当调整，但加总后应等于100分。各单位根据各项指标重要程度确定三级指标的分值。得分一档最高不能超过该指标分值上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696" w:type="dxa"/>
            <w:gridSpan w:val="12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2.定性指标根据指标完成情况分为：达成预期指标、部分达成预期指标并具有一定效果、未达成预期指标且效果较差三档，分别按照该指标对应分值区间100-80%(含80%)、80-60%(含50%)、60-0%合理确定分值。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696" w:type="dxa"/>
            <w:gridSpan w:val="12"/>
            <w:vAlign w:val="top"/>
          </w:tcPr>
          <w:p>
            <w:pPr>
              <w:spacing w:line="280" w:lineRule="exact"/>
              <w:jc w:val="left"/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3.定量指标若为正向指标（即指标值为≥*），则得分计算方法应用全年实际值/年度指标值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╳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该指标分值；若定量指标为反向指标（即指标值为≤*），则得分计算方法应用年度指标值/全年实际值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╳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该指标分值；定量指标得分最高不得超过该指标分值上限。</w:t>
            </w:r>
          </w:p>
          <w:p>
            <w:pPr>
              <w:spacing w:line="28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4.评价得分说明：说明全年实际值与年度指标值偏离情况（未达、持平、超额）。</w:t>
            </w:r>
          </w:p>
        </w:tc>
      </w:tr>
    </w:tbl>
    <w:p>
      <w:pPr>
        <w:rPr>
          <w:rFonts w:hint="eastAsia" w:eastAsia="宋体"/>
          <w:lang w:val="en-US" w:eastAsia="zh-CN"/>
        </w:rPr>
      </w:pPr>
    </w:p>
    <w:p>
      <w:pPr>
        <w:pStyle w:val="2"/>
        <w:rPr>
          <w:rFonts w:hint="eastAsia" w:eastAsia="宋体"/>
          <w:lang w:val="en-US" w:eastAsia="zh-CN"/>
        </w:rPr>
      </w:pPr>
    </w:p>
    <w:p>
      <w:pPr>
        <w:pStyle w:val="2"/>
        <w:rPr>
          <w:rFonts w:hint="eastAsia" w:eastAsia="宋体"/>
          <w:lang w:val="en-US" w:eastAsia="zh-CN"/>
        </w:rPr>
      </w:pPr>
    </w:p>
    <w:p>
      <w:pPr>
        <w:pStyle w:val="2"/>
        <w:rPr>
          <w:rFonts w:hint="eastAsia" w:eastAsia="宋体"/>
          <w:lang w:val="en-US" w:eastAsia="zh-CN"/>
        </w:rPr>
      </w:pPr>
    </w:p>
    <w:p>
      <w:pPr>
        <w:pStyle w:val="2"/>
        <w:rPr>
          <w:rFonts w:hint="eastAsia" w:eastAsia="宋体"/>
          <w:lang w:val="en-US" w:eastAsia="zh-CN"/>
        </w:rPr>
      </w:pPr>
    </w:p>
    <w:p>
      <w:pPr>
        <w:pStyle w:val="2"/>
        <w:rPr>
          <w:rFonts w:hint="eastAsia" w:eastAsia="宋体"/>
          <w:lang w:val="en-US" w:eastAsia="zh-CN"/>
        </w:rPr>
      </w:pPr>
    </w:p>
    <w:p>
      <w:pPr>
        <w:pStyle w:val="2"/>
        <w:rPr>
          <w:rFonts w:hint="eastAsia" w:eastAsia="宋体"/>
          <w:lang w:val="en-US" w:eastAsia="zh-CN"/>
        </w:rPr>
      </w:pPr>
    </w:p>
    <w:p>
      <w:pPr>
        <w:pStyle w:val="2"/>
        <w:rPr>
          <w:rFonts w:hint="eastAsia" w:eastAsia="宋体"/>
          <w:lang w:val="en-US" w:eastAsia="zh-CN"/>
        </w:rPr>
      </w:pPr>
    </w:p>
    <w:p>
      <w:pPr>
        <w:pStyle w:val="2"/>
        <w:rPr>
          <w:rFonts w:hint="eastAsia" w:eastAsia="宋体"/>
          <w:lang w:val="en-US" w:eastAsia="zh-CN"/>
        </w:rPr>
      </w:pPr>
    </w:p>
    <w:p>
      <w:pPr>
        <w:spacing w:line="580" w:lineRule="exact"/>
        <w:jc w:val="center"/>
        <w:rPr>
          <w:rFonts w:ascii="Times New Roman" w:hAnsi="Times New Roman" w:eastAsia="方正小标宋简体"/>
          <w:bCs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简体"/>
          <w:bCs/>
          <w:color w:val="000000"/>
          <w:kern w:val="0"/>
          <w:sz w:val="44"/>
          <w:szCs w:val="44"/>
        </w:rPr>
        <w:t>项目支出绩效自评表</w:t>
      </w:r>
    </w:p>
    <w:p>
      <w:pPr>
        <w:spacing w:line="580" w:lineRule="exact"/>
        <w:jc w:val="center"/>
        <w:rPr>
          <w:rFonts w:ascii="Times New Roman" w:hAnsi="Times New Roman" w:eastAsia="黑体"/>
          <w:bCs/>
          <w:sz w:val="30"/>
          <w:szCs w:val="30"/>
        </w:rPr>
      </w:pPr>
      <w:r>
        <w:rPr>
          <w:rFonts w:ascii="Times New Roman" w:hAnsi="Times New Roman"/>
          <w:color w:val="000000"/>
          <w:kern w:val="0"/>
          <w:sz w:val="22"/>
        </w:rPr>
        <w:t xml:space="preserve">（ </w:t>
      </w:r>
      <w:r>
        <w:rPr>
          <w:rFonts w:hint="eastAsia" w:ascii="Times New Roman" w:hAnsi="Times New Roman"/>
          <w:color w:val="000000"/>
          <w:kern w:val="0"/>
          <w:sz w:val="22"/>
          <w:lang w:eastAsia="zh-CN"/>
        </w:rPr>
        <w:t>2022</w:t>
      </w:r>
      <w:r>
        <w:rPr>
          <w:rFonts w:ascii="Times New Roman" w:hAnsi="Times New Roman"/>
          <w:color w:val="000000"/>
          <w:kern w:val="0"/>
          <w:sz w:val="22"/>
        </w:rPr>
        <w:t xml:space="preserve">  年度）</w:t>
      </w:r>
    </w:p>
    <w:tbl>
      <w:tblPr>
        <w:tblStyle w:val="4"/>
        <w:tblW w:w="96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747"/>
        <w:gridCol w:w="1218"/>
        <w:gridCol w:w="1884"/>
        <w:gridCol w:w="137"/>
        <w:gridCol w:w="665"/>
        <w:gridCol w:w="3"/>
        <w:gridCol w:w="1404"/>
        <w:gridCol w:w="1214"/>
        <w:gridCol w:w="505"/>
        <w:gridCol w:w="654"/>
        <w:gridCol w:w="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99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6997" w:type="dxa"/>
            <w:gridSpan w:val="9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  <w:t>日常工作经费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99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主管单位</w:t>
            </w:r>
          </w:p>
        </w:tc>
        <w:tc>
          <w:tcPr>
            <w:tcW w:w="2689" w:type="dxa"/>
            <w:gridSpan w:val="4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eastAsia="zh-CN"/>
              </w:rPr>
              <w:t>相山区人民政府</w:t>
            </w:r>
          </w:p>
        </w:tc>
        <w:tc>
          <w:tcPr>
            <w:tcW w:w="140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实施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2904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相山区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eastAsia="zh-CN"/>
              </w:rPr>
              <w:t>投资促进局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99" w:type="dxa"/>
            <w:gridSpan w:val="3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资金情况</w:t>
            </w:r>
          </w:p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（万元）</w:t>
            </w:r>
          </w:p>
        </w:tc>
        <w:tc>
          <w:tcPr>
            <w:tcW w:w="1884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全年预算数（A）</w:t>
            </w:r>
          </w:p>
        </w:tc>
        <w:tc>
          <w:tcPr>
            <w:tcW w:w="261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全年执行数（B）</w:t>
            </w:r>
          </w:p>
        </w:tc>
        <w:tc>
          <w:tcPr>
            <w:tcW w:w="5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6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执行率（B/A)</w:t>
            </w:r>
          </w:p>
        </w:tc>
        <w:tc>
          <w:tcPr>
            <w:tcW w:w="531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699" w:type="dxa"/>
            <w:gridSpan w:val="3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84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年度资金总额：</w:t>
            </w:r>
          </w:p>
        </w:tc>
        <w:tc>
          <w:tcPr>
            <w:tcW w:w="80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50</w:t>
            </w:r>
          </w:p>
        </w:tc>
        <w:tc>
          <w:tcPr>
            <w:tcW w:w="261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41.73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54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val="en-US" w:eastAsia="zh-CN"/>
              </w:rPr>
              <w:t>83.46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531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8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699" w:type="dxa"/>
            <w:gridSpan w:val="3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84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其中：</w:t>
            </w:r>
            <w:r>
              <w:rPr>
                <w:rFonts w:ascii="Times New Roman" w:hAnsi="Times New Roman"/>
                <w:color w:val="000000"/>
                <w:spacing w:val="-12"/>
                <w:kern w:val="0"/>
                <w:szCs w:val="21"/>
              </w:rPr>
              <w:t>本年财政拨款</w:t>
            </w:r>
          </w:p>
        </w:tc>
        <w:tc>
          <w:tcPr>
            <w:tcW w:w="80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50</w:t>
            </w:r>
          </w:p>
        </w:tc>
        <w:tc>
          <w:tcPr>
            <w:tcW w:w="261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41.73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54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31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699" w:type="dxa"/>
            <w:gridSpan w:val="3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84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其他资金</w:t>
            </w:r>
          </w:p>
        </w:tc>
        <w:tc>
          <w:tcPr>
            <w:tcW w:w="80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1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54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31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73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年度总体目标完成情况</w:t>
            </w:r>
          </w:p>
        </w:tc>
        <w:tc>
          <w:tcPr>
            <w:tcW w:w="4654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年初设定目标</w:t>
            </w:r>
          </w:p>
        </w:tc>
        <w:tc>
          <w:tcPr>
            <w:tcW w:w="4308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年度总体目标完成情况综述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654" w:type="dxa"/>
            <w:gridSpan w:val="6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20" w:firstLineChars="200"/>
              <w:textAlignment w:val="auto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继续坚持区领导带头外出招商制度和驻外招商制度，紧盯长三角、珠三角、京津冀等重点区域开展招商，有针对性地举办招商推介和对接活动，1-1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月份，区领导外出开展招商活动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45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批次，共1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61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天，在昆山、深圳等地举办招商推介活动6次。</w:t>
            </w:r>
          </w:p>
        </w:tc>
        <w:tc>
          <w:tcPr>
            <w:tcW w:w="4308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新签约工业及配套项目27个，协议投资额76.03亿元，其中20亿元以上的1个（翌光科技项目），10亿元以上的1个（诺讯智能产业园项目），亿元以上项目14个，亿元以下的11个。年预计完成规模工业固定投资额14.2亿元；年预计完成利用省外资金（含商业投资）114亿元。</w:t>
            </w:r>
          </w:p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654" w:type="dxa"/>
            <w:gridSpan w:val="6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存在的问题：</w:t>
            </w:r>
          </w:p>
        </w:tc>
        <w:tc>
          <w:tcPr>
            <w:tcW w:w="4308" w:type="dxa"/>
            <w:gridSpan w:val="5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整改的措施与建议：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3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年度绩效指标完成情况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一级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指标</w:t>
            </w:r>
          </w:p>
        </w:tc>
        <w:tc>
          <w:tcPr>
            <w:tcW w:w="121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202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140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年度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121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全年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实际值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得分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评价得分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产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出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指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标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(50分)</w:t>
            </w:r>
          </w:p>
        </w:tc>
        <w:tc>
          <w:tcPr>
            <w:tcW w:w="1218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数量指标</w:t>
            </w:r>
          </w:p>
        </w:tc>
        <w:tc>
          <w:tcPr>
            <w:tcW w:w="202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重点跟踪的项目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个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04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≥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30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14" w:type="dxa"/>
            <w:vAlign w:val="center"/>
          </w:tcPr>
          <w:p>
            <w:pPr>
              <w:spacing w:line="280" w:lineRule="exact"/>
              <w:jc w:val="left"/>
              <w:rPr>
                <w:rFonts w:hint="eastAsia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42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1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2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预签约项目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27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个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404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≥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12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14" w:type="dxa"/>
            <w:vAlign w:val="center"/>
          </w:tcPr>
          <w:p>
            <w:pPr>
              <w:spacing w:line="280" w:lineRule="exact"/>
              <w:ind w:firstLine="210" w:firstLineChars="100"/>
              <w:jc w:val="left"/>
              <w:rPr>
                <w:rFonts w:hint="eastAsia" w:ascii="Times New Roman" w:hAnsi="Times New Roman" w:eastAsia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1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2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已签约项目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个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10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04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≥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30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14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50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18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质量指标</w:t>
            </w:r>
          </w:p>
        </w:tc>
        <w:tc>
          <w:tcPr>
            <w:tcW w:w="202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利用省外资金完成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76.03亿元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404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76.03亿元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14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76.03亿元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1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2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当年固定资产投资5000万元及以上项目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27个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0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27个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14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280" w:lineRule="exact"/>
              <w:jc w:val="left"/>
            </w:pPr>
          </w:p>
        </w:tc>
        <w:tc>
          <w:tcPr>
            <w:tcW w:w="747" w:type="dxa"/>
            <w:vMerge w:val="continue"/>
            <w:vAlign w:val="center"/>
          </w:tcPr>
          <w:p>
            <w:pPr>
              <w:spacing w:line="280" w:lineRule="exact"/>
              <w:jc w:val="left"/>
            </w:pPr>
          </w:p>
        </w:tc>
        <w:tc>
          <w:tcPr>
            <w:tcW w:w="1218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2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规模项目当年实际固定资产投资额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14.2亿元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。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04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14.2亿元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14" w:type="dxa"/>
            <w:vAlign w:val="center"/>
          </w:tcPr>
          <w:p>
            <w:pPr>
              <w:spacing w:line="280" w:lineRule="exact"/>
              <w:jc w:val="left"/>
              <w:rPr>
                <w:rFonts w:hint="eastAsia" w:ascii="Times New Roman" w:hAnsi="Times New Roman" w:eastAsia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20亿元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47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时效指标</w:t>
            </w:r>
          </w:p>
        </w:tc>
        <w:tc>
          <w:tcPr>
            <w:tcW w:w="202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eastAsia="zh-CN"/>
              </w:rPr>
              <w:t>不适用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140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/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14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/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47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成本指标</w:t>
            </w:r>
          </w:p>
        </w:tc>
        <w:tc>
          <w:tcPr>
            <w:tcW w:w="202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eastAsia="zh-CN"/>
              </w:rPr>
              <w:t>成本控制情况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04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eastAsia="zh-CN"/>
              </w:rPr>
              <w:t>未超支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14" w:type="dxa"/>
            <w:vAlign w:val="center"/>
          </w:tcPr>
          <w:p>
            <w:pPr>
              <w:spacing w:line="280" w:lineRule="exact"/>
              <w:jc w:val="left"/>
              <w:rPr>
                <w:rFonts w:hint="eastAsia" w:ascii="Times New Roman" w:hAnsi="Times New Roman" w:eastAsia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……</w:t>
            </w:r>
          </w:p>
        </w:tc>
        <w:tc>
          <w:tcPr>
            <w:tcW w:w="202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0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14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效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益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指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标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(30分)</w:t>
            </w:r>
          </w:p>
          <w:p>
            <w:pPr>
              <w:spacing w:line="28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>
            <w:pPr>
              <w:spacing w:line="280" w:lineRule="exact"/>
              <w:jc w:val="center"/>
            </w:pPr>
          </w:p>
        </w:tc>
        <w:tc>
          <w:tcPr>
            <w:tcW w:w="1218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经济效益</w:t>
            </w:r>
          </w:p>
          <w:p>
            <w:pPr>
              <w:spacing w:line="280" w:lineRule="exact"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指标</w:t>
            </w:r>
          </w:p>
        </w:tc>
        <w:tc>
          <w:tcPr>
            <w:tcW w:w="2021" w:type="dxa"/>
            <w:gridSpan w:val="2"/>
            <w:vAlign w:val="center"/>
          </w:tcPr>
          <w:p>
            <w:pPr>
              <w:spacing w:line="280" w:lineRule="exact"/>
              <w:jc w:val="center"/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eastAsia="zh-CN"/>
              </w:rPr>
              <w:t>增加税收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30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0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eastAsia="zh-CN"/>
              </w:rPr>
              <w:t>有效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14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100%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734" w:type="dxa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（10分）</w:t>
            </w:r>
          </w:p>
        </w:tc>
        <w:tc>
          <w:tcPr>
            <w:tcW w:w="1218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服务对象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202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</w:rPr>
              <w:t>服务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eastAsia="zh-CN"/>
              </w:rPr>
              <w:t>招商引资企业</w:t>
            </w:r>
          </w:p>
        </w:tc>
        <w:tc>
          <w:tcPr>
            <w:tcW w:w="665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07" w:type="dxa"/>
            <w:gridSpan w:val="2"/>
            <w:vAlign w:val="center"/>
          </w:tcPr>
          <w:p>
            <w:pPr>
              <w:spacing w:line="280" w:lineRule="exact"/>
              <w:jc w:val="left"/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 xml:space="preserve">    有效</w:t>
            </w:r>
          </w:p>
        </w:tc>
        <w:tc>
          <w:tcPr>
            <w:tcW w:w="1214" w:type="dxa"/>
            <w:vAlign w:val="center"/>
          </w:tcPr>
          <w:p>
            <w:pPr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100%</w:t>
            </w:r>
          </w:p>
        </w:tc>
        <w:tc>
          <w:tcPr>
            <w:tcW w:w="505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9696" w:type="dxa"/>
            <w:gridSpan w:val="12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注：1.一级指标分值统一设置为：产出指标50分、效益指标30分、服务对象满意度指标10分、预算资金执行率10分。如有特殊情况，上述权重可做适当调整，但加总后应等于100分。各单位根据各项指标重要程度确定三级指标的分值。得分一档最高不能超过该指标分值上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696" w:type="dxa"/>
            <w:gridSpan w:val="12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2.定性指标根据指标完成情况分为：达成预期指标、部分达成预期指标并具有一定效果、未达成预期指标且效果较差三档，分别按照该指标对应分值区间100-80%(含80%)、80-60%(含50%)、60-0%合理确定分值。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696" w:type="dxa"/>
            <w:gridSpan w:val="12"/>
            <w:vAlign w:val="top"/>
          </w:tcPr>
          <w:p>
            <w:pPr>
              <w:spacing w:line="280" w:lineRule="exact"/>
              <w:jc w:val="left"/>
              <w:rPr>
                <w:rFonts w:hint="eastAsia" w:ascii="Times New Roman" w:hAnsi="Times New Roman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3.定量指标若为正向指标（即指标值为≥*），则得分计算方法应用全年实际值/年度指标值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╳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该指标分值；若定量指标为反向指标（即指标值为≤*），则得分计算方法应用年度指标值/全年实际值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╳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该指标分值；定量指标得分最高不得超过该指标分值上限。</w:t>
            </w:r>
          </w:p>
          <w:p>
            <w:pPr>
              <w:spacing w:line="28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4.评价得分说明：说明全年实际值与年度指标值偏离情况（未达、持平、超额）。</w:t>
            </w:r>
          </w:p>
        </w:tc>
      </w:tr>
    </w:tbl>
    <w:p>
      <w:pPr>
        <w:pStyle w:val="2"/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5ZjJlN2M0NzBkZDYzNjc1MWYxMTJkMzRjYTBlOWQifQ=="/>
  </w:docVars>
  <w:rsids>
    <w:rsidRoot w:val="265D3BA4"/>
    <w:rsid w:val="007D1722"/>
    <w:rsid w:val="014F219D"/>
    <w:rsid w:val="01612035"/>
    <w:rsid w:val="020C008E"/>
    <w:rsid w:val="056F72B2"/>
    <w:rsid w:val="07C5539D"/>
    <w:rsid w:val="0AC92FC0"/>
    <w:rsid w:val="0C3B1C9C"/>
    <w:rsid w:val="0F9A6795"/>
    <w:rsid w:val="0FA729E7"/>
    <w:rsid w:val="10C94624"/>
    <w:rsid w:val="11D80D46"/>
    <w:rsid w:val="12477C91"/>
    <w:rsid w:val="17215F32"/>
    <w:rsid w:val="1AC167C9"/>
    <w:rsid w:val="1B6F2DE8"/>
    <w:rsid w:val="1D353E0E"/>
    <w:rsid w:val="23696C97"/>
    <w:rsid w:val="25076767"/>
    <w:rsid w:val="26400F3E"/>
    <w:rsid w:val="265D3BA4"/>
    <w:rsid w:val="27702FFB"/>
    <w:rsid w:val="29080D00"/>
    <w:rsid w:val="2A900FAD"/>
    <w:rsid w:val="2BBE51D2"/>
    <w:rsid w:val="2DE20D60"/>
    <w:rsid w:val="2E3B17F8"/>
    <w:rsid w:val="2F0F7882"/>
    <w:rsid w:val="2F107312"/>
    <w:rsid w:val="310D3357"/>
    <w:rsid w:val="31F227CC"/>
    <w:rsid w:val="324A05DB"/>
    <w:rsid w:val="33997124"/>
    <w:rsid w:val="37707658"/>
    <w:rsid w:val="388D25EF"/>
    <w:rsid w:val="38DD5D05"/>
    <w:rsid w:val="3D9955CE"/>
    <w:rsid w:val="3E595E2E"/>
    <w:rsid w:val="40B05AAD"/>
    <w:rsid w:val="4723347D"/>
    <w:rsid w:val="47F852A2"/>
    <w:rsid w:val="485C2FA1"/>
    <w:rsid w:val="48611C86"/>
    <w:rsid w:val="49414656"/>
    <w:rsid w:val="49DD7950"/>
    <w:rsid w:val="4C3276FA"/>
    <w:rsid w:val="4D0A1810"/>
    <w:rsid w:val="4DEE5E67"/>
    <w:rsid w:val="4E023549"/>
    <w:rsid w:val="52331053"/>
    <w:rsid w:val="543A2B49"/>
    <w:rsid w:val="57E234A4"/>
    <w:rsid w:val="5B2C18EF"/>
    <w:rsid w:val="5C743C9D"/>
    <w:rsid w:val="5D6112A6"/>
    <w:rsid w:val="5E6F7B8F"/>
    <w:rsid w:val="699D3EC8"/>
    <w:rsid w:val="6A927E4E"/>
    <w:rsid w:val="6B131488"/>
    <w:rsid w:val="6B6109C1"/>
    <w:rsid w:val="70E46F2A"/>
    <w:rsid w:val="79087881"/>
    <w:rsid w:val="7D122E7C"/>
    <w:rsid w:val="7E9A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line="580" w:lineRule="exact"/>
    </w:pPr>
    <w:rPr>
      <w:rFonts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b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942</Words>
  <Characters>1078</Characters>
  <Lines>0</Lines>
  <Paragraphs>0</Paragraphs>
  <TotalTime>0</TotalTime>
  <ScaleCrop>false</ScaleCrop>
  <LinksUpToDate>false</LinksUpToDate>
  <CharactersWithSpaces>1164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2021-12-21T01:44:00Z</dcterms:created>
  <dc:creator>Administrator</dc:creator>
  <cp:lastModifiedBy>Cinderella-路</cp:lastModifiedBy>
  <cp:lastPrinted>2023-04-26T07:26:00Z</cp:lastPrinted>
  <dcterms:modified xsi:type="dcterms:W3CDTF">2024-04-24T07:03:13Z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E98DE414F7D445DAB541BF150ED2F6CF</vt:lpwstr>
  </property>
</Properties>
</file>