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snapToGrid/>
        <w:spacing w:after="157" w:line="560" w:lineRule="exact"/>
        <w:jc w:val="center"/>
        <w:rPr>
          <w:rFonts w:hint="eastAsia" w:ascii="方正小标宋简体" w:hAnsi="方正小标宋简体" w:eastAsia="方正小标宋简体"/>
          <w:sz w:val="44"/>
          <w:szCs w:val="44"/>
          <w:lang w:eastAsia="zh-CN"/>
        </w:rPr>
      </w:pPr>
    </w:p>
    <w:p>
      <w:pPr>
        <w:keepNext w:val="0"/>
        <w:keepLines w:val="0"/>
        <w:pageBreakBefore w:val="0"/>
        <w:widowControl w:val="0"/>
        <w:numPr>
          <w:ilvl w:val="0"/>
          <w:numId w:val="0"/>
        </w:numPr>
        <w:kinsoku/>
        <w:wordWrap/>
        <w:overflowPunct/>
        <w:topLinePunct w:val="0"/>
        <w:autoSpaceDE/>
        <w:autoSpaceDN/>
        <w:bidi w:val="0"/>
        <w:snapToGrid/>
        <w:spacing w:after="157" w:line="56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相山区民政局</w:t>
      </w:r>
      <w:r>
        <w:rPr>
          <w:rFonts w:hint="eastAsia" w:ascii="方正小标宋简体" w:hAnsi="方正小标宋简体" w:eastAsia="方正小标宋简体"/>
          <w:sz w:val="44"/>
          <w:szCs w:val="44"/>
          <w:lang w:val="en-US" w:eastAsia="zh-CN"/>
        </w:rPr>
        <w:t>2022年养老机构建设及运营项目支出绩效评价报告存在的问题及原因分析整改工作报告</w:t>
      </w:r>
    </w:p>
    <w:p>
      <w:pPr>
        <w:keepNext w:val="0"/>
        <w:keepLines w:val="0"/>
        <w:pageBreakBefore w:val="0"/>
        <w:widowControl w:val="0"/>
        <w:numPr>
          <w:ilvl w:val="0"/>
          <w:numId w:val="0"/>
        </w:numPr>
        <w:kinsoku/>
        <w:wordWrap/>
        <w:overflowPunct/>
        <w:topLinePunct w:val="0"/>
        <w:autoSpaceDE/>
        <w:autoSpaceDN/>
        <w:bidi w:val="0"/>
        <w:snapToGrid/>
        <w:spacing w:line="560" w:lineRule="exact"/>
        <w:jc w:val="center"/>
        <w:rPr>
          <w:rFonts w:hint="eastAsia" w:ascii="楷体_GB2312" w:hAnsi="楷体_GB2312" w:eastAsia="楷体_GB2312"/>
          <w:b/>
          <w:bCs/>
          <w:sz w:val="32"/>
          <w:szCs w:val="32"/>
          <w:lang w:val="en-US" w:eastAsia="zh-CN"/>
        </w:rPr>
      </w:pPr>
      <w:r>
        <w:rPr>
          <w:rFonts w:hint="eastAsia" w:ascii="楷体_GB2312" w:hAnsi="楷体_GB2312" w:eastAsia="楷体_GB2312"/>
          <w:b/>
          <w:bCs/>
          <w:sz w:val="32"/>
          <w:szCs w:val="32"/>
          <w:lang w:val="en-US" w:eastAsia="zh-CN"/>
        </w:rPr>
        <w:t>相山区民政局</w:t>
      </w:r>
    </w:p>
    <w:p>
      <w:pPr>
        <w:keepNext w:val="0"/>
        <w:keepLines w:val="0"/>
        <w:pageBreakBefore w:val="0"/>
        <w:widowControl w:val="0"/>
        <w:numPr>
          <w:ilvl w:val="0"/>
          <w:numId w:val="0"/>
        </w:numPr>
        <w:kinsoku/>
        <w:wordWrap/>
        <w:overflowPunct/>
        <w:topLinePunct w:val="0"/>
        <w:autoSpaceDE/>
        <w:autoSpaceDN/>
        <w:bidi w:val="0"/>
        <w:snapToGrid/>
        <w:spacing w:line="560" w:lineRule="exact"/>
        <w:jc w:val="center"/>
        <w:rPr>
          <w:rFonts w:hint="eastAsia" w:ascii="楷体_GB2312" w:hAnsi="楷体_GB2312" w:eastAsia="楷体_GB2312"/>
          <w:b/>
          <w:bCs/>
          <w:sz w:val="32"/>
          <w:szCs w:val="32"/>
          <w:lang w:val="en-US" w:eastAsia="zh-CN"/>
        </w:rPr>
      </w:pPr>
      <w:r>
        <w:rPr>
          <w:rFonts w:hint="eastAsia" w:ascii="楷体_GB2312" w:hAnsi="楷体_GB2312" w:eastAsia="楷体_GB2312"/>
          <w:b/>
          <w:bCs/>
          <w:sz w:val="32"/>
          <w:szCs w:val="32"/>
          <w:lang w:val="en-US" w:eastAsia="zh-CN"/>
        </w:rPr>
        <w:t>2023年11月30日</w:t>
      </w:r>
    </w:p>
    <w:p>
      <w:pPr>
        <w:spacing w:line="58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b w:val="0"/>
          <w:bCs w:val="0"/>
          <w:sz w:val="32"/>
          <w:szCs w:val="32"/>
        </w:rPr>
        <w:t>根据</w:t>
      </w:r>
      <w:r>
        <w:rPr>
          <w:rFonts w:hint="eastAsia" w:ascii="仿宋_GB2312" w:hAnsi="仿宋_GB2312" w:eastAsia="仿宋_GB2312"/>
          <w:b w:val="0"/>
          <w:bCs w:val="0"/>
          <w:sz w:val="32"/>
          <w:szCs w:val="32"/>
          <w:lang w:eastAsia="zh-CN"/>
        </w:rPr>
        <w:t>《相山区民政局</w:t>
      </w:r>
      <w:r>
        <w:rPr>
          <w:rFonts w:hint="eastAsia" w:ascii="仿宋_GB2312" w:hAnsi="仿宋_GB2312" w:eastAsia="仿宋_GB2312"/>
          <w:b w:val="0"/>
          <w:bCs w:val="0"/>
          <w:sz w:val="32"/>
          <w:szCs w:val="32"/>
          <w:lang w:val="en-US" w:eastAsia="zh-CN"/>
        </w:rPr>
        <w:t>2022年养老机构建设及运营项目支出绩效评价报告</w:t>
      </w:r>
      <w:r>
        <w:rPr>
          <w:rFonts w:hint="eastAsia" w:ascii="仿宋_GB2312" w:hAnsi="仿宋_GB2312" w:eastAsia="仿宋_GB2312"/>
          <w:b w:val="0"/>
          <w:bCs w:val="0"/>
          <w:sz w:val="32"/>
          <w:szCs w:val="32"/>
          <w:lang w:eastAsia="zh-CN"/>
        </w:rPr>
        <w:t>》（以下简称评价报告）中提出的存在问题及原因分析，</w:t>
      </w:r>
      <w:r>
        <w:rPr>
          <w:rFonts w:hint="eastAsia" w:ascii="仿宋_GB2312" w:hAnsi="仿宋_GB2312" w:eastAsia="仿宋_GB2312"/>
          <w:b w:val="0"/>
          <w:bCs w:val="0"/>
          <w:sz w:val="32"/>
          <w:szCs w:val="32"/>
        </w:rPr>
        <w:t>相山区</w:t>
      </w:r>
      <w:r>
        <w:rPr>
          <w:rFonts w:hint="eastAsia" w:ascii="仿宋_GB2312" w:hAnsi="仿宋_GB2312" w:eastAsia="仿宋_GB2312"/>
          <w:b w:val="0"/>
          <w:bCs w:val="0"/>
          <w:sz w:val="32"/>
          <w:szCs w:val="32"/>
          <w:lang w:eastAsia="zh-CN"/>
        </w:rPr>
        <w:t>民政局</w:t>
      </w:r>
      <w:r>
        <w:rPr>
          <w:rFonts w:hint="eastAsia" w:ascii="仿宋_GB2312" w:hAnsi="仿宋_GB2312" w:eastAsia="仿宋_GB2312"/>
          <w:b w:val="0"/>
          <w:bCs w:val="0"/>
          <w:sz w:val="32"/>
          <w:szCs w:val="32"/>
        </w:rPr>
        <w:t>认真</w:t>
      </w:r>
      <w:r>
        <w:rPr>
          <w:rFonts w:hint="eastAsia" w:ascii="仿宋_GB2312" w:hAnsi="仿宋_GB2312" w:eastAsia="仿宋_GB2312"/>
          <w:b w:val="0"/>
          <w:bCs w:val="0"/>
          <w:sz w:val="32"/>
          <w:szCs w:val="32"/>
          <w:lang w:eastAsia="zh-CN"/>
        </w:rPr>
        <w:t>按照</w:t>
      </w:r>
      <w:r>
        <w:rPr>
          <w:rFonts w:hint="eastAsia" w:ascii="仿宋_GB2312" w:hAnsi="仿宋_GB2312" w:eastAsia="仿宋_GB2312"/>
          <w:b w:val="0"/>
          <w:bCs w:val="0"/>
          <w:sz w:val="32"/>
          <w:szCs w:val="32"/>
        </w:rPr>
        <w:t>要求，</w:t>
      </w:r>
      <w:r>
        <w:rPr>
          <w:rFonts w:hint="eastAsia" w:ascii="仿宋_GB2312" w:hAnsi="仿宋_GB2312" w:eastAsia="仿宋_GB2312"/>
          <w:sz w:val="32"/>
          <w:szCs w:val="32"/>
          <w:lang w:val="en-US" w:eastAsia="zh-CN"/>
        </w:rPr>
        <w:t>细化整改方案，明确整改措施、整改责任人、整改时限、整改成效等具体整改要素。同时，按照评价报告提出的建议，做到举一反三，力争实现民政资金绩效全面提升整改。</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3" w:firstLineChars="200"/>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提高政治站位，切实加强资金绩效评价整改工作。</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3" w:firstLineChars="200"/>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一是直面问题，加强组织领导。</w:t>
      </w:r>
      <w:r>
        <w:rPr>
          <w:rFonts w:hint="eastAsia" w:ascii="仿宋_GB2312" w:hAnsi="仿宋_GB2312" w:eastAsia="仿宋_GB2312"/>
          <w:b w:val="0"/>
          <w:bCs w:val="0"/>
          <w:sz w:val="32"/>
          <w:szCs w:val="32"/>
          <w:lang w:val="en-US" w:eastAsia="zh-CN"/>
        </w:rPr>
        <w:t>按照评价报告列出的要求，区民政局主要领导第一时间召开专题会议，进一步明确整改要求。落实评价报告任务，压实各部门的整改责任，用彻底、不留尾巴的工作成效，全力以赴做好做实整改工作。</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3" w:firstLineChars="200"/>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二是聚焦问题，细化责任落实。</w:t>
      </w:r>
      <w:r>
        <w:rPr>
          <w:rFonts w:hint="eastAsia" w:ascii="仿宋_GB2312" w:hAnsi="仿宋_GB2312" w:eastAsia="仿宋_GB2312"/>
          <w:b w:val="0"/>
          <w:bCs w:val="0"/>
          <w:sz w:val="32"/>
          <w:szCs w:val="32"/>
          <w:lang w:val="en-US" w:eastAsia="zh-CN"/>
        </w:rPr>
        <w:t>及时按照整改建议，进一步细化排查、整改措施、完成时限，做到整改一个、销号一个，确保事事有着落、见见有回音。</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643" w:firstLineChars="200"/>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多措并举，严格落实评价报告整改任务。</w:t>
      </w:r>
    </w:p>
    <w:p>
      <w:pPr>
        <w:keepNext w:val="0"/>
        <w:keepLines w:val="0"/>
        <w:pageBreakBefore w:val="0"/>
        <w:widowControl w:val="0"/>
        <w:numPr>
          <w:ilvl w:val="0"/>
          <w:numId w:val="2"/>
        </w:numPr>
        <w:kinsoku/>
        <w:wordWrap/>
        <w:overflowPunct/>
        <w:topLinePunct w:val="0"/>
        <w:autoSpaceDE/>
        <w:autoSpaceDN/>
        <w:bidi w:val="0"/>
        <w:snapToGrid/>
        <w:spacing w:line="560" w:lineRule="exact"/>
        <w:ind w:leftChars="200"/>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关于“项目预算额度测算记录不全面”的整改情况。</w:t>
      </w:r>
    </w:p>
    <w:p>
      <w:pPr>
        <w:keepNext w:val="0"/>
        <w:keepLines w:val="0"/>
        <w:pageBreakBefore w:val="0"/>
        <w:widowControl w:val="0"/>
        <w:numPr>
          <w:numId w:val="0"/>
        </w:numPr>
        <w:kinsoku/>
        <w:wordWrap/>
        <w:overflowPunct/>
        <w:topLinePunct w:val="0"/>
        <w:autoSpaceDE/>
        <w:autoSpaceDN/>
        <w:bidi w:val="0"/>
        <w:snapToGrid/>
        <w:spacing w:line="560" w:lineRule="exact"/>
        <w:rPr>
          <w:rFonts w:hint="default" w:ascii="仿宋_GB2312" w:hAnsi="仿宋_GB2312" w:eastAsia="仿宋_GB2312"/>
          <w:b w:val="0"/>
          <w:bCs w:val="0"/>
          <w:sz w:val="32"/>
          <w:szCs w:val="32"/>
          <w:lang w:val="en-US" w:eastAsia="zh-CN"/>
        </w:rPr>
      </w:pPr>
      <w:r>
        <w:rPr>
          <w:rFonts w:hint="eastAsia" w:ascii="仿宋_GB2312" w:hAnsi="仿宋_GB2312" w:eastAsia="仿宋_GB2312"/>
          <w:b w:val="0"/>
          <w:bCs w:val="0"/>
          <w:sz w:val="32"/>
          <w:szCs w:val="32"/>
          <w:lang w:val="en-US" w:eastAsia="zh-CN"/>
        </w:rPr>
        <w:t xml:space="preserve">   整改情况：已完成。</w:t>
      </w:r>
    </w:p>
    <w:p>
      <w:pPr>
        <w:keepNext w:val="0"/>
        <w:keepLines w:val="0"/>
        <w:pageBreakBefore w:val="0"/>
        <w:widowControl w:val="0"/>
        <w:numPr>
          <w:numId w:val="0"/>
        </w:numPr>
        <w:kinsoku/>
        <w:wordWrap/>
        <w:overflowPunct/>
        <w:topLinePunct w:val="0"/>
        <w:autoSpaceDE/>
        <w:autoSpaceDN/>
        <w:bidi w:val="0"/>
        <w:snapToGrid/>
        <w:spacing w:line="560" w:lineRule="exact"/>
        <w:rPr>
          <w:rFonts w:hint="default" w:ascii="仿宋_GB2312" w:hAnsi="仿宋_GB2312" w:eastAsia="仿宋_GB2312"/>
          <w:b w:val="0"/>
          <w:bCs w:val="0"/>
          <w:sz w:val="32"/>
          <w:szCs w:val="32"/>
          <w:lang w:val="en-US" w:eastAsia="zh-CN"/>
        </w:rPr>
      </w:pPr>
      <w:r>
        <w:rPr>
          <w:rFonts w:hint="eastAsia" w:ascii="仿宋_GB2312" w:hAnsi="仿宋_GB2312" w:eastAsia="仿宋_GB2312"/>
          <w:b/>
          <w:bCs/>
          <w:sz w:val="32"/>
          <w:szCs w:val="32"/>
          <w:lang w:val="en-US" w:eastAsia="zh-CN"/>
        </w:rPr>
        <w:t xml:space="preserve">   </w:t>
      </w:r>
      <w:r>
        <w:rPr>
          <w:rFonts w:hint="eastAsia" w:ascii="仿宋_GB2312" w:hAnsi="仿宋_GB2312" w:eastAsia="仿宋_GB2312"/>
          <w:b w:val="0"/>
          <w:bCs w:val="0"/>
          <w:sz w:val="32"/>
          <w:szCs w:val="32"/>
          <w:lang w:val="en-US" w:eastAsia="zh-CN"/>
        </w:rPr>
        <w:t xml:space="preserve"> 主要措施：在下一步的工作中，严格按照财务管理和资金预算相关规定，完整、准确的记录预算额度测算过程，并将测算过程进行上报审核，确保额度测算的准确性。</w:t>
      </w:r>
    </w:p>
    <w:p>
      <w:pPr>
        <w:keepNext w:val="0"/>
        <w:keepLines w:val="0"/>
        <w:pageBreakBefore w:val="0"/>
        <w:widowControl w:val="0"/>
        <w:numPr>
          <w:numId w:val="0"/>
        </w:numPr>
        <w:kinsoku/>
        <w:wordWrap/>
        <w:overflowPunct/>
        <w:topLinePunct w:val="0"/>
        <w:autoSpaceDE/>
        <w:autoSpaceDN/>
        <w:bidi w:val="0"/>
        <w:snapToGrid/>
        <w:spacing w:line="560" w:lineRule="exact"/>
        <w:ind w:firstLine="643" w:firstLineChars="200"/>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（二）关于“没有制定绩效考评制度和考评体系，项目指标没有明细化管理”的整改情况。</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rPr>
          <w:rFonts w:hint="eastAsia" w:ascii="仿宋_GB2312" w:hAnsi="仿宋_GB2312" w:eastAsia="仿宋_GB2312"/>
          <w:b w:val="0"/>
          <w:bCs w:val="0"/>
          <w:sz w:val="32"/>
          <w:szCs w:val="32"/>
          <w:lang w:val="en-US" w:eastAsia="zh-CN"/>
        </w:rPr>
      </w:pPr>
      <w:r>
        <w:rPr>
          <w:rFonts w:hint="eastAsia" w:ascii="仿宋_GB2312" w:hAnsi="仿宋_GB2312" w:eastAsia="仿宋_GB2312"/>
          <w:b w:val="0"/>
          <w:bCs w:val="0"/>
          <w:sz w:val="32"/>
          <w:szCs w:val="32"/>
          <w:lang w:val="en-US" w:eastAsia="zh-CN"/>
        </w:rPr>
        <w:t>整改情况：已完成。</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rPr>
          <w:rFonts w:hint="eastAsia" w:ascii="仿宋_GB2312" w:hAnsi="仿宋_GB2312" w:eastAsia="仿宋_GB2312"/>
          <w:b w:val="0"/>
          <w:bCs w:val="0"/>
          <w:sz w:val="32"/>
          <w:szCs w:val="32"/>
          <w:lang w:val="en-US" w:eastAsia="zh-CN"/>
        </w:rPr>
      </w:pPr>
      <w:r>
        <w:rPr>
          <w:rFonts w:hint="eastAsia" w:ascii="仿宋_GB2312" w:hAnsi="仿宋_GB2312" w:eastAsia="仿宋_GB2312"/>
          <w:b w:val="0"/>
          <w:bCs w:val="0"/>
          <w:sz w:val="32"/>
          <w:szCs w:val="32"/>
          <w:lang w:val="en-US" w:eastAsia="zh-CN"/>
        </w:rPr>
        <w:t>主要措施：在原有养老资金总的绩效考评制度和考评体系的基础上，分别制定</w:t>
      </w:r>
      <w:bookmarkStart w:id="0" w:name="_GoBack"/>
      <w:bookmarkEnd w:id="0"/>
      <w:r>
        <w:rPr>
          <w:rFonts w:hint="eastAsia" w:ascii="仿宋_GB2312" w:hAnsi="仿宋_GB2312" w:eastAsia="仿宋_GB2312"/>
          <w:b w:val="0"/>
          <w:bCs w:val="0"/>
          <w:sz w:val="32"/>
          <w:szCs w:val="32"/>
          <w:lang w:val="en-US" w:eastAsia="zh-CN"/>
        </w:rPr>
        <w:t>详细的单项资金绩效考评制度和考评体系，协调省、市相关部门，按照上级文件分别制定。</w:t>
      </w:r>
    </w:p>
    <w:p>
      <w:pPr>
        <w:keepNext w:val="0"/>
        <w:keepLines w:val="0"/>
        <w:pageBreakBefore w:val="0"/>
        <w:widowControl w:val="0"/>
        <w:numPr>
          <w:numId w:val="0"/>
        </w:numPr>
        <w:kinsoku/>
        <w:wordWrap/>
        <w:overflowPunct/>
        <w:topLinePunct w:val="0"/>
        <w:autoSpaceDE/>
        <w:autoSpaceDN/>
        <w:bidi w:val="0"/>
        <w:snapToGrid/>
        <w:spacing w:line="560" w:lineRule="exact"/>
        <w:ind w:firstLine="643" w:firstLineChars="200"/>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（三）关于“未对养老机构是否符合补助范围、养老机构对补助资金的使用是否符合规定进行核查”的整改情况。</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rPr>
          <w:rFonts w:hint="eastAsia" w:ascii="仿宋_GB2312" w:hAnsi="仿宋_GB2312" w:eastAsia="仿宋_GB2312"/>
          <w:b w:val="0"/>
          <w:bCs w:val="0"/>
          <w:sz w:val="32"/>
          <w:szCs w:val="32"/>
          <w:lang w:val="en-US" w:eastAsia="zh-CN"/>
        </w:rPr>
      </w:pPr>
      <w:r>
        <w:rPr>
          <w:rFonts w:hint="eastAsia" w:ascii="仿宋_GB2312" w:hAnsi="仿宋_GB2312" w:eastAsia="仿宋_GB2312"/>
          <w:b w:val="0"/>
          <w:bCs w:val="0"/>
          <w:sz w:val="32"/>
          <w:szCs w:val="32"/>
          <w:lang w:val="en-US" w:eastAsia="zh-CN"/>
        </w:rPr>
        <w:t>整改情况：已完成。</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rPr>
          <w:rFonts w:hint="eastAsia" w:ascii="仿宋_GB2312" w:hAnsi="仿宋_GB2312" w:eastAsia="仿宋_GB2312"/>
          <w:b w:val="0"/>
          <w:bCs w:val="0"/>
          <w:sz w:val="32"/>
          <w:szCs w:val="32"/>
          <w:lang w:val="en-US" w:eastAsia="zh-CN"/>
        </w:rPr>
      </w:pPr>
      <w:r>
        <w:rPr>
          <w:rFonts w:hint="eastAsia" w:ascii="仿宋_GB2312" w:hAnsi="仿宋_GB2312" w:eastAsia="仿宋_GB2312"/>
          <w:b w:val="0"/>
          <w:bCs w:val="0"/>
          <w:sz w:val="32"/>
          <w:szCs w:val="32"/>
          <w:lang w:val="en-US" w:eastAsia="zh-CN"/>
        </w:rPr>
        <w:t>主要措施：通过公开招标方式确定第三方机构对相山区已经取得备案手续的机构，进行星级评定，按照上级文件要求，对符合补助范围的养老机构进行补助。另外积极申请资金，通过公开招标方式确定第三方机构每年对养老机构资金进行全面审计的同时，重点核查养老机构对补助资金的使用是否符合规定，并出具书面报告。</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华文细黑" w:hAnsi="华文细黑" w:eastAsia="华文细黑"/>
          <w:b/>
          <w:bCs/>
          <w:sz w:val="32"/>
          <w:szCs w:val="32"/>
          <w:lang w:val="en-US" w:eastAsia="zh-CN"/>
        </w:rPr>
      </w:pPr>
      <w:r>
        <w:rPr>
          <w:rFonts w:hint="eastAsia" w:ascii="华文细黑" w:hAnsi="华文细黑" w:eastAsia="华文细黑"/>
          <w:b/>
          <w:bCs/>
          <w:sz w:val="32"/>
          <w:szCs w:val="32"/>
          <w:lang w:val="en-US" w:eastAsia="zh-CN"/>
        </w:rPr>
        <w:t>三、细化分析问题出现原因，加快工作进度</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Times New Roman" w:hAnsi="Times New Roman" w:eastAsia="仿宋"/>
          <w:color w:val="000000"/>
          <w:sz w:val="32"/>
          <w:szCs w:val="32"/>
        </w:rPr>
      </w:pPr>
      <w:r>
        <w:rPr>
          <w:rFonts w:hint="eastAsia" w:ascii="Times New Roman" w:hAnsi="Times New Roman" w:eastAsia="仿宋"/>
          <w:color w:val="000000"/>
          <w:sz w:val="32"/>
          <w:szCs w:val="32"/>
        </w:rPr>
        <w:t>2</w:t>
      </w:r>
      <w:r>
        <w:rPr>
          <w:rFonts w:ascii="Times New Roman" w:hAnsi="Times New Roman" w:eastAsia="仿宋"/>
          <w:color w:val="000000"/>
          <w:sz w:val="32"/>
          <w:szCs w:val="32"/>
        </w:rPr>
        <w:t>022</w:t>
      </w:r>
      <w:r>
        <w:rPr>
          <w:rFonts w:hint="eastAsia" w:ascii="Times New Roman" w:hAnsi="Times New Roman" w:eastAsia="仿宋"/>
          <w:color w:val="000000"/>
          <w:sz w:val="32"/>
          <w:szCs w:val="32"/>
        </w:rPr>
        <w:t>年以来，在区委、区政府坚强领导下，</w:t>
      </w:r>
      <w:r>
        <w:rPr>
          <w:rFonts w:hint="eastAsia" w:ascii="Times New Roman" w:hAnsi="Times New Roman" w:eastAsia="仿宋"/>
          <w:color w:val="000000"/>
          <w:sz w:val="32"/>
          <w:szCs w:val="32"/>
          <w:lang w:eastAsia="zh-CN"/>
        </w:rPr>
        <w:t>相山区</w:t>
      </w:r>
      <w:r>
        <w:rPr>
          <w:rFonts w:hint="eastAsia" w:ascii="Times New Roman" w:hAnsi="Times New Roman" w:eastAsia="仿宋"/>
          <w:color w:val="000000"/>
          <w:sz w:val="32"/>
          <w:szCs w:val="32"/>
        </w:rPr>
        <w:t>坚持需求导向，按照政府主导、市场运作、社会参与的原则，积极推进</w:t>
      </w:r>
      <w:r>
        <w:rPr>
          <w:rFonts w:hint="eastAsia" w:ascii="Times New Roman" w:hAnsi="Times New Roman" w:eastAsia="仿宋"/>
          <w:color w:val="000000"/>
          <w:sz w:val="32"/>
          <w:szCs w:val="32"/>
          <w:lang w:eastAsia="zh-CN"/>
        </w:rPr>
        <w:t>社会养老服务体系建设</w:t>
      </w:r>
      <w:r>
        <w:rPr>
          <w:rFonts w:hint="eastAsia" w:ascii="Times New Roman" w:hAnsi="Times New Roman" w:eastAsia="仿宋"/>
          <w:color w:val="000000"/>
          <w:sz w:val="32"/>
          <w:szCs w:val="32"/>
        </w:rPr>
        <w:t>稳步有力有序开展。</w:t>
      </w:r>
      <w:r>
        <w:rPr>
          <w:rFonts w:hint="eastAsia" w:ascii="仿宋_GB2312" w:hAnsi="仿宋_GB2312" w:eastAsia="仿宋_GB2312"/>
          <w:sz w:val="32"/>
          <w:szCs w:val="32"/>
          <w:lang w:val="en-US" w:eastAsia="zh-CN"/>
        </w:rPr>
        <w:t>但是也存在着各种各样的问题不足，接下来，按照文件要求，还将完善整改力度，丰富监督管理手段，保质保量完成工作。</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通过此次绩效评价，我们要以改促思、以改促干，把社会养老服务体系建设此项工作好事办实，好事办好。</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D71A3"/>
    <w:multiLevelType w:val="singleLevel"/>
    <w:tmpl w:val="A08D71A3"/>
    <w:lvl w:ilvl="0" w:tentative="0">
      <w:start w:val="1"/>
      <w:numFmt w:val="chineseCounting"/>
      <w:suff w:val="nothing"/>
      <w:lvlText w:val="（%1）"/>
      <w:lvlJc w:val="left"/>
      <w:rPr>
        <w:rFonts w:hint="eastAsia"/>
      </w:rPr>
    </w:lvl>
  </w:abstractNum>
  <w:abstractNum w:abstractNumId="1">
    <w:nsid w:val="4AA7BC15"/>
    <w:multiLevelType w:val="singleLevel"/>
    <w:tmpl w:val="4AA7BC1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5NmM3MmEzNWFkNDIyYWZiZTBlM2RkZGYwM2ZmNDEifQ=="/>
  </w:docVars>
  <w:rsids>
    <w:rsidRoot w:val="00000000"/>
    <w:rsid w:val="1CB347A4"/>
    <w:rsid w:val="48CC66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semiHidden/>
    <w:uiPriority w:val="0"/>
  </w:style>
  <w:style w:type="table" w:customStyle="1" w:styleId="5">
    <w:name w:val="普通表格1"/>
    <w:semiHidden/>
    <w:qFormat/>
    <w:uiPriority w:val="0"/>
  </w:style>
  <w:style w:type="paragraph" w:customStyle="1" w:styleId="6">
    <w:name w:val="页脚1"/>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51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2023-11-30T23:59:32Z</dcterms:created>
  <dc:creator>大山</dc:creator>
  <cp:lastModifiedBy>大山</cp:lastModifiedBy>
  <dcterms:modified xsi:type="dcterms:W3CDTF">2023-12-01T01:12:30Z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7760D1D2E450443CB01588F3C3948CE5_13</vt:lpwstr>
  </property>
</Properties>
</file>