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NewRoman" w:hAnsi="TimesNewRoman" w:eastAsia="黑体" w:cs="TimesNewRoman"/>
          <w:szCs w:val="32"/>
          <w:highlight w:val="none"/>
          <w:lang w:val="en-US" w:eastAsia="zh-CN"/>
        </w:rPr>
      </w:pPr>
      <w:r>
        <w:rPr>
          <w:rFonts w:hint="eastAsia" w:ascii="TimesNewRoman" w:hAnsi="TimesNewRoman" w:eastAsia="黑体" w:cs="TimesNewRoman"/>
          <w:szCs w:val="32"/>
          <w:highlight w:val="none"/>
          <w:lang w:val="en" w:eastAsia="zh-CN"/>
        </w:rPr>
        <w:t>附件</w:t>
      </w:r>
      <w:r>
        <w:rPr>
          <w:rFonts w:hint="eastAsia" w:ascii="TimesNewRoman" w:hAnsi="TimesNewRoman" w:eastAsia="黑体" w:cs="TimesNewRoman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NewRoman" w:hAnsi="TimesNewRoman" w:eastAsia="黑体" w:cs="TimesNewRoman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NewRoman" w:hAnsi="TimesNewRoman" w:eastAsia="黑体" w:cs="TimesNewRoman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</w:rPr>
        <w:t>淮北市相山区曲阳街道办事处</w:t>
      </w: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  <w:t xml:space="preserve">          </w:t>
      </w:r>
      <w:r>
        <w:rPr>
          <w:rFonts w:hint="default" w:ascii="TimesNewRoman" w:hAnsi="TimesNewRoman" w:eastAsia="华文中宋" w:cs="TimesNewRoman"/>
          <w:b/>
          <w:sz w:val="44"/>
          <w:szCs w:val="44"/>
          <w:highlight w:val="none"/>
        </w:rPr>
        <w:t>202</w:t>
      </w:r>
      <w:r>
        <w:rPr>
          <w:rFonts w:hint="eastAsia" w:ascii="TimesNewRoman" w:hAnsi="TimesNewRoman" w:eastAsia="华文中宋" w:cs="TimesNewRoman"/>
          <w:b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NewRoman" w:hAnsi="TimesNewRoman" w:eastAsia="华文中宋" w:cs="TimesNewRoman"/>
          <w:b/>
          <w:sz w:val="44"/>
          <w:szCs w:val="44"/>
          <w:highlight w:val="none"/>
        </w:rPr>
        <w:t>年部门预算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TimesNewRoman" w:hAnsi="TimesNewRoman" w:eastAsia="楷体_GB2312" w:cs="TimesNewRoman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</w:pPr>
      <w:r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  <w:t>202</w:t>
      </w:r>
      <w:r>
        <w:rPr>
          <w:rFonts w:hint="eastAsia" w:ascii="TimesNewRoman" w:hAnsi="TimesNewRoman" w:eastAsia="黑体" w:cs="TimesNewRoman"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  <w:t>年</w:t>
      </w:r>
      <w:r>
        <w:rPr>
          <w:rFonts w:hint="eastAsia" w:ascii="TimesNewRoman" w:hAnsi="TimesNewRoman" w:eastAsia="黑体" w:cs="TimesNewRoman"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  <w:t>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</w:pPr>
      <w:r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  <w:t xml:space="preserve">目 </w:t>
      </w:r>
      <w:r>
        <w:rPr>
          <w:rFonts w:hint="eastAsia" w:ascii="TimesNewRoman" w:hAnsi="TimesNewRoman" w:eastAsia="黑体" w:cs="TimesNewRoman"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NewRoman" w:hAnsi="TimesNewRoman" w:eastAsia="黑体" w:cs="TimesNewRoman"/>
          <w:bCs/>
          <w:sz w:val="44"/>
          <w:szCs w:val="44"/>
          <w:highlight w:val="none"/>
        </w:rPr>
        <w:t>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  <w:t>第一部分 部门概况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1.主要职责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2.部门预算构成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3.202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年度主要工作任务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  <w:t>第二部分 202</w:t>
      </w:r>
      <w:r>
        <w:rPr>
          <w:rFonts w:hint="eastAsia" w:ascii="TimesNewRoman" w:hAnsi="TimesNewRoman" w:eastAsia="仿宋_GB2312" w:cs="TimesNewRoman"/>
          <w:b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  <w:t>年部门预算表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年收支总表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年收入总表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年支出总表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年财政拨款收支总表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年一般公共预算支出表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年一般公共预算基本支出表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年政府性基金预算支出表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年国有资本经营预算支出表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年项目支出表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10.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年政府采购支出表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11.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年政府购买服务支出表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  <w:t>第三部分 202</w:t>
      </w:r>
      <w:r>
        <w:rPr>
          <w:rFonts w:hint="eastAsia" w:ascii="TimesNewRoman" w:hAnsi="TimesNewRoman" w:eastAsia="仿宋_GB2312" w:cs="TimesNewRoman"/>
          <w:b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  <w:t>年部门预算情况说明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年收支总表的说明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2.关于202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年收入总表的说明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cs="TimesNewRoman"/>
          <w:bCs/>
          <w:kern w:val="0"/>
          <w:szCs w:val="32"/>
          <w:highlight w:val="none"/>
        </w:rPr>
      </w:pPr>
      <w:r>
        <w:rPr>
          <w:rFonts w:hint="default" w:ascii="TimesNewRoman" w:hAnsi="TimesNewRoman" w:cs="TimesNewRoman"/>
          <w:bCs/>
          <w:kern w:val="0"/>
          <w:szCs w:val="32"/>
          <w:highlight w:val="none"/>
        </w:rPr>
        <w:t>3.关于202</w:t>
      </w:r>
      <w:r>
        <w:rPr>
          <w:rFonts w:hint="eastAsia" w:ascii="TimesNewRoman" w:hAnsi="TimesNewRoman" w:cs="TimesNewRoman"/>
          <w:bCs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cs="TimesNewRoman"/>
          <w:bCs/>
          <w:kern w:val="0"/>
          <w:szCs w:val="32"/>
          <w:highlight w:val="none"/>
        </w:rPr>
        <w:t>年支出总表的说明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4.关于202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年财政拨款收支总表的说明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5.关于202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年一般公共预算支出表的说明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6.关于202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年一般公共预算基本支出表的说明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7.关于202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年政府性基金预算支出表的说明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8.关于202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年国有资本经营预算支出表的说明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9.关于202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年项目支出表的说明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10.关于202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年政府采购支出表的说明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11.关于202</w:t>
      </w:r>
      <w:r>
        <w:rPr>
          <w:rFonts w:hint="eastAsia" w:ascii="TimesNewRoman" w:hAnsi="TimesNewRoman" w:eastAsia="仿宋_GB2312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年政府购买服务支出表的说明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12.其他重要事项情况说明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  <w:t>第四部分 名词解释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仿宋_GB2312" w:cs="TimesNewRoman"/>
          <w:b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  <w:t>第一部分 部门概况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cs="TimesNewRoman"/>
          <w:highlight w:val="none"/>
        </w:rPr>
      </w:pPr>
      <w:r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  <w:t>一、主要职责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（一）</w:t>
      </w:r>
      <w:r>
        <w:rPr>
          <w:rFonts w:hint="eastAsia" w:ascii="仿宋" w:hAnsi="仿宋" w:eastAsia="仿宋"/>
          <w:sz w:val="32"/>
          <w:szCs w:val="32"/>
          <w:highlight w:val="none"/>
        </w:rPr>
        <w:t>部门基本情况：相山区曲阳办属行政单位，行政编制13人、事业编制1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人，区聘5人，其他编外人员2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人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bCs/>
          <w:sz w:val="32"/>
          <w:szCs w:val="32"/>
          <w:highlight w:val="none"/>
        </w:rPr>
        <w:t>（二）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部门主要职能：相山区曲阳街道办事处地处城乡结合部，东起濉溪路，西临202省道，南到老濉河，北至徐里，辖区面积18.2平方公里，是相山区主城区的西大门。下辖濉河、任井、刘庄、渠沟、惠民、滨河、前黄、下街和黄里9个社区，其中任井、渠沟、惠民、前黄、下街、黄里6个社区为“村转居”社区。全办总户数约20122户，总人口约6.2万人。辖区企事业单位有中北巴士公司、矿务局干校、矿务局土建三工区、市五中、三堤口派出所等。曲阳街道办事处是淮北市相山区政府的派出机构，受相山区政府的领导，依据法律、法规和规章的规定，行使行政管理职责，负责本辖区各项行政管理工作。主要职责是： 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1、</w:t>
      </w:r>
      <w:r>
        <w:rPr>
          <w:rFonts w:hint="eastAsia" w:ascii="仿宋" w:hAnsi="仿宋" w:eastAsia="仿宋"/>
          <w:sz w:val="32"/>
          <w:szCs w:val="32"/>
          <w:highlight w:val="none"/>
        </w:rPr>
        <w:t>贯彻执行党和国家的路线、方针、政策和上级人民政府关于街道工作方面的决定，制定具体的管理办法并组织实施；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2、负责辖区内市容市貌和环境卫生的日常管理工作，发动辖区单位和群众保护环境，开展爱国卫生运动；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3、</w:t>
      </w:r>
      <w:r>
        <w:rPr>
          <w:rFonts w:hint="eastAsia" w:ascii="仿宋" w:hAnsi="仿宋" w:eastAsia="仿宋"/>
          <w:sz w:val="32"/>
          <w:szCs w:val="32"/>
          <w:highlight w:val="none"/>
        </w:rPr>
        <w:t>动员和领导居民及各单位、各部门开展社区建设工作；制定并实施社区建设规划和年度计划；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4、指导社区居民委员会的工作；协调解决行政事务、社会管理和公共服务方面的问题； 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5、负责社区集体“三资”的监督管理工作；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6、负责辖区内普法教育工作，维护老人、妇女儿童的合法权益；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7、负责辖区内安全生产和消防工作的指导、监督；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8、会同有关部门做好本辖区综治、信访、维稳等工作；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9、会同有关部门做好本辖区人口和计划生育工作；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10、会同有关部门做好辖区内的企业服务、在地统计工作；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11、会同有关部门做好辖区人员就业、社保、退管等社会保障工作；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12、协助武装部门做好国防动员、民兵训练和公民服兵役工作； 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13、配合有关部门做好防空、森林防火、防汛、防风、防旱、防震、征地和城市房屋拆迁、抢险救灾、重大动物疫情防控等工作； </w:t>
      </w:r>
    </w:p>
    <w:p>
      <w:pPr>
        <w:pStyle w:val="2"/>
        <w:shd w:val="clear" w:color="auto" w:fill="FFFFFF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14、承办区政府交办的其他事项等。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  <w:t>部门预算构成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outlineLvl w:val="0"/>
        <w:rPr>
          <w:rFonts w:ascii="楷体_GB2312" w:hAnsi="仿宋" w:eastAsia="楷体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从预算单位构成看，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淮北市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相山区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曲阳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街道办事处202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</w:rPr>
        <w:t>部门预算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仅包括单位本级预算</w:t>
      </w:r>
      <w:r>
        <w:rPr>
          <w:rFonts w:hint="eastAsia" w:ascii="仿宋_GB2312" w:hAnsi="仿宋" w:eastAsia="仿宋_GB2312"/>
          <w:sz w:val="32"/>
          <w:szCs w:val="32"/>
        </w:rPr>
        <w:t>，无其他下属单位预算。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outlineLvl w:val="0"/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  <w:t>三、202</w:t>
      </w:r>
      <w:r>
        <w:rPr>
          <w:rFonts w:hint="eastAsia" w:ascii="TimesNewRoman" w:hAnsi="TimesNewRoman" w:eastAsia="黑体" w:cs="TimesNew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  <w:t>年度主要工作任务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（一）年终决算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固定资产信息填报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shd w:val="clear" w:color="auto" w:fill="FFFFFF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全员信息填报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（四）预算编制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（五）养老保险分流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（六）内部控制制度软件及制度编写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（七）劳动工资填报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（八）年报审计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（九）年度各项专项经费审计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（十）主任书记离任审计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（十一）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政府会计制度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（十二）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隐形债务检测填报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（十三）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单位领导交代的其他与财务有关工作</w:t>
      </w:r>
    </w:p>
    <w:p>
      <w:pPr>
        <w:pStyle w:val="5"/>
        <w:ind w:firstLine="480" w:firstLineChars="150"/>
        <w:jc w:val="lef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（十四）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负责对与财务工作有关的社保局、住房公积金、财政局、人社局、银行等联络、沟通工作</w:t>
      </w:r>
    </w:p>
    <w:p>
      <w:pPr>
        <w:ind w:firstLine="480" w:firstLineChars="150"/>
        <w:jc w:val="lef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（十五）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每月核对各项资金, 核算账目、对账</w:t>
      </w:r>
    </w:p>
    <w:p>
      <w:pPr>
        <w:pStyle w:val="2"/>
        <w:adjustRightInd w:val="0"/>
        <w:snapToGrid w:val="0"/>
        <w:spacing w:before="0" w:beforeAutospacing="0" w:after="0" w:afterAutospacing="0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（十六）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档案管理：定期装订凭证、装订帐簿、以及整理、保管其他相关会计档案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（十七）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保管会计凭证、会计账簿、财务会计报表和其他会计资料，会计档案的整理和移交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（十八）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shd w:val="clear" w:color="auto" w:fill="FFFFFF"/>
        </w:rPr>
        <w:t>账务处理：即整理原始单据、填写记账凭证、对账、结账、编制财务报表等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（十九）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负责变更银行法人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（二十）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负责日常工作人员的花费报销及拆迁资金，月中旬编制在职人员工资表、公积金及养老保险资金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（二十一）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清理盘活资金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（二十二）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做绩效、年终奖金表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（二十三）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公开上报预算、决算、三公经费说明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（二十四）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配合各部门查询调阅各项支出等工作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outlineLvl w:val="0"/>
        <w:rPr>
          <w:rFonts w:ascii="仿宋_GB2312" w:hAnsi="黑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（二十五）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三资收付款核对、党费账户收付款核对、工会账户收付款核对等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黑体" w:cs="TimesNewRoman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  <w:t>第二部分 202</w:t>
      </w:r>
      <w:r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  <w:t>年部门预算表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见“附件1-2 2023年部门预算表”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</w:pPr>
      <w:r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  <w:t>第三部分 202</w:t>
      </w:r>
      <w:r>
        <w:rPr>
          <w:rFonts w:hint="eastAsia" w:ascii="TimesNewRoman" w:hAnsi="TimesNewRoman" w:eastAsia="黑体" w:cs="TimesNewRoman"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NewRoman" w:hAnsi="TimesNewRoman" w:eastAsia="黑体" w:cs="TimesNewRoman"/>
          <w:bCs/>
          <w:sz w:val="36"/>
          <w:szCs w:val="36"/>
          <w:highlight w:val="none"/>
        </w:rPr>
        <w:t>年部门预算情况说明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黑体" w:cs="TimesNewRoman"/>
          <w:bCs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一、关于202</w:t>
      </w:r>
      <w:r>
        <w:rPr>
          <w:rFonts w:hint="eastAsia" w:ascii="TimesNewRoman" w:hAnsi="TimesNewRoman" w:eastAsia="黑体" w:cs="TimesNew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年收支总表的说明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按照综合预算的原则，淮北市相山区曲阳街道办事处所有收入和支出均纳入部门预算管理。淮北市相山区曲阳街道办事处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年收支总预算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万元，收入包括一般公共预算拨款收入，支出包括：社会保障和就业支出、卫生健康支出、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eastAsia="zh-CN"/>
        </w:rPr>
        <w:t>城乡社区支出、农林水支出、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住房保障支出。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二、关于202</w:t>
      </w:r>
      <w:r>
        <w:rPr>
          <w:rFonts w:hint="eastAsia" w:ascii="TimesNewRoman" w:hAnsi="TimesNewRoman" w:eastAsia="黑体" w:cs="TimesNew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年收入总表的说明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年收入预算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cs="TimesNewRoman"/>
          <w:szCs w:val="32"/>
          <w:highlight w:val="none"/>
        </w:rPr>
        <w:t>万元，其中，本年收入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cs="TimesNewRoman"/>
          <w:szCs w:val="32"/>
          <w:highlight w:val="none"/>
        </w:rPr>
        <w:t>万元，上年结转</w:t>
      </w:r>
      <w:r>
        <w:rPr>
          <w:rFonts w:hint="eastAsia" w:ascii="TimesNewRoman" w:hAnsi="TimesNewRoman" w:cs="TimesNewRoman"/>
          <w:szCs w:val="32"/>
          <w:highlight w:val="none"/>
          <w:lang w:eastAsia="zh-CN"/>
        </w:rPr>
        <w:t>收入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/>
          <w:sz w:val="32"/>
          <w:szCs w:val="32"/>
          <w:highlight w:val="none"/>
          <w:lang w:eastAsia="zh-CN"/>
        </w:rPr>
      </w:pPr>
      <w:r>
        <w:rPr>
          <w:rFonts w:hint="default" w:ascii="TimesNewRoman" w:hAnsi="TimesNewRoman" w:cs="TimesNewRoman"/>
          <w:szCs w:val="32"/>
          <w:highlight w:val="none"/>
        </w:rPr>
        <w:t>本年收入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cs="TimesNewRoman"/>
          <w:szCs w:val="32"/>
          <w:highlight w:val="none"/>
        </w:rPr>
        <w:t>万元，主要包括：一般公共预算拨款收入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cs="TimesNewRoman"/>
          <w:szCs w:val="32"/>
          <w:highlight w:val="none"/>
        </w:rPr>
        <w:t>万元，占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100</w:t>
      </w:r>
      <w:r>
        <w:rPr>
          <w:rFonts w:hint="default" w:ascii="TimesNewRoman" w:hAnsi="TimesNewRoman" w:cs="TimesNewRoman"/>
          <w:szCs w:val="32"/>
          <w:highlight w:val="none"/>
        </w:rPr>
        <w:t>%，比202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 w:val="32"/>
          <w:szCs w:val="32"/>
          <w:highlight w:val="none"/>
          <w:lang w:val="en-US" w:eastAsia="zh-CN"/>
        </w:rPr>
        <w:t>786.53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45</w:t>
      </w:r>
      <w:r>
        <w:rPr>
          <w:rFonts w:hint="default" w:ascii="TimesNewRoman" w:hAnsi="TimesNewRoman" w:cs="TimesNewRoman"/>
          <w:szCs w:val="32"/>
          <w:highlight w:val="none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在职人员人数增加及工资增长</w:t>
      </w:r>
      <w:r>
        <w:rPr>
          <w:rFonts w:hint="eastAsia" w:ascii="仿宋_GB2312" w:hAnsi="仿宋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color w:val="000000"/>
          <w:sz w:val="32"/>
          <w:szCs w:val="32"/>
          <w:highlight w:val="none"/>
        </w:rPr>
        <w:t>收入全部为一般公共预算拨款收入，比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</w:t>
      </w:r>
      <w:r>
        <w:rPr>
          <w:rFonts w:hint="eastAsia" w:ascii="楷体_GB2312" w:hAnsi="仿宋" w:eastAsia="楷体_GB2312"/>
          <w:color w:val="000000"/>
          <w:sz w:val="32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 w:val="32"/>
          <w:szCs w:val="32"/>
          <w:highlight w:val="none"/>
          <w:lang w:val="en-US" w:eastAsia="zh-CN"/>
        </w:rPr>
        <w:t>786.53</w:t>
      </w:r>
      <w:r>
        <w:rPr>
          <w:rFonts w:hint="eastAsia" w:ascii="楷体_GB2312" w:hAnsi="仿宋" w:eastAsia="楷体_GB2312"/>
          <w:color w:val="000000"/>
          <w:sz w:val="32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45</w:t>
      </w:r>
      <w:r>
        <w:rPr>
          <w:rFonts w:hint="default" w:ascii="TimesNewRoman" w:hAnsi="TimesNewRoman" w:cs="TimesNewRoman"/>
          <w:szCs w:val="32"/>
          <w:highlight w:val="none"/>
        </w:rPr>
        <w:t>%</w:t>
      </w:r>
      <w:r>
        <w:rPr>
          <w:rFonts w:hint="eastAsia" w:ascii="楷体_GB2312" w:hAnsi="仿宋" w:eastAsia="楷体_GB2312"/>
          <w:color w:val="000000"/>
          <w:sz w:val="32"/>
          <w:szCs w:val="32"/>
          <w:highlight w:val="none"/>
        </w:rPr>
        <w:t>，增长原因主要是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保障机构日常运转、完成日常工作任务，本单位社区工作者、退役军人及编外人员工资及社保。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kern w:val="0"/>
          <w:szCs w:val="32"/>
          <w:highlight w:val="none"/>
        </w:rPr>
      </w:pPr>
      <w:r>
        <w:rPr>
          <w:rFonts w:hint="default" w:ascii="TimesNewRoman" w:hAnsi="TimesNewRoman" w:eastAsia="黑体" w:cs="TimesNewRoman"/>
          <w:kern w:val="0"/>
          <w:szCs w:val="32"/>
          <w:highlight w:val="none"/>
        </w:rPr>
        <w:t>三、关于202</w:t>
      </w:r>
      <w:r>
        <w:rPr>
          <w:rFonts w:hint="default" w:ascii="TimesNewRoman" w:hAnsi="TimesNewRoman" w:eastAsia="黑体" w:cs="TimesNewRoman"/>
          <w:kern w:val="0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kern w:val="0"/>
          <w:szCs w:val="32"/>
          <w:highlight w:val="none"/>
        </w:rPr>
        <w:t>年支出总表的说明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年支出预算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 w:val="32"/>
          <w:szCs w:val="32"/>
          <w:highlight w:val="none"/>
          <w:lang w:val="en-US" w:eastAsia="zh-CN"/>
        </w:rPr>
        <w:t>786.53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45</w:t>
      </w:r>
      <w:r>
        <w:rPr>
          <w:rFonts w:hint="default" w:ascii="TimesNewRoman" w:hAnsi="TimesNewRoman" w:cs="TimesNewRoman"/>
          <w:szCs w:val="32"/>
          <w:highlight w:val="none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在职人员人数增加及工资增长</w:t>
      </w:r>
      <w:r>
        <w:rPr>
          <w:rFonts w:hint="default" w:ascii="TimesNewRoman" w:hAnsi="TimesNewRoman" w:cs="TimesNewRoman"/>
          <w:szCs w:val="32"/>
          <w:highlight w:val="none"/>
        </w:rPr>
        <w:t>。其中，基本支出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2035.07</w:t>
      </w:r>
      <w:r>
        <w:rPr>
          <w:rFonts w:hint="default" w:ascii="TimesNewRoman" w:hAnsi="TimesNewRoman" w:cs="TimesNewRoman"/>
          <w:szCs w:val="32"/>
          <w:highlight w:val="none"/>
        </w:rPr>
        <w:t>万元，占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80</w:t>
      </w:r>
      <w:r>
        <w:rPr>
          <w:rFonts w:hint="default" w:ascii="TimesNewRoman" w:hAnsi="TimesNewRoman" w:cs="TimesNewRoman"/>
          <w:szCs w:val="32"/>
          <w:highlight w:val="none"/>
        </w:rPr>
        <w:t>%，主要用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保障机构日常运转、完成日常工作任务，本单位社区工作者、退役军人及编外人员工资及社保</w:t>
      </w:r>
      <w:r>
        <w:rPr>
          <w:rFonts w:hint="default" w:ascii="TimesNewRoman" w:hAnsi="TimesNewRoman" w:cs="TimesNewRoman"/>
          <w:szCs w:val="32"/>
          <w:highlight w:val="none"/>
        </w:rPr>
        <w:t>；项目支出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497.72</w:t>
      </w:r>
      <w:r>
        <w:rPr>
          <w:rFonts w:hint="default" w:ascii="TimesNewRoman" w:hAnsi="TimesNewRoman" w:cs="TimesNewRoman"/>
          <w:szCs w:val="32"/>
          <w:highlight w:val="none"/>
        </w:rPr>
        <w:t>万元，占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20</w:t>
      </w:r>
      <w:r>
        <w:rPr>
          <w:rFonts w:hint="default" w:ascii="TimesNewRoman" w:hAnsi="TimesNewRoman" w:cs="TimesNewRoman"/>
          <w:szCs w:val="32"/>
          <w:highlight w:val="none"/>
        </w:rPr>
        <w:t>%，主要用于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本单位各个部门工作项目支出</w:t>
      </w:r>
      <w:r>
        <w:rPr>
          <w:rFonts w:hint="default" w:ascii="TimesNewRoman" w:hAnsi="TimesNewRoman" w:cs="TimesNewRoman"/>
          <w:szCs w:val="32"/>
          <w:highlight w:val="none"/>
        </w:rPr>
        <w:t>；事业单位经营支出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万元，占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%，主要用于</w:t>
      </w:r>
      <w:r>
        <w:rPr>
          <w:rFonts w:hint="eastAsia" w:ascii="TimesNewRoman" w:hAnsi="TimesNewRoman" w:cs="TimesNewRoman"/>
          <w:szCs w:val="32"/>
          <w:highlight w:val="none"/>
          <w:lang w:eastAsia="zh-CN"/>
        </w:rPr>
        <w:t>无</w:t>
      </w:r>
      <w:r>
        <w:rPr>
          <w:rFonts w:hint="default" w:ascii="TimesNewRoman" w:hAnsi="TimesNewRoman" w:cs="TimesNewRoman"/>
          <w:szCs w:val="32"/>
          <w:highlight w:val="none"/>
        </w:rPr>
        <w:t>；上缴上级支出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万元，占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%；对附属单位补助支出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万元，占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%，主要用于</w:t>
      </w:r>
      <w:r>
        <w:rPr>
          <w:rFonts w:hint="eastAsia" w:ascii="TimesNewRoman" w:hAnsi="TimesNewRoman" w:cs="TimesNewRoman"/>
          <w:szCs w:val="32"/>
          <w:highlight w:val="none"/>
          <w:lang w:eastAsia="zh-CN"/>
        </w:rPr>
        <w:t>无</w:t>
      </w:r>
      <w:r>
        <w:rPr>
          <w:rFonts w:hint="default" w:ascii="TimesNewRoman" w:hAnsi="TimesNewRoman" w:cs="TimesNewRoman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kern w:val="0"/>
          <w:szCs w:val="32"/>
          <w:highlight w:val="none"/>
        </w:rPr>
      </w:pPr>
      <w:r>
        <w:rPr>
          <w:rFonts w:hint="default" w:ascii="TimesNewRoman" w:hAnsi="TimesNewRoman" w:eastAsia="黑体" w:cs="TimesNewRoman"/>
          <w:kern w:val="0"/>
          <w:szCs w:val="32"/>
          <w:highlight w:val="none"/>
        </w:rPr>
        <w:t>四、关于202</w:t>
      </w:r>
      <w:r>
        <w:rPr>
          <w:rFonts w:hint="default" w:ascii="TimesNewRoman" w:hAnsi="TimesNewRoman" w:eastAsia="黑体" w:cs="TimesNewRoman"/>
          <w:kern w:val="0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kern w:val="0"/>
          <w:szCs w:val="32"/>
          <w:highlight w:val="none"/>
        </w:rPr>
        <w:t>年财政拨款收支总表的说明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年财政拨款收支预算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万元。收入按资金来源分为：一般公共预算拨款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万元、政府性基金预算拨款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万元、国有资本经营预算拨款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万元；按资金年度分为：本年财政拨款收入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万元，上年结转收入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万元。支出按功能分类分为：社会保障和就业支出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589.36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23.27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%；卫生健康支出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47.01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1.86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%；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eastAsia="zh-CN"/>
        </w:rPr>
        <w:t>城乡社区支出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1773.55万元，占70.02%；农林水支出2.59万元，占0.10%；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住房保障支出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120.28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4.75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五、关于202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年一般公共预算支出表的说明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rPr>
          <w:rFonts w:hint="default" w:ascii="TimesNewRoman" w:hAnsi="TimesNewRoman" w:eastAsia="楷体_GB2312" w:cs="TimesNewRoman"/>
          <w:b/>
          <w:sz w:val="32"/>
          <w:szCs w:val="32"/>
          <w:highlight w:val="none"/>
        </w:rPr>
      </w:pPr>
      <w:r>
        <w:rPr>
          <w:rFonts w:hint="default" w:ascii="TimesNewRoman" w:hAnsi="TimesNewRoman" w:eastAsia="楷体_GB2312" w:cs="TimesNewRoman"/>
          <w:b/>
          <w:sz w:val="32"/>
          <w:szCs w:val="32"/>
          <w:highlight w:val="none"/>
        </w:rPr>
        <w:t>（一）一般公共预算支出规模变化情况。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年一般公共预算支出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万元，比202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 w:val="32"/>
          <w:szCs w:val="32"/>
          <w:highlight w:val="none"/>
          <w:lang w:val="en-US" w:eastAsia="zh-CN"/>
        </w:rPr>
        <w:t>786.53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万元，增长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45.04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%，主要原因：一是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职人员人数增加及工资增长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rPr>
          <w:rFonts w:hint="default" w:ascii="TimesNewRoman" w:hAnsi="TimesNewRoman" w:eastAsia="楷体_GB2312" w:cs="TimesNewRoman"/>
          <w:b/>
          <w:sz w:val="32"/>
          <w:szCs w:val="32"/>
          <w:highlight w:val="none"/>
        </w:rPr>
      </w:pPr>
      <w:r>
        <w:rPr>
          <w:rFonts w:hint="default" w:ascii="TimesNewRoman" w:hAnsi="TimesNewRoman" w:eastAsia="楷体_GB2312" w:cs="TimesNewRoman"/>
          <w:b/>
          <w:sz w:val="32"/>
          <w:szCs w:val="32"/>
          <w:highlight w:val="none"/>
        </w:rPr>
        <w:t>（二）一般公共预算支出结构情况。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社会保障和就业支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589.36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23.27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%；卫生健康支出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47.01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1.86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%；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农林水支出2.59万元，占0.10%；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住房保障支出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120.28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4.75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eastAsia="楷体_GB2312" w:cs="TimesNewRoman"/>
          <w:b/>
          <w:szCs w:val="32"/>
          <w:highlight w:val="none"/>
        </w:rPr>
      </w:pPr>
      <w:r>
        <w:rPr>
          <w:rFonts w:hint="default" w:ascii="TimesNewRoman" w:hAnsi="TimesNewRoman" w:eastAsia="楷体_GB2312" w:cs="TimesNewRoman"/>
          <w:b/>
          <w:szCs w:val="32"/>
          <w:highlight w:val="none"/>
        </w:rPr>
        <w:t>（三）一般公共预算支出具体使用情况。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1.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卫生健康</w:t>
      </w:r>
      <w:r>
        <w:rPr>
          <w:rFonts w:hint="default" w:ascii="TimesNewRoman" w:hAnsi="TimesNewRoman" w:cs="TimesNewRoman"/>
          <w:b/>
          <w:szCs w:val="32"/>
          <w:highlight w:val="none"/>
        </w:rPr>
        <w:t>（类）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计划生育事物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其他计划生育事物支出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20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20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100</w:t>
      </w:r>
      <w:r>
        <w:rPr>
          <w:rFonts w:hint="default" w:ascii="TimesNewRoman" w:hAnsi="TimesNewRoman" w:cs="TimesNewRoman"/>
          <w:szCs w:val="32"/>
          <w:highlight w:val="none"/>
        </w:rPr>
        <w:t>%，增长原因主要是</w:t>
      </w:r>
      <w:r>
        <w:rPr>
          <w:rFonts w:hint="eastAsia" w:ascii="TimesNewRoman" w:hAnsi="TimesNewRoman" w:cs="TimesNewRoman"/>
          <w:szCs w:val="32"/>
          <w:highlight w:val="none"/>
          <w:lang w:eastAsia="zh-CN"/>
        </w:rPr>
        <w:t>上年未做该项目资金</w:t>
      </w:r>
      <w:r>
        <w:rPr>
          <w:rFonts w:hint="default" w:ascii="TimesNewRoman" w:hAnsi="TimesNewRoman" w:cs="TimesNewRoman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2.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城乡社区支出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（类）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城乡社区规划与管理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城乡社区规划与管理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24.67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24.67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100</w:t>
      </w:r>
      <w:r>
        <w:rPr>
          <w:rFonts w:hint="default" w:ascii="TimesNewRoman" w:hAnsi="TimesNewRoman" w:cs="TimesNewRoman"/>
          <w:szCs w:val="32"/>
          <w:highlight w:val="none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于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年支出功能分类不同。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3.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城乡社区支出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（类）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城乡社区环境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城乡社区环境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1727.2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1727.2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100</w:t>
      </w:r>
      <w:r>
        <w:rPr>
          <w:rFonts w:hint="default" w:ascii="TimesNewRoman" w:hAnsi="TimesNewRoman" w:cs="TimesNewRoman"/>
          <w:szCs w:val="32"/>
          <w:highlight w:val="none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于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年支出功能分类不同。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4</w:t>
      </w:r>
      <w:r>
        <w:rPr>
          <w:rFonts w:hint="default" w:ascii="TimesNewRoman" w:hAnsi="TimesNewRoman" w:cs="TimesNewRoman"/>
          <w:b/>
          <w:szCs w:val="32"/>
          <w:highlight w:val="none"/>
        </w:rPr>
        <w:t>.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农林水支出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（类）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巩固脱贫攻坚成果衔接乡村振兴</w:t>
      </w:r>
      <w:r>
        <w:rPr>
          <w:rFonts w:hint="default" w:ascii="TimesNewRoman" w:hAnsi="TimesNewRoman" w:cs="TimesNewRoman"/>
          <w:b/>
          <w:szCs w:val="32"/>
          <w:highlight w:val="none"/>
        </w:rPr>
        <w:t>（款）</w:t>
      </w:r>
      <w:r>
        <w:rPr>
          <w:rFonts w:hint="eastAsia" w:ascii="TimesNewRoman" w:hAnsi="TimesNewRoman" w:cs="TimesNewRoman"/>
          <w:b/>
          <w:szCs w:val="32"/>
          <w:highlight w:val="none"/>
          <w:lang w:eastAsia="zh-CN"/>
        </w:rPr>
        <w:t>其他巩固脱贫攻坚成果衔接乡村振兴支出</w:t>
      </w:r>
      <w:r>
        <w:rPr>
          <w:rFonts w:hint="default" w:ascii="TimesNewRoman" w:hAnsi="TimesNewRoman" w:cs="TimesNewRoman"/>
          <w:b/>
          <w:szCs w:val="32"/>
          <w:highlight w:val="none"/>
        </w:rPr>
        <w:t>（项）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2.59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2.59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100</w:t>
      </w:r>
      <w:r>
        <w:rPr>
          <w:rFonts w:hint="default" w:ascii="TimesNewRoman" w:hAnsi="TimesNewRoman" w:cs="TimesNewRoman"/>
          <w:szCs w:val="32"/>
          <w:highlight w:val="none"/>
        </w:rPr>
        <w:t>%，增长（下降）原因主要是</w:t>
      </w:r>
      <w:r>
        <w:rPr>
          <w:rFonts w:hint="eastAsia" w:ascii="TimesNewRoman" w:hAnsi="TimesNewRoman" w:cs="TimesNewRoman"/>
          <w:szCs w:val="32"/>
          <w:highlight w:val="none"/>
          <w:lang w:eastAsia="zh-CN"/>
        </w:rPr>
        <w:t>用于给本单位乡村振兴下派干部的补助</w:t>
      </w:r>
      <w:r>
        <w:rPr>
          <w:rFonts w:hint="default" w:ascii="TimesNewRoman" w:hAnsi="TimesNewRoman" w:cs="TimesNewRoman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六、关于202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年一般公共预算基本支出表的说明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年一般公共预算基本支出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2035.07</w:t>
      </w:r>
      <w:r>
        <w:rPr>
          <w:rFonts w:hint="default" w:ascii="TimesNewRoman" w:hAnsi="TimesNewRoman" w:cs="TimesNewRoman"/>
          <w:szCs w:val="32"/>
          <w:highlight w:val="none"/>
        </w:rPr>
        <w:t>万元，其中，人员经费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1992.21</w:t>
      </w:r>
      <w:r>
        <w:rPr>
          <w:rFonts w:hint="default" w:ascii="TimesNewRoman" w:hAnsi="TimesNewRoman" w:cs="TimesNewRoman"/>
          <w:szCs w:val="32"/>
          <w:highlight w:val="none"/>
        </w:rPr>
        <w:t>万元，公用经费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42.86</w:t>
      </w:r>
      <w:r>
        <w:rPr>
          <w:rFonts w:hint="default" w:ascii="TimesNewRoman" w:hAnsi="TimesNewRoman" w:cs="TimesNewRoman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default" w:ascii="TimesNewRoman" w:hAnsi="TimesNewRoman" w:cs="TimesNewRoman"/>
          <w:szCs w:val="32"/>
          <w:highlight w:val="none"/>
        </w:rPr>
        <w:t>（一）人员经费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1992.21</w:t>
      </w:r>
      <w:r>
        <w:rPr>
          <w:rFonts w:hint="default" w:ascii="TimesNewRoman" w:hAnsi="TimesNewRoman" w:cs="TimesNewRoman"/>
          <w:szCs w:val="32"/>
          <w:highlight w:val="none"/>
        </w:rPr>
        <w:t>万元，主要包括:</w:t>
      </w:r>
      <w:r>
        <w:rPr>
          <w:rFonts w:hint="default" w:ascii="TimesNewRoman" w:hAnsi="TimesNewRoman" w:cs="TimesNewRoman"/>
          <w:szCs w:val="32"/>
          <w:highlight w:val="none"/>
          <w:u w:val="single"/>
        </w:rPr>
        <w:t>基本工资、津贴补贴、奖金、绩效工资、机关事业单位基本养老保险费、职业年金缴费、职工基本医疗保险缴费、公务员医疗补助缴费、其他社会保障缴费、住房公积金、其他工资福利支出、培训费、工会经费、福利费、对其他个人和家庭的补助支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default" w:ascii="TimesNewRoman" w:hAnsi="TimesNewRoman" w:cs="TimesNewRoman"/>
          <w:szCs w:val="32"/>
          <w:highlight w:val="none"/>
        </w:rPr>
        <w:t>（二）公用经费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42.86</w:t>
      </w:r>
      <w:r>
        <w:rPr>
          <w:rFonts w:hint="default" w:ascii="TimesNewRoman" w:hAnsi="TimesNewRoman" w:cs="TimesNewRoman"/>
          <w:szCs w:val="32"/>
          <w:highlight w:val="none"/>
        </w:rPr>
        <w:t>万元，主要包括：</w:t>
      </w:r>
      <w:r>
        <w:rPr>
          <w:rFonts w:hint="default" w:ascii="TimesNewRoman" w:hAnsi="TimesNewRoman" w:cs="TimesNewRoman"/>
          <w:szCs w:val="32"/>
          <w:highlight w:val="none"/>
          <w:u w:val="single"/>
        </w:rPr>
        <w:t>办公费、维修（护）费、劳务费、其他交通费用、其他商品服务支出。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七、关于202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年政府性基金预算支出表的说明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outlineLvl w:val="0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年没有政府性基金预算拨款收入，也没有使用政府性基金预算拨款安排的支出。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八、关于202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年国有资本经营预算支出表的说明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年没有国有资本经营预算拨款收入，也没有使用国有资本经营预算拨款安排的支出。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楷体_GB2312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九、关于202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年项目支出表的说明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年预算共安排项目支出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497.72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万元，比202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年预算增加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342.72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万元，增长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221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%，增长原因主要是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eastAsia="zh-CN"/>
        </w:rPr>
        <w:t>上年除工作经费未做其他项目资金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。主要包括：本年财政拨款安排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342.72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万元（其中，一般公共预算拨款安排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342.72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万元，政府性基金预算拨款安排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万元，国有资本经营预算拨款安排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万元），财政拨款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eastAsia="zh-CN"/>
        </w:rPr>
        <w:t>上年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 xml:space="preserve">结转安排 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万元（其中，一般公共预算拨款安排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万元，政府性基金预算拨款安排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万元，国有资本经营预算拨款安排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万元）、财政专户管理资金安排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万元和单位资金安排</w:t>
      </w:r>
      <w:r>
        <w:rPr>
          <w:rFonts w:hint="eastAsia" w:ascii="TimesNewRoman" w:hAnsi="TimesNewRoman" w:eastAsia="仿宋_GB2312" w:cs="TimesNew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万元。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十、关于202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年政府采购支出表的说明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年没有使用一般公共预算拨款、政府性基金预算拨款、国有资本经营预算拨款、财政专户管理资金和单位资金安排的政府采购支出。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eastAsia="黑体" w:cs="TimesNewRoman"/>
          <w:sz w:val="32"/>
          <w:szCs w:val="32"/>
          <w:highlight w:val="none"/>
        </w:rPr>
      </w:pP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十一、关于202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黑体" w:cs="TimesNewRoman"/>
          <w:sz w:val="32"/>
          <w:szCs w:val="32"/>
          <w:highlight w:val="none"/>
        </w:rPr>
        <w:t>年政府购买服务支出表的说明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hint="default" w:ascii="TimesNewRoman" w:hAnsi="TimesNewRoman" w:eastAsia="仿宋_GB2312" w:cs="TimesNew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202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  <w:lang w:val="en"/>
        </w:rPr>
        <w:t>3</w:t>
      </w:r>
      <w:r>
        <w:rPr>
          <w:rFonts w:hint="default" w:ascii="TimesNewRoman" w:hAnsi="TimesNewRoman" w:eastAsia="仿宋_GB2312" w:cs="TimesNewRoman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没有安排政府购买服务支出。</w:t>
      </w:r>
    </w:p>
    <w:p>
      <w:pPr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黑体" w:hAnsi="黑体" w:eastAsia="黑体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>
      <w:pPr>
        <w:widowControl/>
        <w:shd w:val="clear" w:color="auto" w:fill="FFFFFF"/>
        <w:spacing w:line="600" w:lineRule="atLeast"/>
        <w:ind w:firstLine="753"/>
        <w:rPr>
          <w:rFonts w:hint="eastAsia" w:ascii="黑体" w:hAnsi="黑体" w:eastAsia="黑体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spacing w:line="600" w:lineRule="atLeast"/>
        <w:ind w:firstLine="753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1.“服务群众和办公费”项目。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1）项目概述：为了确保服务群众和社区办公经费项目更好地运行，完善为人民服务的机制，创造更加办公环境和为老百姓办事的社会环境。通过开展活动、慰问困难家庭、留守儿童和残疾人等，完善社区的工作和提高工作人员的业务水平，做到心中装着人民，工作为了人民。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（2）立项依据：《淮北市社区党组织服务群众专项经费使用管理办法》（实行）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实施主体：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淮北市</w:t>
      </w:r>
      <w:r>
        <w:rPr>
          <w:rFonts w:hint="eastAsia" w:ascii="仿宋_GB2312" w:hAnsi="仿宋_GB2312" w:eastAsia="仿宋_GB2312" w:cs="仿宋_GB2312"/>
          <w:sz w:val="32"/>
          <w:szCs w:val="32"/>
        </w:rPr>
        <w:t>相山区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曲阳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）起止时间：2023年-2023年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）项目内容：九个社区2023年度日常办公经费和服务群众开展活动、慰问困难家庭、留守儿童和残疾人等，更好地为人民服务、为民办事。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）年度预算安排：180万元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）绩效目标：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见下表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tbl>
      <w:tblPr>
        <w:tblStyle w:val="3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社区服务群众专项经费及办公费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淮北市相山区曲阳街道办事处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淮北市相山区曲阳街道办事处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329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147" w:type="dxa"/>
            <w:gridSpan w:val="6"/>
            <w:vAlign w:val="center"/>
          </w:tcPr>
          <w:p>
            <w:pPr>
              <w:jc w:val="left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目标1：保障社区正常办公运转、更好地服务群众。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社区数量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9个社区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树立新时期党员领导干部服务基层、服务群众的光辉形象。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按时支付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支出范围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控制在预算内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经济更好更快发展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社区组织党员为群众解决实际困难，甘当老黄牛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打造清洁、环保社区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增进了党员与群众之间的感情，赢得了群众的信任、支持和拥护。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%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753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.“工作经费”项目。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（1）项目概述：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为了确保街道各部门更好地运行，工作顺利开展，完善为人民服务的机制，创造更好的办公环境和为老百姓办事的社会环境。完善街道的工作和提高工作人员的业务水平，做到心中装着人民，工作为了人民。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（2）立项依据：经常性业务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（3）实施主体：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街道办事处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）起止时间：2023年-2023年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）项目内容：为了确保街道各部门更好地运行，完善办公设施，工作顺利开展，更好地为人民服务、为民办事。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）年度预算安排：350万元。</w:t>
      </w:r>
    </w:p>
    <w:p>
      <w:pPr>
        <w:widowControl/>
        <w:shd w:val="clear" w:color="auto" w:fill="FFFFFF"/>
        <w:spacing w:line="600" w:lineRule="atLeast"/>
        <w:ind w:firstLine="600"/>
        <w:rPr>
          <w:rFonts w:hint="eastAsia" w:ascii="宋体" w:hAnsi="宋体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宋体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）绩效目标：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见下表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tbl>
      <w:tblPr>
        <w:tblStyle w:val="3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4"/>
        <w:gridCol w:w="126"/>
        <w:gridCol w:w="1086"/>
        <w:gridCol w:w="2213"/>
        <w:gridCol w:w="1080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highlight w:val="none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主管部门   及代码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淮北市相山区曲阳街道办事处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实施单位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淮北市相山区曲阳街道办事处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项目来源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项目期</w:t>
            </w:r>
          </w:p>
        </w:tc>
        <w:tc>
          <w:tcPr>
            <w:tcW w:w="29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（万元）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其中：财政拨款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上年结转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         其他资金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</w:t>
            </w:r>
          </w:p>
        </w:tc>
        <w:tc>
          <w:tcPr>
            <w:tcW w:w="8147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正常办公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运转、更好地服务群众。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目标2：本年内逐步完成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标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二级指标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三级指标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产出指标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数量指标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数量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质量指标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支出质量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/>
              </w:rPr>
              <w:t>按照相关规定支出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时效指标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支出进度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按时支付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成本指标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支出范围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控制在预算内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效益指标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经济效益指标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指标1：对经济发展的影响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经济更好更快发展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社会效益指标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指标1：对社会的影响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有利于社会稳定发展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bidi="ar"/>
              </w:rPr>
              <w:t>生态效益指标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指标1：对生态环境的影响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打造清洁、环保街道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指标1：可持续影响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更好地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  <w:t>为人民服务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满意度指标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指标1：居民满意度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≥9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eastAsia="zh-CN" w:bidi="ar"/>
              </w:rPr>
              <w:t>%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numPr>
          <w:numId w:val="0"/>
        </w:numPr>
        <w:adjustRightInd w:val="0"/>
        <w:snapToGrid w:val="0"/>
        <w:spacing w:line="580" w:lineRule="exact"/>
        <w:rPr>
          <w:rFonts w:hint="default" w:ascii="黑体" w:hAnsi="黑体" w:eastAsia="黑体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20" w:lineRule="exact"/>
        <w:ind w:firstLine="643" w:firstLineChars="200"/>
        <w:rPr>
          <w:rFonts w:hint="default" w:ascii="TimesNewRoman" w:hAnsi="TimesNewRoman" w:cs="TimesNewRoman"/>
          <w:b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（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二</w:t>
      </w:r>
      <w:r>
        <w:rPr>
          <w:rFonts w:hint="default" w:ascii="TimesNewRoman" w:hAnsi="TimesNewRoman" w:cs="TimesNewRoman"/>
          <w:b/>
          <w:szCs w:val="32"/>
          <w:highlight w:val="none"/>
        </w:rPr>
        <w:t>）机关运行经费。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年机关运行经费财政拨款预算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2532.79</w:t>
      </w:r>
      <w:r>
        <w:rPr>
          <w:rFonts w:hint="default" w:ascii="TimesNewRoman" w:hAnsi="TimesNewRoman" w:cs="TimesNewRoman"/>
          <w:szCs w:val="32"/>
          <w:highlight w:val="none"/>
        </w:rPr>
        <w:t>万元，比202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年预算增加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786.53</w:t>
      </w:r>
      <w:r>
        <w:rPr>
          <w:rFonts w:hint="default" w:ascii="TimesNewRoman" w:hAnsi="TimesNewRoman" w:cs="TimesNewRoman"/>
          <w:szCs w:val="32"/>
          <w:highlight w:val="none"/>
        </w:rPr>
        <w:t>万元，增长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31</w:t>
      </w:r>
      <w:r>
        <w:rPr>
          <w:rFonts w:hint="default" w:ascii="TimesNewRoman" w:hAnsi="TimesNewRoman" w:cs="TimesNewRoman"/>
          <w:szCs w:val="32"/>
          <w:highlight w:val="none"/>
        </w:rPr>
        <w:t>%，增长主要原因是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保障机构正常运转、完成日常工作任务而发生的人员支出和公用支出</w:t>
      </w:r>
      <w:r>
        <w:rPr>
          <w:rFonts w:hint="default" w:ascii="TimesNewRoman" w:hAnsi="TimesNewRoman" w:cs="TimesNewRoman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cs="TimesNewRoman"/>
          <w:b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（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三</w:t>
      </w:r>
      <w:r>
        <w:rPr>
          <w:rFonts w:hint="default" w:ascii="TimesNewRoman" w:hAnsi="TimesNewRoman" w:cs="TimesNewRoman"/>
          <w:b/>
          <w:szCs w:val="32"/>
          <w:highlight w:val="none"/>
        </w:rPr>
        <w:t>）政府采购情况。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淮北市相山区曲阳街道办事处</w:t>
      </w: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年政府采购预算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万元。其中：政府采购货物预算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万元，政府采购工程预算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万元，政府采购服务预算</w:t>
      </w:r>
      <w:r>
        <w:rPr>
          <w:rFonts w:hint="eastAsia" w:ascii="TimesNewRoman" w:hAnsi="TimesNewRoman" w:cs="TimesNewRoman"/>
          <w:szCs w:val="32"/>
          <w:highlight w:val="none"/>
          <w:lang w:val="en-US" w:eastAsia="zh-CN"/>
        </w:rPr>
        <w:t>0</w:t>
      </w:r>
      <w:r>
        <w:rPr>
          <w:rFonts w:hint="default" w:ascii="TimesNewRoman" w:hAnsi="TimesNewRoman" w:cs="TimesNewRoman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cs="TimesNewRoman"/>
          <w:b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（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四</w:t>
      </w:r>
      <w:r>
        <w:rPr>
          <w:rFonts w:hint="default" w:ascii="TimesNewRoman" w:hAnsi="TimesNewRoman" w:cs="TimesNewRoman"/>
          <w:b/>
          <w:szCs w:val="32"/>
          <w:highlight w:val="none"/>
        </w:rPr>
        <w:t>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color w:val="000000"/>
          <w:sz w:val="32"/>
          <w:szCs w:val="32"/>
          <w:highlight w:val="none"/>
        </w:rPr>
      </w:pPr>
      <w:r>
        <w:rPr>
          <w:rFonts w:hint="default" w:ascii="TimesNewRoman" w:hAnsi="TimesNewRoman" w:cs="TimesNewRoman"/>
          <w:szCs w:val="32"/>
          <w:highlight w:val="none"/>
        </w:rPr>
        <w:t>截至202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2</w:t>
      </w:r>
      <w:r>
        <w:rPr>
          <w:rFonts w:hint="default" w:ascii="TimesNewRoman" w:hAnsi="TimesNewRoman" w:cs="TimesNewRoman"/>
          <w:szCs w:val="32"/>
          <w:highlight w:val="none"/>
        </w:rPr>
        <w:t>年12月31日，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淮北市相山区曲阳街道办事处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</w:rPr>
        <w:t>共有车辆0辆，其中：副部（省）级及以上领导用车0辆、主要领导干部用车0辆、机要通信用车0辆、应急保障用车0辆、执法执勤用车0辆、特种专业技术用车0辆、离退休干部用车0辆、其他用车0辆。单位价值50万元以上的通用设备0台（套），单位价值100万元以上的专用设备0台（套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NewRoman" w:hAnsi="TimesNewRoman" w:cs="TimesNewRoman"/>
          <w:szCs w:val="32"/>
          <w:highlight w:val="none"/>
        </w:rPr>
      </w:pP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</w:rPr>
        <w:t>部门预算安排购置公务用车0辆，购置费0万元，其中：副部（省）级及以上领导用车0辆、主要领导干部用车0辆、机要通信用车0辆、应急保障用车0辆、执法执勤用车0辆、特种专业技术用车0辆、离退休干部用车0辆、其他用车0辆；安排购置单位价值50万元以上的通用设备0台（套），购置费0万元；安排购置单位价值100万元以上专用设备0台（套），购置费0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default" w:ascii="TimesNewRoman" w:hAnsi="TimesNewRoman" w:cs="TimesNewRoman"/>
          <w:b/>
          <w:szCs w:val="32"/>
          <w:highlight w:val="none"/>
        </w:rPr>
      </w:pPr>
      <w:r>
        <w:rPr>
          <w:rFonts w:hint="default" w:ascii="TimesNewRoman" w:hAnsi="TimesNewRoman" w:cs="TimesNewRoman"/>
          <w:b/>
          <w:szCs w:val="32"/>
          <w:highlight w:val="none"/>
        </w:rPr>
        <w:t>（</w:t>
      </w:r>
      <w:r>
        <w:rPr>
          <w:rFonts w:hint="eastAsia" w:ascii="TimesNewRoman" w:hAnsi="TimesNewRoman" w:cs="TimesNewRoman"/>
          <w:b/>
          <w:szCs w:val="32"/>
          <w:highlight w:val="none"/>
          <w:lang w:val="en-US" w:eastAsia="zh-CN"/>
        </w:rPr>
        <w:t>五</w:t>
      </w:r>
      <w:r>
        <w:rPr>
          <w:rFonts w:hint="default" w:ascii="TimesNewRoman" w:hAnsi="TimesNewRoman" w:cs="TimesNewRoman"/>
          <w:b/>
          <w:szCs w:val="32"/>
          <w:highlight w:val="none"/>
        </w:rPr>
        <w:t>）绩效目标设置情况。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default" w:ascii="TimesNewRoman" w:hAnsi="TimesNewRoman" w:cs="TimesNewRoman"/>
          <w:szCs w:val="32"/>
          <w:highlight w:val="none"/>
        </w:rPr>
        <w:t>202</w:t>
      </w:r>
      <w:r>
        <w:rPr>
          <w:rFonts w:hint="default" w:ascii="TimesNewRoman" w:hAnsi="TimesNewRoman" w:cs="TimesNewRoman"/>
          <w:szCs w:val="32"/>
          <w:highlight w:val="none"/>
          <w:lang w:val="en"/>
        </w:rPr>
        <w:t>3</w:t>
      </w:r>
      <w:r>
        <w:rPr>
          <w:rFonts w:hint="default" w:ascii="TimesNewRoman" w:hAnsi="TimesNewRoman" w:cs="TimesNewRoman"/>
          <w:szCs w:val="32"/>
          <w:highlight w:val="none"/>
        </w:rPr>
        <w:t>年，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淮北市相山区曲阳街道办事处无项目实行了绩效目标管理，涉及一般公共预算当年财政拨款0万元、政府性基金预算当年财政拨款0万元、国有资本经营预算当年财政拨款0万元、财政专户管理资金当年安排0万元和单位资金安排安排0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0"/>
        <w:rPr>
          <w:rFonts w:hint="default" w:ascii="TimesNewRoman" w:hAnsi="TimesNewRoman" w:cs="TimesNewRoman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t>第四部分 名词解释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NewRoman" w:hAnsi="TimesNewRoman" w:eastAsia="黑体" w:cs="TimesNewRoman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仿宋" w:eastAsia="黑体"/>
          <w:sz w:val="32"/>
          <w:szCs w:val="32"/>
          <w:highlight w:val="none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指部门或单位从同级财政部门取得的财政预算资金。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指按照非税收入管理相关规定，纳入财政专户管理的教育收费等。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指以前年度安排、结转到本年仍按原用途继续使用的资金。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highlight w:val="none"/>
        </w:rPr>
        <w:t>指以前年度预算安排、因客观条件发生变化无法按原计划实施，需以后年度按原用途继续使用的资金。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五、基本支出</w:t>
      </w:r>
      <w:r>
        <w:rPr>
          <w:rFonts w:hint="eastAsia" w:ascii="仿宋_GB2312" w:hAnsi="黑体" w:eastAsia="仿宋_GB2312"/>
          <w:b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指为保障机构正常运转、完成日常工作任务而发生的人员支出和公用支出。</w:t>
      </w:r>
    </w:p>
    <w:p>
      <w:pPr>
        <w:pStyle w:val="2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六、项目支出</w:t>
      </w:r>
      <w:r>
        <w:rPr>
          <w:rFonts w:hint="eastAsia" w:ascii="仿宋_GB2312" w:hAnsi="黑体" w:eastAsia="仿宋_GB2312"/>
          <w:b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 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 七、机关运行经费: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raditional Arabic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84B04"/>
    <w:multiLevelType w:val="singleLevel"/>
    <w:tmpl w:val="E8F84B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C222F2"/>
    <w:multiLevelType w:val="singleLevel"/>
    <w:tmpl w:val="FDC222F2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F34332"/>
    <w:multiLevelType w:val="singleLevel"/>
    <w:tmpl w:val="61F34332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zlmOWQ4M2E3NGU5NmJiZDdmNzdjMmZkYzA0YWYifQ=="/>
  </w:docVars>
  <w:rsids>
    <w:rsidRoot w:val="00000000"/>
    <w:rsid w:val="16204DF6"/>
    <w:rsid w:val="26E50222"/>
    <w:rsid w:val="373D426B"/>
    <w:rsid w:val="38002E12"/>
    <w:rsid w:val="41FB74D4"/>
    <w:rsid w:val="573215CF"/>
    <w:rsid w:val="688E447B"/>
    <w:rsid w:val="6BF56184"/>
    <w:rsid w:val="72F36482"/>
    <w:rsid w:val="74BB089C"/>
    <w:rsid w:val="7EA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4969</Words>
  <Characters>5549</Characters>
  <Lines>0</Lines>
  <Paragraphs>0</Paragraphs>
  <TotalTime>2</TotalTime>
  <ScaleCrop>false</ScaleCrop>
  <LinksUpToDate>false</LinksUpToDate>
  <CharactersWithSpaces>5582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2023-04-06T08:49:00Z</dcterms:created>
  <dc:creator>Administrator</dc:creator>
  <cp:lastModifiedBy>小皇帝</cp:lastModifiedBy>
  <dcterms:modified xsi:type="dcterms:W3CDTF">2024-04-23T01:27:07Z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09B57941F41044B48E39ADBA1E47E08A</vt:lpwstr>
  </property>
</Properties>
</file>