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b/>
          <w:sz w:val="36"/>
          <w:szCs w:val="36"/>
        </w:rPr>
      </w:pPr>
      <w:bookmarkStart w:id="0" w:name="_GoBack"/>
      <w:bookmarkEnd w:id="0"/>
      <w:r>
        <w:rPr>
          <w:rFonts w:hint="eastAsia" w:ascii="宋体" w:hAnsi="宋体"/>
          <w:b/>
          <w:sz w:val="36"/>
          <w:szCs w:val="36"/>
        </w:rPr>
        <w:t>淮北市相山区残疾人联合会</w:t>
      </w:r>
      <w:r>
        <w:rPr>
          <w:rFonts w:ascii="宋体" w:hAnsi="宋体"/>
          <w:b/>
          <w:sz w:val="36"/>
          <w:szCs w:val="36"/>
        </w:rPr>
        <w:t>202</w:t>
      </w:r>
      <w:r>
        <w:rPr>
          <w:rFonts w:hint="eastAsia" w:ascii="宋体" w:hAnsi="宋体"/>
          <w:b/>
          <w:sz w:val="36"/>
          <w:szCs w:val="36"/>
          <w:lang w:val="en-US" w:eastAsia="zh-CN"/>
        </w:rPr>
        <w:t>2</w:t>
      </w:r>
      <w:r>
        <w:rPr>
          <w:rFonts w:hint="eastAsia" w:ascii="宋体" w:hAnsi="宋体"/>
          <w:b/>
          <w:sz w:val="36"/>
          <w:szCs w:val="36"/>
        </w:rPr>
        <w:t>年度一般公共预算财政拨款</w:t>
      </w:r>
      <w:r>
        <w:rPr>
          <w:rFonts w:hint="eastAsia" w:ascii="宋体" w:eastAsia="宋体"/>
          <w:b/>
          <w:sz w:val="36"/>
          <w:szCs w:val="36"/>
        </w:rPr>
        <w:t>“</w:t>
      </w:r>
      <w:r>
        <w:rPr>
          <w:rFonts w:hint="eastAsia" w:ascii="宋体" w:hAnsi="宋体"/>
          <w:b/>
          <w:sz w:val="36"/>
          <w:szCs w:val="36"/>
        </w:rPr>
        <w:t>三公”经费支出决算情况说明</w:t>
      </w:r>
    </w:p>
    <w:p>
      <w:pPr>
        <w:jc w:val="center"/>
        <w:rPr>
          <w:rFonts w:ascii="楷体_GB2312" w:eastAsia="楷体_GB2312"/>
          <w:szCs w:val="32"/>
        </w:rPr>
      </w:pPr>
    </w:p>
    <w:p>
      <w:pPr>
        <w:jc w:val="center"/>
        <w:rPr>
          <w:rFonts w:ascii="楷体_GB2312" w:eastAsia="楷体_GB2312"/>
          <w:szCs w:val="32"/>
        </w:rPr>
      </w:pPr>
    </w:p>
    <w:p>
      <w:pPr>
        <w:adjustRightInd w:val="0"/>
        <w:snapToGrid w:val="0"/>
        <w:spacing w:line="360" w:lineRule="auto"/>
        <w:jc w:val="center"/>
        <w:rPr>
          <w:rFonts w:ascii="宋体" w:eastAsia="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ascii="黑体" w:hAnsi="黑体" w:eastAsia="黑体"/>
          <w:szCs w:val="32"/>
        </w:rPr>
        <w:t>202</w:t>
      </w:r>
      <w:r>
        <w:rPr>
          <w:rFonts w:hint="eastAsia" w:ascii="黑体" w:hAnsi="黑体" w:eastAsia="黑体"/>
          <w:szCs w:val="32"/>
          <w:lang w:val="en-US" w:eastAsia="zh-CN"/>
        </w:rPr>
        <w:t>2</w:t>
      </w:r>
      <w:r>
        <w:rPr>
          <w:rFonts w:hint="eastAsia" w:ascii="黑体" w:hAnsi="黑体" w:eastAsia="黑体"/>
          <w:szCs w:val="32"/>
        </w:rPr>
        <w:t>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W w:w="0" w:type="auto"/>
        <w:jc w:val="right"/>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jc w:val="right"/>
        </w:trPr>
        <w:tc>
          <w:tcPr>
            <w:tcW w:w="43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eastAsia="宋体" w:cs="宋体"/>
                <w:b/>
                <w:bCs/>
                <w:kern w:val="0"/>
                <w:szCs w:val="21"/>
              </w:rPr>
            </w:pPr>
            <w:r>
              <w:rPr>
                <w:rFonts w:hint="eastAsia" w:ascii="宋体" w:hAnsi="宋体" w:cs="宋体"/>
                <w:b/>
                <w:bCs/>
                <w:kern w:val="0"/>
                <w:szCs w:val="21"/>
              </w:rPr>
              <w:t>项</w:t>
            </w:r>
            <w:r>
              <w:rPr>
                <w:rFonts w:ascii="宋体" w:hAnsi="宋体" w:cs="宋体"/>
                <w:b/>
                <w:bCs/>
                <w:kern w:val="0"/>
                <w:szCs w:val="21"/>
              </w:rPr>
              <w:t xml:space="preserve">  </w:t>
            </w:r>
            <w:r>
              <w:rPr>
                <w:rFonts w:hint="eastAsia" w:ascii="宋体" w:hAnsi="宋体" w:cs="宋体"/>
                <w:b/>
                <w:bCs/>
                <w:kern w:val="0"/>
                <w:szCs w:val="21"/>
              </w:rPr>
              <w:t>目</w:t>
            </w:r>
          </w:p>
        </w:tc>
        <w:tc>
          <w:tcPr>
            <w:tcW w:w="21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eastAsia="宋体" w:cs="宋体"/>
                <w:b/>
                <w:bCs/>
                <w:kern w:val="0"/>
                <w:szCs w:val="21"/>
              </w:rPr>
            </w:pPr>
            <w:r>
              <w:rPr>
                <w:rFonts w:hint="eastAsia" w:ascii="宋体" w:hAnsi="宋体" w:cs="宋体"/>
                <w:b/>
                <w:bCs/>
                <w:kern w:val="0"/>
                <w:szCs w:val="21"/>
              </w:rPr>
              <w:t>预</w:t>
            </w:r>
            <w:r>
              <w:rPr>
                <w:rFonts w:ascii="宋体" w:hAnsi="宋体" w:cs="宋体"/>
                <w:b/>
                <w:bCs/>
                <w:kern w:val="0"/>
                <w:szCs w:val="21"/>
              </w:rPr>
              <w:t xml:space="preserve"> </w:t>
            </w:r>
            <w:r>
              <w:rPr>
                <w:rFonts w:hint="eastAsia" w:ascii="宋体" w:hAnsi="宋体" w:cs="宋体"/>
                <w:b/>
                <w:bCs/>
                <w:kern w:val="0"/>
                <w:szCs w:val="21"/>
              </w:rPr>
              <w:t>算</w:t>
            </w:r>
            <w:r>
              <w:rPr>
                <w:rFonts w:ascii="宋体" w:hAnsi="宋体" w:cs="宋体"/>
                <w:b/>
                <w:bCs/>
                <w:kern w:val="0"/>
                <w:szCs w:val="21"/>
              </w:rPr>
              <w:t xml:space="preserve"> </w:t>
            </w:r>
            <w:r>
              <w:rPr>
                <w:rFonts w:hint="eastAsia" w:ascii="宋体" w:hAnsi="宋体" w:cs="宋体"/>
                <w:b/>
                <w:bCs/>
                <w:kern w:val="0"/>
                <w:szCs w:val="21"/>
              </w:rPr>
              <w:t>数</w:t>
            </w:r>
          </w:p>
        </w:tc>
        <w:tc>
          <w:tcPr>
            <w:tcW w:w="22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eastAsia="宋体" w:cs="宋体"/>
                <w:b/>
                <w:bCs/>
                <w:kern w:val="0"/>
                <w:szCs w:val="21"/>
              </w:rPr>
            </w:pPr>
            <w:r>
              <w:rPr>
                <w:rFonts w:hint="eastAsia" w:ascii="宋体" w:hAnsi="宋体" w:cs="宋体"/>
                <w:b/>
                <w:bCs/>
                <w:kern w:val="0"/>
                <w:szCs w:val="21"/>
              </w:rPr>
              <w:t>决</w:t>
            </w:r>
            <w:r>
              <w:rPr>
                <w:rFonts w:ascii="宋体" w:hAnsi="宋体" w:cs="宋体"/>
                <w:b/>
                <w:bCs/>
                <w:kern w:val="0"/>
                <w:szCs w:val="21"/>
              </w:rPr>
              <w:t xml:space="preserve"> </w:t>
            </w:r>
            <w:r>
              <w:rPr>
                <w:rFonts w:hint="eastAsia" w:ascii="宋体" w:hAnsi="宋体" w:cs="宋体"/>
                <w:b/>
                <w:bCs/>
                <w:kern w:val="0"/>
                <w:szCs w:val="21"/>
              </w:rPr>
              <w:t>算</w:t>
            </w:r>
            <w:r>
              <w:rPr>
                <w:rFonts w:ascii="宋体" w:hAnsi="宋体" w:cs="宋体"/>
                <w:b/>
                <w:bCs/>
                <w:kern w:val="0"/>
                <w:szCs w:val="21"/>
              </w:rPr>
              <w:t xml:space="preserve"> </w:t>
            </w:r>
            <w:r>
              <w:rPr>
                <w:rFonts w:hint="eastAsia" w:ascii="宋体" w:hAnsi="宋体" w:cs="宋体"/>
                <w:b/>
                <w:bCs/>
                <w:kern w:val="0"/>
                <w:szCs w:val="21"/>
              </w:rPr>
              <w:t>数</w:t>
            </w: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ascii="宋体" w:eastAsia="宋体" w:cs="宋体"/>
                <w:b/>
                <w:bCs/>
                <w:kern w:val="0"/>
                <w:szCs w:val="21"/>
              </w:rPr>
            </w:pPr>
            <w:r>
              <w:rPr>
                <w:rFonts w:hint="eastAsia" w:ascii="宋体" w:hAnsi="宋体" w:cs="宋体"/>
                <w:b/>
                <w:bCs/>
                <w:kern w:val="0"/>
                <w:szCs w:val="21"/>
              </w:rPr>
              <w:t>合</w:t>
            </w:r>
            <w:r>
              <w:rPr>
                <w:rFonts w:ascii="宋体" w:hAnsi="宋体" w:cs="宋体"/>
                <w:b/>
                <w:bCs/>
                <w:kern w:val="0"/>
                <w:szCs w:val="21"/>
              </w:rPr>
              <w:t xml:space="preserve">  </w:t>
            </w:r>
            <w:r>
              <w:rPr>
                <w:rFonts w:hint="eastAsia" w:ascii="宋体" w:hAnsi="宋体" w:cs="宋体"/>
                <w:b/>
                <w:bCs/>
                <w:kern w:val="0"/>
                <w:szCs w:val="21"/>
              </w:rPr>
              <w:t>计</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b/>
                <w:bCs/>
                <w:kern w:val="0"/>
                <w:szCs w:val="21"/>
              </w:rPr>
            </w:pPr>
            <w:r>
              <w:rPr>
                <w:rFonts w:hint="eastAsia" w:ascii="宋体" w:hAnsi="宋体" w:cs="宋体"/>
                <w:b/>
                <w:bCs/>
                <w:kern w:val="0"/>
                <w:szCs w:val="21"/>
              </w:rPr>
              <w:t>2.50　</w:t>
            </w: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b/>
                <w:bCs/>
                <w:kern w:val="0"/>
                <w:szCs w:val="21"/>
              </w:rPr>
            </w:pPr>
            <w:r>
              <w:rPr>
                <w:rFonts w:hint="eastAsia" w:ascii="宋体" w:hAnsi="宋体" w:cs="宋体"/>
                <w:b/>
                <w:bCs/>
                <w:kern w:val="0"/>
                <w:szCs w:val="21"/>
                <w:lang w:val="en-US" w:eastAsia="zh-CN"/>
              </w:rPr>
              <w:t>1.19</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eastAsia="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kern w:val="0"/>
                <w:szCs w:val="21"/>
              </w:rPr>
            </w:pP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kern w:val="0"/>
                <w:szCs w:val="21"/>
              </w:rPr>
            </w:pP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eastAsia="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kern w:val="0"/>
                <w:szCs w:val="21"/>
              </w:rPr>
            </w:pPr>
            <w:r>
              <w:rPr>
                <w:rFonts w:hint="eastAsia" w:ascii="宋体" w:hAnsi="宋体" w:eastAsia="宋体" w:cs="宋体"/>
                <w:kern w:val="0"/>
                <w:szCs w:val="21"/>
              </w:rPr>
              <w:t>0.50</w:t>
            </w: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eastAsia="宋体" w:cs="宋体"/>
                <w:kern w:val="0"/>
                <w:szCs w:val="21"/>
                <w:lang w:val="en-US" w:eastAsia="zh-CN"/>
              </w:rPr>
            </w:pP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eastAsia="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cs="宋体"/>
                <w:kern w:val="0"/>
                <w:szCs w:val="21"/>
              </w:rPr>
            </w:pPr>
            <w:r>
              <w:rPr>
                <w:rFonts w:hint="eastAsia" w:ascii="宋体" w:hAnsi="宋体" w:cs="宋体"/>
                <w:kern w:val="0"/>
                <w:szCs w:val="21"/>
              </w:rPr>
              <w:t>　2.00</w:t>
            </w: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eastAsia="宋体" w:cs="宋体"/>
                <w:kern w:val="0"/>
                <w:szCs w:val="21"/>
                <w:lang w:val="en-US" w:eastAsia="zh-CN"/>
              </w:rPr>
            </w:pPr>
            <w:r>
              <w:rPr>
                <w:rFonts w:hint="eastAsia" w:ascii="宋体" w:hAnsi="宋体" w:eastAsia="宋体" w:cs="宋体"/>
                <w:kern w:val="0"/>
                <w:szCs w:val="21"/>
                <w:lang w:val="en-US" w:eastAsia="zh-CN"/>
              </w:rPr>
              <w:t>1.19</w:t>
            </w: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eastAsia="宋体" w:cs="宋体"/>
                <w:kern w:val="0"/>
                <w:szCs w:val="21"/>
              </w:rPr>
            </w:pPr>
            <w:r>
              <w:rPr>
                <w:rFonts w:ascii="宋体" w:hAnsi="宋体" w:cs="宋体"/>
                <w:kern w:val="0"/>
                <w:szCs w:val="21"/>
              </w:rPr>
              <w:t xml:space="preserve">  </w:t>
            </w:r>
            <w:r>
              <w:rPr>
                <w:rFonts w:hint="eastAsia" w:ascii="宋体" w:hAnsi="宋体" w:cs="宋体"/>
                <w:kern w:val="0"/>
                <w:szCs w:val="21"/>
              </w:rPr>
              <w:t>其中：公务用车运行维护费</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cs="宋体"/>
                <w:kern w:val="0"/>
                <w:szCs w:val="21"/>
              </w:rPr>
            </w:pPr>
            <w:r>
              <w:rPr>
                <w:rFonts w:hint="eastAsia" w:ascii="宋体" w:hAnsi="宋体" w:cs="宋体"/>
                <w:kern w:val="0"/>
                <w:szCs w:val="21"/>
              </w:rPr>
              <w:t>　2.00</w:t>
            </w: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hint="default" w:ascii="宋体" w:eastAsia="宋体" w:cs="宋体"/>
                <w:kern w:val="0"/>
                <w:szCs w:val="21"/>
                <w:lang w:val="en-US" w:eastAsia="zh-CN"/>
              </w:rPr>
            </w:pPr>
            <w:r>
              <w:rPr>
                <w:rFonts w:hint="eastAsia" w:ascii="宋体" w:hAnsi="宋体" w:eastAsia="宋体" w:cs="宋体"/>
                <w:kern w:val="0"/>
                <w:szCs w:val="21"/>
                <w:lang w:val="en-US" w:eastAsia="zh-CN"/>
              </w:rPr>
              <w:t>1.19</w:t>
            </w:r>
          </w:p>
        </w:tc>
      </w:tr>
      <w:tr>
        <w:tblPrEx>
          <w:tblCellMar>
            <w:top w:w="0" w:type="dxa"/>
            <w:left w:w="108" w:type="dxa"/>
            <w:bottom w:w="0" w:type="dxa"/>
            <w:right w:w="108" w:type="dxa"/>
          </w:tblCellMar>
        </w:tblPrEx>
        <w:trPr>
          <w:trHeight w:val="397" w:hRule="atLeast"/>
          <w:jc w:val="right"/>
        </w:trPr>
        <w:tc>
          <w:tcPr>
            <w:tcW w:w="437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ascii="宋体" w:eastAsia="宋体" w:cs="宋体"/>
                <w:kern w:val="0"/>
                <w:szCs w:val="21"/>
              </w:rPr>
            </w:pPr>
            <w:r>
              <w:rPr>
                <w:rFonts w:ascii="宋体" w:hAnsi="宋体" w:cs="宋体"/>
                <w:kern w:val="0"/>
                <w:szCs w:val="21"/>
              </w:rPr>
              <w:t xml:space="preserve">        </w:t>
            </w:r>
            <w:r>
              <w:rPr>
                <w:rFonts w:hint="eastAsia" w:ascii="宋体" w:hAnsi="宋体" w:cs="宋体"/>
                <w:kern w:val="0"/>
                <w:szCs w:val="21"/>
              </w:rPr>
              <w:t>公务用车购置费</w:t>
            </w:r>
            <w:r>
              <w:rPr>
                <w:rFonts w:ascii="宋体" w:hAnsi="宋体" w:cs="宋体"/>
                <w:kern w:val="0"/>
                <w:szCs w:val="21"/>
              </w:rPr>
              <w:t xml:space="preserve"> </w:t>
            </w:r>
          </w:p>
        </w:tc>
        <w:tc>
          <w:tcPr>
            <w:tcW w:w="215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kern w:val="0"/>
                <w:szCs w:val="21"/>
              </w:rPr>
            </w:pPr>
          </w:p>
        </w:tc>
        <w:tc>
          <w:tcPr>
            <w:tcW w:w="22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rPr>
                <w:rFonts w:ascii="宋体" w:eastAsia="宋体" w:cs="宋体"/>
                <w:kern w:val="0"/>
                <w:szCs w:val="21"/>
              </w:rPr>
            </w:pPr>
          </w:p>
        </w:tc>
      </w:tr>
    </w:tbl>
    <w:p>
      <w:pPr>
        <w:ind w:firstLine="420" w:firstLineChars="200"/>
        <w:rPr>
          <w:rFonts w:ascii="黑体" w:hAnsi="黑体" w:eastAsia="黑体"/>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黑体" w:hAnsi="黑体" w:eastAsia="黑体"/>
          <w:szCs w:val="32"/>
        </w:rPr>
        <w:t xml:space="preserve">                                      </w:t>
      </w:r>
    </w:p>
    <w:p>
      <w:pPr>
        <w:ind w:firstLine="640"/>
        <w:rPr>
          <w:rFonts w:hint="eastAsia" w:ascii="黑体" w:hAnsi="黑体" w:eastAsia="黑体"/>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202</w:t>
      </w:r>
      <w:r>
        <w:rPr>
          <w:rFonts w:hint="eastAsia" w:ascii="黑体" w:hAnsi="黑体" w:eastAsia="黑体"/>
          <w:szCs w:val="32"/>
          <w:lang w:val="en-US" w:eastAsia="zh-CN"/>
        </w:rPr>
        <w:t>2</w:t>
      </w:r>
      <w:r>
        <w:rPr>
          <w:rFonts w:hint="eastAsia" w:ascii="黑体" w:hAnsi="黑体" w:eastAsia="黑体"/>
          <w:szCs w:val="32"/>
        </w:rPr>
        <w:t>年度一般公共预算财政拨款“三公”经费支出情况说明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淮北市相山区残疾人联合会</w:t>
      </w:r>
      <w:r>
        <w:rPr>
          <w:rFonts w:ascii="仿宋_GB2312" w:hAnsi="仿宋"/>
          <w:szCs w:val="32"/>
        </w:rPr>
        <w:t>202</w:t>
      </w:r>
      <w:r>
        <w:rPr>
          <w:rFonts w:hint="eastAsia" w:ascii="仿宋_GB2312" w:hAnsi="仿宋"/>
          <w:szCs w:val="32"/>
          <w:lang w:val="en-US" w:eastAsia="zh-CN"/>
        </w:rPr>
        <w:t>2</w:t>
      </w:r>
      <w:r>
        <w:rPr>
          <w:rFonts w:hint="eastAsia" w:ascii="仿宋_GB2312" w:hAnsi="仿宋"/>
          <w:szCs w:val="32"/>
        </w:rPr>
        <w:t>年度一般公共预算财政拨款“三公”经费支出预算为2</w:t>
      </w:r>
      <w:r>
        <w:rPr>
          <w:rFonts w:ascii="仿宋_GB2312" w:hAnsi="仿宋"/>
          <w:szCs w:val="32"/>
        </w:rPr>
        <w:t>.50</w:t>
      </w:r>
      <w:r>
        <w:rPr>
          <w:rFonts w:hint="eastAsia" w:ascii="仿宋_GB2312" w:hAnsi="仿宋"/>
          <w:szCs w:val="32"/>
        </w:rPr>
        <w:t>万元，支出决算为</w:t>
      </w:r>
      <w:r>
        <w:rPr>
          <w:rFonts w:hint="eastAsia" w:ascii="仿宋_GB2312" w:hAnsi="仿宋"/>
          <w:szCs w:val="32"/>
          <w:lang w:val="en-US" w:eastAsia="zh-CN"/>
        </w:rPr>
        <w:t>1.19</w:t>
      </w:r>
      <w:r>
        <w:rPr>
          <w:rFonts w:hint="eastAsia" w:ascii="仿宋_GB2312" w:hAnsi="仿宋"/>
          <w:szCs w:val="32"/>
        </w:rPr>
        <w:t>万元，完成预算的</w:t>
      </w:r>
      <w:r>
        <w:rPr>
          <w:rFonts w:hint="eastAsia" w:ascii="仿宋_GB2312" w:hAnsi="仿宋"/>
          <w:szCs w:val="32"/>
          <w:lang w:val="en-US" w:eastAsia="zh-CN"/>
        </w:rPr>
        <w:t>47.60</w:t>
      </w:r>
      <w:r>
        <w:rPr>
          <w:rFonts w:ascii="仿宋_GB2312" w:hAnsi="仿宋"/>
          <w:szCs w:val="32"/>
        </w:rPr>
        <w:t>%</w:t>
      </w:r>
      <w:r>
        <w:rPr>
          <w:rFonts w:hint="eastAsia" w:ascii="仿宋_GB2312" w:hAnsi="仿宋"/>
          <w:szCs w:val="32"/>
        </w:rPr>
        <w:t>，</w:t>
      </w:r>
      <w:r>
        <w:rPr>
          <w:rFonts w:hint="eastAsia" w:ascii="仿宋_GB2312" w:hAnsi="仿宋"/>
          <w:szCs w:val="32"/>
          <w:lang w:eastAsia="zh-CN"/>
        </w:rPr>
        <w:t>较上年增加</w:t>
      </w:r>
      <w:r>
        <w:rPr>
          <w:rFonts w:hint="eastAsia" w:ascii="仿宋_GB2312" w:hAnsi="仿宋"/>
          <w:szCs w:val="32"/>
          <w:lang w:val="en-US" w:eastAsia="zh-CN"/>
        </w:rPr>
        <w:t>0.58万元，增长95.08%；</w:t>
      </w:r>
      <w:r>
        <w:rPr>
          <w:rFonts w:hint="eastAsia" w:ascii="仿宋_GB2312" w:hAnsi="仿宋"/>
          <w:szCs w:val="32"/>
        </w:rPr>
        <w:t>决算数小于预算数的主要原因是贯彻</w:t>
      </w:r>
      <w:r>
        <w:rPr>
          <w:rFonts w:hint="eastAsia" w:ascii="仿宋" w:hAnsi="仿宋" w:eastAsia="仿宋" w:cs="仿宋"/>
          <w:color w:val="000000"/>
          <w:szCs w:val="32"/>
          <w:shd w:val="clear" w:color="auto" w:fill="FFFFFF"/>
        </w:rPr>
        <w:t>中央八项规定，大力压缩“三公”经费，厉行节约</w:t>
      </w:r>
      <w:r>
        <w:rPr>
          <w:rFonts w:hint="eastAsia" w:ascii="仿宋_GB2312" w:hAnsi="仿宋"/>
          <w:szCs w:val="32"/>
        </w:rPr>
        <w:t>。</w:t>
      </w:r>
      <w:r>
        <w:rPr>
          <w:rFonts w:hint="default" w:ascii="仿宋_GB2312" w:hAnsi="宋体" w:eastAsia="仿宋_GB2312" w:cs="Times New Roman"/>
          <w:sz w:val="32"/>
          <w:szCs w:val="32"/>
          <w:lang w:val="en-US" w:eastAsia="zh-CN" w:bidi="ar"/>
        </w:rPr>
        <w:t>决算数较上年</w:t>
      </w:r>
      <w:r>
        <w:rPr>
          <w:rFonts w:hint="eastAsia" w:ascii="仿宋_GB2312" w:hAnsi="宋体" w:eastAsia="仿宋_GB2312" w:cs="Times New Roman"/>
          <w:sz w:val="32"/>
          <w:szCs w:val="32"/>
          <w:lang w:val="en-US" w:eastAsia="zh-CN" w:bidi="ar"/>
        </w:rPr>
        <w:t>增加</w:t>
      </w:r>
      <w:r>
        <w:rPr>
          <w:rFonts w:hint="default" w:ascii="仿宋_GB2312" w:hAnsi="宋体" w:eastAsia="仿宋_GB2312" w:cs="Times New Roman"/>
          <w:sz w:val="32"/>
          <w:szCs w:val="32"/>
          <w:lang w:val="en-US" w:eastAsia="zh-CN" w:bidi="ar"/>
        </w:rPr>
        <w:t>的主要原因是</w:t>
      </w:r>
      <w:r>
        <w:rPr>
          <w:rFonts w:hint="eastAsia" w:ascii="仿宋_GB2312" w:hAnsi="宋体" w:eastAsia="仿宋_GB2312" w:cs="Times New Roman"/>
          <w:sz w:val="32"/>
          <w:szCs w:val="32"/>
          <w:lang w:val="en-US" w:eastAsia="zh-CN" w:bidi="ar"/>
        </w:rPr>
        <w:t>单位车辆</w:t>
      </w:r>
      <w:r>
        <w:rPr>
          <w:rFonts w:hint="eastAsia" w:ascii="仿宋_GB2312" w:hAnsi="仿宋"/>
          <w:szCs w:val="32"/>
          <w:lang w:eastAsia="zh-CN"/>
        </w:rPr>
        <w:t>入户为残疾人服务次数较往年大幅度增加，导致公务用车运行维护费增大。</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淮北市相山区残疾人联合会</w:t>
      </w:r>
      <w:r>
        <w:rPr>
          <w:rFonts w:ascii="仿宋_GB2312" w:hAnsi="仿宋"/>
          <w:szCs w:val="32"/>
        </w:rPr>
        <w:t>202</w:t>
      </w:r>
      <w:r>
        <w:rPr>
          <w:rFonts w:hint="eastAsia" w:ascii="仿宋_GB2312" w:hAnsi="仿宋"/>
          <w:szCs w:val="32"/>
          <w:lang w:val="en-US" w:eastAsia="zh-CN"/>
        </w:rPr>
        <w:t>2</w:t>
      </w:r>
      <w:r>
        <w:rPr>
          <w:rFonts w:hint="eastAsia" w:ascii="仿宋_GB2312" w:hAnsi="仿宋"/>
          <w:szCs w:val="32"/>
        </w:rPr>
        <w:t>年度一般公共预算财政拨款“三公”经费支出决算中，因公出国（境）费支出决算</w:t>
      </w:r>
      <w:r>
        <w:rPr>
          <w:rFonts w:ascii="仿宋_GB2312" w:hAnsi="仿宋"/>
          <w:szCs w:val="32"/>
        </w:rPr>
        <w:t>0</w:t>
      </w:r>
      <w:r>
        <w:rPr>
          <w:rFonts w:hint="eastAsia" w:ascii="仿宋_GB2312" w:hAnsi="仿宋"/>
          <w:szCs w:val="32"/>
        </w:rPr>
        <w:t>万元</w:t>
      </w:r>
      <w:r>
        <w:rPr>
          <w:rFonts w:hint="eastAsia" w:ascii="仿宋_GB2312" w:hAnsi="仿宋"/>
          <w:szCs w:val="32"/>
          <w:lang w:eastAsia="zh-CN"/>
        </w:rPr>
        <w:t>，占</w:t>
      </w:r>
      <w:r>
        <w:rPr>
          <w:rFonts w:hint="eastAsia" w:ascii="仿宋_GB2312" w:hAnsi="仿宋"/>
          <w:szCs w:val="32"/>
          <w:lang w:val="en-US" w:eastAsia="zh-CN"/>
        </w:rPr>
        <w:t>0%；</w:t>
      </w:r>
      <w:r>
        <w:rPr>
          <w:rFonts w:hint="eastAsia" w:ascii="仿宋_GB2312" w:hAnsi="仿宋"/>
          <w:szCs w:val="32"/>
        </w:rPr>
        <w:t>公务接待费支出决算0万元</w:t>
      </w:r>
      <w:r>
        <w:rPr>
          <w:rFonts w:hint="eastAsia" w:ascii="仿宋_GB2312" w:hAnsi="仿宋"/>
          <w:szCs w:val="32"/>
          <w:lang w:eastAsia="zh-CN"/>
        </w:rPr>
        <w:t>，占</w:t>
      </w:r>
      <w:r>
        <w:rPr>
          <w:rFonts w:hint="eastAsia" w:ascii="仿宋_GB2312" w:hAnsi="仿宋"/>
          <w:szCs w:val="32"/>
          <w:lang w:val="en-US" w:eastAsia="zh-CN"/>
        </w:rPr>
        <w:t>0%；</w:t>
      </w:r>
      <w:r>
        <w:rPr>
          <w:rFonts w:hint="eastAsia" w:ascii="仿宋_GB2312" w:hAnsi="仿宋"/>
          <w:szCs w:val="32"/>
        </w:rPr>
        <w:t>公务用车购置及运行维护费支出决算</w:t>
      </w:r>
      <w:r>
        <w:rPr>
          <w:rFonts w:hint="eastAsia" w:ascii="仿宋_GB2312" w:hAnsi="仿宋"/>
          <w:szCs w:val="32"/>
          <w:lang w:val="en-US" w:eastAsia="zh-CN"/>
        </w:rPr>
        <w:t>1.19</w:t>
      </w:r>
      <w:r>
        <w:rPr>
          <w:rFonts w:hint="eastAsia" w:ascii="仿宋_GB2312" w:hAnsi="仿宋"/>
          <w:szCs w:val="32"/>
        </w:rPr>
        <w:t>万元，占</w:t>
      </w:r>
      <w:r>
        <w:rPr>
          <w:rFonts w:hint="eastAsia" w:ascii="仿宋_GB2312" w:hAnsi="仿宋"/>
          <w:szCs w:val="32"/>
          <w:lang w:val="en-US" w:eastAsia="zh-CN"/>
        </w:rPr>
        <w:t>100</w:t>
      </w:r>
      <w:r>
        <w:rPr>
          <w:rFonts w:ascii="仿宋_GB2312" w:hAnsi="仿宋"/>
          <w:szCs w:val="32"/>
        </w:rPr>
        <w:t>%</w:t>
      </w:r>
      <w:r>
        <w:rPr>
          <w:rFonts w:hint="eastAsia" w:ascii="仿宋_GB2312" w:hAnsi="仿宋"/>
          <w:szCs w:val="32"/>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szCs w:val="32"/>
        </w:rPr>
      </w:pPr>
      <w:r>
        <w:rPr>
          <w:rFonts w:ascii="仿宋_GB2312" w:hAnsi="仿宋"/>
          <w:b/>
          <w:bCs/>
          <w:szCs w:val="32"/>
        </w:rPr>
        <w:t>1.</w:t>
      </w:r>
      <w:r>
        <w:rPr>
          <w:rFonts w:hint="eastAsia" w:ascii="仿宋_GB2312" w:hAnsi="仿宋"/>
          <w:b/>
          <w:bCs/>
          <w:szCs w:val="32"/>
        </w:rPr>
        <w:t>因公出国（境）费</w:t>
      </w:r>
      <w:r>
        <w:rPr>
          <w:rFonts w:hint="eastAsia" w:ascii="仿宋_GB2312" w:hAnsi="仿宋"/>
          <w:b w:val="0"/>
          <w:bCs w:val="0"/>
          <w:color w:val="auto"/>
          <w:szCs w:val="32"/>
          <w:lang w:eastAsia="zh-CN"/>
        </w:rPr>
        <w:t>预算为</w:t>
      </w:r>
      <w:r>
        <w:rPr>
          <w:rFonts w:hint="eastAsia" w:ascii="仿宋_GB2312" w:hAnsi="仿宋"/>
          <w:b w:val="0"/>
          <w:bCs w:val="0"/>
          <w:color w:val="auto"/>
          <w:szCs w:val="32"/>
          <w:lang w:val="en-US" w:eastAsia="zh-CN"/>
        </w:rPr>
        <w:t>0万元，</w:t>
      </w:r>
      <w:r>
        <w:rPr>
          <w:rFonts w:hint="eastAsia" w:ascii="仿宋_GB2312" w:hAnsi="仿宋"/>
          <w:b w:val="0"/>
          <w:bCs w:val="0"/>
          <w:color w:val="auto"/>
          <w:szCs w:val="32"/>
        </w:rPr>
        <w:t>支出</w:t>
      </w:r>
      <w:r>
        <w:rPr>
          <w:rFonts w:hint="eastAsia" w:ascii="仿宋_GB2312" w:hAnsi="仿宋"/>
          <w:b w:val="0"/>
          <w:bCs w:val="0"/>
          <w:color w:val="auto"/>
          <w:szCs w:val="32"/>
          <w:lang w:eastAsia="zh-CN"/>
        </w:rPr>
        <w:t>决算为</w:t>
      </w:r>
      <w:r>
        <w:rPr>
          <w:rFonts w:hint="eastAsia" w:ascii="仿宋_GB2312" w:hAnsi="仿宋"/>
          <w:color w:val="auto"/>
          <w:szCs w:val="32"/>
          <w:lang w:val="en-US" w:eastAsia="zh-CN"/>
        </w:rPr>
        <w:t>0</w:t>
      </w:r>
      <w:r>
        <w:rPr>
          <w:rFonts w:hint="eastAsia" w:ascii="仿宋_GB2312" w:hAnsi="仿宋"/>
          <w:color w:val="auto"/>
          <w:szCs w:val="32"/>
        </w:rPr>
        <w:t>万元，</w:t>
      </w:r>
      <w:r>
        <w:rPr>
          <w:rFonts w:hint="eastAsia" w:ascii="仿宋_GB2312" w:hAnsi="仿宋"/>
          <w:color w:val="auto"/>
          <w:szCs w:val="32"/>
          <w:lang w:val="en-US" w:eastAsia="zh-CN"/>
        </w:rPr>
        <w:t>完成预算100%，</w:t>
      </w:r>
      <w:r>
        <w:rPr>
          <w:rFonts w:hint="eastAsia" w:ascii="仿宋_GB2312" w:hAnsi="仿宋"/>
          <w:color w:val="auto"/>
          <w:szCs w:val="32"/>
          <w:u w:val="none"/>
          <w:lang w:eastAsia="zh-CN"/>
        </w:rPr>
        <w:t>较上年</w:t>
      </w:r>
      <w:r>
        <w:rPr>
          <w:rFonts w:hint="eastAsia" w:ascii="仿宋_GB2312" w:hAnsi="仿宋"/>
          <w:color w:val="auto"/>
          <w:szCs w:val="32"/>
          <w:u w:val="none"/>
          <w:lang w:val="en-US" w:eastAsia="zh-CN"/>
        </w:rPr>
        <w:t>减少0万元，下降0%。</w:t>
      </w:r>
      <w:r>
        <w:rPr>
          <w:rFonts w:hint="eastAsia" w:ascii="仿宋_GB2312" w:hAnsi="仿宋" w:cs="Times New Roman"/>
          <w:color w:val="000000"/>
          <w:szCs w:val="32"/>
          <w:lang w:val="en-US" w:eastAsia="zh-CN"/>
        </w:rPr>
        <w:t>决算数等于预算数的原因是2021年度、2022年度均未安排因公出国（境）计划。</w:t>
      </w:r>
      <w:r>
        <w:rPr>
          <w:rFonts w:hint="eastAsia" w:ascii="仿宋_GB2312" w:hAnsi="仿宋"/>
          <w:szCs w:val="32"/>
          <w:lang w:eastAsia="zh-CN"/>
        </w:rPr>
        <w:t>2022</w:t>
      </w:r>
      <w:r>
        <w:rPr>
          <w:rFonts w:hint="eastAsia" w:ascii="仿宋_GB2312" w:hAnsi="仿宋"/>
          <w:szCs w:val="32"/>
        </w:rPr>
        <w:t>年</w:t>
      </w:r>
      <w:r>
        <w:rPr>
          <w:rFonts w:hint="eastAsia" w:ascii="仿宋_GB2312" w:hAnsi="仿宋"/>
          <w:szCs w:val="32"/>
          <w:lang w:eastAsia="zh-CN"/>
        </w:rPr>
        <w:t>淮北市相山区残疾人联合会</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w:t>
      </w:r>
    </w:p>
    <w:p>
      <w:pPr>
        <w:ind w:firstLine="628"/>
        <w:rPr>
          <w:rFonts w:ascii="仿宋_GB2312" w:hAnsi="仿宋"/>
          <w:szCs w:val="32"/>
        </w:rPr>
      </w:pPr>
      <w:r>
        <w:rPr>
          <w:rFonts w:ascii="仿宋_GB2312" w:hAnsi="仿宋"/>
          <w:b/>
          <w:bCs/>
          <w:szCs w:val="32"/>
        </w:rPr>
        <w:t>2.</w:t>
      </w:r>
      <w:r>
        <w:rPr>
          <w:rFonts w:hint="eastAsia" w:ascii="仿宋_GB2312" w:hAnsi="仿宋"/>
          <w:b/>
          <w:bCs/>
          <w:szCs w:val="32"/>
        </w:rPr>
        <w:t>公务接待费</w:t>
      </w:r>
      <w:r>
        <w:rPr>
          <w:rFonts w:hint="eastAsia" w:ascii="仿宋_GB2312" w:hAnsi="仿宋"/>
          <w:b w:val="0"/>
          <w:bCs w:val="0"/>
          <w:szCs w:val="32"/>
          <w:lang w:eastAsia="zh-CN"/>
        </w:rPr>
        <w:t>预算为</w:t>
      </w:r>
      <w:r>
        <w:rPr>
          <w:rFonts w:hint="eastAsia" w:ascii="仿宋_GB2312" w:hAnsi="仿宋"/>
          <w:b w:val="0"/>
          <w:bCs w:val="0"/>
          <w:szCs w:val="32"/>
          <w:lang w:val="en-US" w:eastAsia="zh-CN"/>
        </w:rPr>
        <w:t>0.5</w:t>
      </w:r>
      <w:r>
        <w:rPr>
          <w:rFonts w:hint="eastAsia" w:ascii="仿宋_GB2312" w:hAnsi="仿宋"/>
          <w:szCs w:val="32"/>
        </w:rPr>
        <w:t>万元</w:t>
      </w:r>
      <w:r>
        <w:rPr>
          <w:rFonts w:ascii="仿宋_GB2312" w:hAnsi="仿宋"/>
          <w:szCs w:val="32"/>
        </w:rPr>
        <w:t>,</w:t>
      </w:r>
      <w:r>
        <w:rPr>
          <w:rFonts w:hint="eastAsia" w:ascii="仿宋_GB2312" w:hAnsi="仿宋"/>
          <w:szCs w:val="32"/>
          <w:lang w:eastAsia="zh-CN"/>
        </w:rPr>
        <w:t>支出决算为</w:t>
      </w:r>
      <w:r>
        <w:rPr>
          <w:rFonts w:hint="eastAsia" w:ascii="仿宋_GB2312" w:hAnsi="仿宋"/>
          <w:szCs w:val="32"/>
          <w:lang w:val="en-US" w:eastAsia="zh-CN"/>
        </w:rPr>
        <w:t>0万元，完成预算的0%；与2021年度相比没有变化。决算数小于预算数的主要原因是</w:t>
      </w:r>
      <w:r>
        <w:rPr>
          <w:rFonts w:hint="eastAsia" w:ascii="仿宋_GB2312" w:hAnsi="仿宋"/>
          <w:szCs w:val="32"/>
        </w:rPr>
        <w:t>压缩公务接待费的开支费用，节俭节约。</w:t>
      </w:r>
      <w:r>
        <w:rPr>
          <w:rFonts w:hint="eastAsia" w:ascii="仿宋_GB2312" w:hAnsi="仿宋"/>
          <w:szCs w:val="32"/>
          <w:lang w:eastAsia="zh-CN"/>
        </w:rPr>
        <w:t>决算数较上年相比无变化。</w:t>
      </w:r>
      <w:r>
        <w:rPr>
          <w:rFonts w:ascii="仿宋_GB2312" w:hAnsi="仿宋"/>
          <w:szCs w:val="32"/>
        </w:rPr>
        <w:t>202</w:t>
      </w:r>
      <w:r>
        <w:rPr>
          <w:rFonts w:hint="eastAsia" w:ascii="仿宋_GB2312" w:hAnsi="仿宋"/>
          <w:szCs w:val="32"/>
          <w:lang w:val="en-US" w:eastAsia="zh-CN"/>
        </w:rPr>
        <w:t>2</w:t>
      </w:r>
      <w:r>
        <w:rPr>
          <w:rFonts w:hint="eastAsia" w:ascii="仿宋_GB2312" w:hAnsi="仿宋"/>
          <w:szCs w:val="32"/>
        </w:rPr>
        <w:t>年淮北市相山区残疾人联合会国内公务接待共</w:t>
      </w:r>
      <w:r>
        <w:rPr>
          <w:rFonts w:hint="eastAsia" w:ascii="仿宋_GB2312" w:hAnsi="仿宋"/>
          <w:szCs w:val="32"/>
          <w:lang w:val="en-US" w:eastAsia="zh-CN"/>
        </w:rPr>
        <w:t>0</w:t>
      </w:r>
      <w:r>
        <w:rPr>
          <w:rFonts w:hint="eastAsia" w:ascii="仿宋_GB2312" w:hAnsi="仿宋"/>
          <w:szCs w:val="32"/>
        </w:rPr>
        <w:t>批次（其中外事接待</w:t>
      </w:r>
      <w:r>
        <w:rPr>
          <w:rFonts w:ascii="仿宋_GB2312" w:hAnsi="仿宋"/>
          <w:szCs w:val="32"/>
        </w:rPr>
        <w:t>0</w:t>
      </w:r>
      <w:r>
        <w:rPr>
          <w:rFonts w:hint="eastAsia" w:ascii="仿宋_GB2312" w:hAnsi="仿宋"/>
          <w:szCs w:val="32"/>
        </w:rPr>
        <w:t>批次），</w:t>
      </w:r>
      <w:r>
        <w:rPr>
          <w:rFonts w:hint="eastAsia" w:ascii="仿宋_GB2312" w:hAnsi="仿宋"/>
          <w:szCs w:val="32"/>
          <w:lang w:val="en-US" w:eastAsia="zh-CN"/>
        </w:rPr>
        <w:t>0</w:t>
      </w:r>
      <w:r>
        <w:rPr>
          <w:rFonts w:hint="eastAsia" w:ascii="仿宋_GB2312" w:hAnsi="仿宋"/>
          <w:szCs w:val="32"/>
        </w:rPr>
        <w:t>人次（其中外事接待</w:t>
      </w:r>
      <w:r>
        <w:rPr>
          <w:rFonts w:ascii="仿宋_GB2312" w:hAnsi="仿宋"/>
          <w:szCs w:val="32"/>
        </w:rPr>
        <w:t>0</w:t>
      </w:r>
      <w:r>
        <w:rPr>
          <w:rFonts w:hint="eastAsia" w:ascii="仿宋_GB2312" w:hAnsi="仿宋"/>
          <w:szCs w:val="32"/>
        </w:rPr>
        <w:t>人次）。经费使用严格贯彻</w:t>
      </w:r>
      <w:r>
        <w:rPr>
          <w:rFonts w:hint="eastAsia" w:ascii="仿宋_GB2312" w:hAnsi="仿宋"/>
          <w:szCs w:val="32"/>
          <w:lang w:eastAsia="zh-CN"/>
        </w:rPr>
        <w:t>中央八项规定</w:t>
      </w:r>
      <w:r>
        <w:rPr>
          <w:rFonts w:hint="eastAsia" w:ascii="仿宋_GB2312" w:hAnsi="仿宋"/>
          <w:szCs w:val="32"/>
        </w:rPr>
        <w:t>要求，严格执行《党政机关厉行节约反对浪费条例》、</w:t>
      </w:r>
      <w:r>
        <w:rPr>
          <w:rFonts w:hint="eastAsia" w:ascii="仿宋_GB2312" w:hAnsi="仿宋"/>
          <w:szCs w:val="32"/>
          <w:lang w:eastAsia="zh-CN"/>
        </w:rPr>
        <w:t>相山区</w:t>
      </w:r>
      <w:r>
        <w:rPr>
          <w:rFonts w:hint="eastAsia" w:ascii="仿宋_GB2312" w:hAnsi="仿宋"/>
          <w:szCs w:val="32"/>
        </w:rPr>
        <w:t>公务接待相关规定等。</w:t>
      </w:r>
    </w:p>
    <w:p>
      <w:pPr>
        <w:ind w:firstLine="643" w:firstLineChars="200"/>
        <w:rPr>
          <w:rFonts w:ascii="仿宋_GB2312" w:hAnsi="仿宋"/>
          <w:szCs w:val="32"/>
        </w:rPr>
      </w:pPr>
      <w:r>
        <w:rPr>
          <w:rFonts w:ascii="仿宋_GB2312" w:hAnsi="仿宋"/>
          <w:b/>
          <w:bCs/>
          <w:szCs w:val="32"/>
        </w:rPr>
        <w:t>3.</w:t>
      </w:r>
      <w:r>
        <w:rPr>
          <w:rFonts w:hint="eastAsia" w:ascii="仿宋_GB2312" w:hAnsi="仿宋"/>
          <w:b/>
          <w:bCs/>
          <w:szCs w:val="32"/>
        </w:rPr>
        <w:t>公务用车购置及运行维护费</w:t>
      </w:r>
      <w:r>
        <w:rPr>
          <w:rFonts w:hint="eastAsia" w:ascii="仿宋_GB2312" w:hAnsi="仿宋"/>
          <w:b w:val="0"/>
          <w:bCs w:val="0"/>
          <w:szCs w:val="32"/>
          <w:lang w:eastAsia="zh-CN"/>
        </w:rPr>
        <w:t>预算为</w:t>
      </w:r>
      <w:r>
        <w:rPr>
          <w:rFonts w:hint="eastAsia" w:ascii="仿宋_GB2312" w:hAnsi="仿宋"/>
          <w:b w:val="0"/>
          <w:bCs w:val="0"/>
          <w:szCs w:val="32"/>
          <w:lang w:val="en-US" w:eastAsia="zh-CN"/>
        </w:rPr>
        <w:t>2万元，</w:t>
      </w:r>
      <w:r>
        <w:rPr>
          <w:rFonts w:hint="eastAsia" w:ascii="仿宋_GB2312" w:hAnsi="仿宋"/>
          <w:b w:val="0"/>
          <w:bCs w:val="0"/>
          <w:szCs w:val="32"/>
        </w:rPr>
        <w:t>支出</w:t>
      </w:r>
      <w:r>
        <w:rPr>
          <w:rFonts w:hint="eastAsia" w:ascii="仿宋_GB2312" w:hAnsi="仿宋"/>
          <w:b w:val="0"/>
          <w:bCs w:val="0"/>
          <w:szCs w:val="32"/>
          <w:lang w:eastAsia="zh-CN"/>
        </w:rPr>
        <w:t>决算为</w:t>
      </w:r>
      <w:r>
        <w:rPr>
          <w:rFonts w:hint="eastAsia" w:ascii="仿宋_GB2312" w:hAnsi="仿宋"/>
          <w:b w:val="0"/>
          <w:bCs w:val="0"/>
          <w:szCs w:val="32"/>
          <w:lang w:val="en-US" w:eastAsia="zh-CN"/>
        </w:rPr>
        <w:t>1.19</w:t>
      </w:r>
      <w:r>
        <w:rPr>
          <w:rFonts w:hint="eastAsia" w:ascii="仿宋_GB2312" w:hAnsi="仿宋"/>
          <w:szCs w:val="32"/>
        </w:rPr>
        <w:t>万元，</w:t>
      </w:r>
      <w:r>
        <w:rPr>
          <w:rFonts w:hint="eastAsia" w:ascii="仿宋_GB2312" w:hAnsi="仿宋"/>
          <w:szCs w:val="32"/>
          <w:lang w:eastAsia="zh-CN"/>
        </w:rPr>
        <w:t>完成预算的</w:t>
      </w:r>
      <w:r>
        <w:rPr>
          <w:rFonts w:hint="eastAsia" w:ascii="仿宋_GB2312" w:hAnsi="仿宋"/>
          <w:szCs w:val="32"/>
          <w:lang w:val="en-US" w:eastAsia="zh-CN"/>
        </w:rPr>
        <w:t>59.5%；较上年增加0.58%，增长95.08%。决算数小于预算数的主要原因是</w:t>
      </w:r>
      <w:r>
        <w:rPr>
          <w:rFonts w:hint="eastAsia" w:ascii="仿宋_GB2312" w:hAnsi="仿宋"/>
          <w:szCs w:val="32"/>
        </w:rPr>
        <w:t>严格执行中央八项规定及公务用车规定</w:t>
      </w:r>
      <w:r>
        <w:rPr>
          <w:rFonts w:hint="eastAsia" w:ascii="仿宋_GB2312" w:hAnsi="仿宋"/>
          <w:szCs w:val="32"/>
          <w:lang w:eastAsia="zh-CN"/>
        </w:rPr>
        <w:t>，节俭开支。决算数较上年增加的主要原因是入户为残疾人服务次数较往年大幅度增加。</w:t>
      </w:r>
      <w:r>
        <w:rPr>
          <w:rFonts w:hint="eastAsia" w:ascii="仿宋_GB2312" w:hAnsi="仿宋"/>
          <w:szCs w:val="32"/>
        </w:rPr>
        <w:t>其中，公务用车购置费0万元，</w:t>
      </w:r>
      <w:r>
        <w:rPr>
          <w:rFonts w:hint="eastAsia" w:ascii="仿宋_GB2312" w:hAnsi="仿宋"/>
          <w:szCs w:val="32"/>
          <w:lang w:eastAsia="zh-CN"/>
        </w:rPr>
        <w:t>支出决算为</w:t>
      </w:r>
      <w:r>
        <w:rPr>
          <w:rFonts w:hint="eastAsia" w:ascii="仿宋_GB2312" w:hAnsi="仿宋"/>
          <w:szCs w:val="32"/>
          <w:lang w:val="en-US" w:eastAsia="zh-CN"/>
        </w:rPr>
        <w:t>0万元，完成预算的100%；较上年</w:t>
      </w:r>
      <w:r>
        <w:rPr>
          <w:rFonts w:hint="eastAsia" w:ascii="仿宋_GB2312" w:hAnsi="仿宋"/>
          <w:szCs w:val="32"/>
        </w:rPr>
        <w:t>相比无变化</w:t>
      </w:r>
      <w:r>
        <w:rPr>
          <w:rFonts w:hint="eastAsia" w:ascii="仿宋_GB2312" w:hAnsi="仿宋"/>
          <w:szCs w:val="32"/>
          <w:lang w:eastAsia="zh-CN"/>
        </w:rPr>
        <w:t>，</w:t>
      </w:r>
      <w:r>
        <w:rPr>
          <w:rFonts w:hint="eastAsia" w:ascii="仿宋_GB2312" w:hAnsi="仿宋"/>
          <w:szCs w:val="32"/>
        </w:rPr>
        <w:t>202</w:t>
      </w:r>
      <w:r>
        <w:rPr>
          <w:rFonts w:hint="eastAsia" w:ascii="仿宋_GB2312" w:hAnsi="仿宋"/>
          <w:szCs w:val="32"/>
          <w:lang w:val="en-US" w:eastAsia="zh-CN"/>
        </w:rPr>
        <w:t>2</w:t>
      </w:r>
      <w:r>
        <w:rPr>
          <w:rFonts w:hint="eastAsia" w:ascii="仿宋_GB2312" w:hAnsi="仿宋"/>
          <w:szCs w:val="32"/>
        </w:rPr>
        <w:t>年没有安排公务用车购置费。公务用车运行维护费</w:t>
      </w:r>
      <w:r>
        <w:rPr>
          <w:rFonts w:hint="eastAsia" w:ascii="仿宋_GB2312" w:hAnsi="仿宋"/>
          <w:szCs w:val="32"/>
          <w:lang w:eastAsia="zh-CN"/>
        </w:rPr>
        <w:t>预算为</w:t>
      </w:r>
      <w:r>
        <w:rPr>
          <w:rFonts w:hint="eastAsia" w:ascii="仿宋_GB2312" w:hAnsi="仿宋"/>
          <w:szCs w:val="32"/>
          <w:lang w:val="en-US" w:eastAsia="zh-CN"/>
        </w:rPr>
        <w:t>2万元，支出决算为1.19</w:t>
      </w:r>
      <w:r>
        <w:rPr>
          <w:rFonts w:hint="eastAsia" w:ascii="仿宋_GB2312" w:hAnsi="仿宋"/>
          <w:szCs w:val="32"/>
        </w:rPr>
        <w:t>万元，</w:t>
      </w:r>
      <w:r>
        <w:rPr>
          <w:rFonts w:hint="eastAsia" w:ascii="仿宋_GB2312" w:hAnsi="仿宋"/>
          <w:szCs w:val="32"/>
          <w:lang w:eastAsia="zh-CN"/>
        </w:rPr>
        <w:t>完成预算的</w:t>
      </w:r>
      <w:r>
        <w:rPr>
          <w:rFonts w:hint="eastAsia" w:ascii="仿宋_GB2312" w:hAnsi="仿宋"/>
          <w:szCs w:val="32"/>
          <w:lang w:val="en-US" w:eastAsia="zh-CN"/>
        </w:rPr>
        <w:t>59.5%；较上年增加0.58%，增长95.08%</w:t>
      </w:r>
      <w:r>
        <w:rPr>
          <w:rFonts w:hint="eastAsia" w:ascii="仿宋_GB2312" w:hAnsi="仿宋"/>
          <w:szCs w:val="32"/>
        </w:rPr>
        <w:t>，</w:t>
      </w:r>
      <w:r>
        <w:rPr>
          <w:rFonts w:hint="eastAsia" w:ascii="仿宋_GB2312" w:hAnsi="仿宋"/>
          <w:szCs w:val="32"/>
          <w:lang w:eastAsia="zh-CN"/>
        </w:rPr>
        <w:t>决算数小于预算数的主要原因是</w:t>
      </w:r>
      <w:r>
        <w:rPr>
          <w:rFonts w:hint="eastAsia" w:ascii="仿宋_GB2312" w:hAnsi="仿宋"/>
          <w:szCs w:val="32"/>
        </w:rPr>
        <w:t>严格执行中央八项规定及公务用车规定</w:t>
      </w:r>
      <w:r>
        <w:rPr>
          <w:rFonts w:hint="eastAsia" w:ascii="仿宋_GB2312" w:hAnsi="仿宋"/>
          <w:szCs w:val="32"/>
          <w:lang w:eastAsia="zh-CN"/>
        </w:rPr>
        <w:t>，节俭开支。决算数较上年增加的主要原因是入户为残疾人服务次数较往年大幅度增加。</w:t>
      </w:r>
      <w:r>
        <w:rPr>
          <w:rFonts w:hint="eastAsia" w:ascii="仿宋_GB2312" w:hAnsi="仿宋"/>
          <w:szCs w:val="32"/>
        </w:rPr>
        <w:t>公务用车运行维护费，包括车辆燃料费、维修费、过路过桥费、保险费等支出，主要用于下乡入户检查</w:t>
      </w:r>
      <w:r>
        <w:rPr>
          <w:rFonts w:hint="eastAsia" w:ascii="仿宋_GB2312" w:hAnsi="仿宋"/>
          <w:szCs w:val="32"/>
          <w:lang w:eastAsia="zh-CN"/>
        </w:rPr>
        <w:t>工作</w:t>
      </w:r>
      <w:r>
        <w:rPr>
          <w:rFonts w:hint="eastAsia" w:ascii="仿宋_GB2312" w:hAnsi="仿宋"/>
          <w:szCs w:val="32"/>
        </w:rPr>
        <w:t>及上门服务为残疾人办证等。截至202</w:t>
      </w:r>
      <w:r>
        <w:rPr>
          <w:rFonts w:hint="eastAsia" w:ascii="仿宋_GB2312" w:hAnsi="仿宋"/>
          <w:szCs w:val="32"/>
          <w:lang w:val="en-US" w:eastAsia="zh-CN"/>
        </w:rPr>
        <w:t>2</w:t>
      </w:r>
      <w:r>
        <w:rPr>
          <w:rFonts w:hint="eastAsia" w:ascii="仿宋_GB2312" w:hAnsi="仿宋"/>
          <w:szCs w:val="32"/>
        </w:rPr>
        <w:t>年12月31日，淮北市相山区残疾人联合会</w:t>
      </w:r>
      <w:r>
        <w:rPr>
          <w:rFonts w:hint="eastAsia" w:ascii="仿宋_GB2312" w:hAnsi="仿宋"/>
          <w:szCs w:val="32"/>
          <w:lang w:eastAsia="zh-CN"/>
        </w:rPr>
        <w:t>开支财政拨款的公务</w:t>
      </w:r>
      <w:r>
        <w:rPr>
          <w:rFonts w:hint="eastAsia" w:ascii="仿宋_GB2312" w:hAnsi="仿宋"/>
          <w:szCs w:val="32"/>
        </w:rPr>
        <w:t>用车保有量为1辆。</w:t>
      </w:r>
    </w:p>
    <w:p>
      <w:pPr>
        <w:ind w:firstLine="640" w:firstLineChars="200"/>
        <w:rPr>
          <w:rFonts w:ascii="仿宋_GB2312" w:hAnsi="仿宋"/>
          <w:szCs w:val="32"/>
        </w:rPr>
      </w:pPr>
    </w:p>
    <w:p>
      <w:pPr>
        <w:ind w:firstLine="640" w:firstLineChars="200"/>
        <w:rPr>
          <w:rFonts w:ascii="仿宋_GB2312" w:hAnsi="仿宋"/>
          <w:szCs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mMwNjgyN2Y4NzcyY2U5MmFmOWE3MjYwYTQxYTEifQ=="/>
  </w:docVars>
  <w:rsids>
    <w:rsidRoot w:val="00D303BC"/>
    <w:rsid w:val="001F719A"/>
    <w:rsid w:val="00230A8F"/>
    <w:rsid w:val="002F6DE8"/>
    <w:rsid w:val="00326726"/>
    <w:rsid w:val="003547B8"/>
    <w:rsid w:val="003671B4"/>
    <w:rsid w:val="003B6E2C"/>
    <w:rsid w:val="003F38C5"/>
    <w:rsid w:val="00497C22"/>
    <w:rsid w:val="004D6484"/>
    <w:rsid w:val="00507176"/>
    <w:rsid w:val="005939F1"/>
    <w:rsid w:val="00613D73"/>
    <w:rsid w:val="00656EC6"/>
    <w:rsid w:val="006B3BF0"/>
    <w:rsid w:val="007719A9"/>
    <w:rsid w:val="00865906"/>
    <w:rsid w:val="008904FB"/>
    <w:rsid w:val="008A3C6F"/>
    <w:rsid w:val="008E0F61"/>
    <w:rsid w:val="009770F9"/>
    <w:rsid w:val="009A08B2"/>
    <w:rsid w:val="009D2B9A"/>
    <w:rsid w:val="00A00C09"/>
    <w:rsid w:val="00A92496"/>
    <w:rsid w:val="00AB0278"/>
    <w:rsid w:val="00AB08D2"/>
    <w:rsid w:val="00B14CD1"/>
    <w:rsid w:val="00B2159B"/>
    <w:rsid w:val="00B72524"/>
    <w:rsid w:val="00BC390C"/>
    <w:rsid w:val="00C63DE1"/>
    <w:rsid w:val="00CE25D9"/>
    <w:rsid w:val="00D2629D"/>
    <w:rsid w:val="00D303BC"/>
    <w:rsid w:val="00D30AD1"/>
    <w:rsid w:val="00D9784E"/>
    <w:rsid w:val="00DB321D"/>
    <w:rsid w:val="00E02B6D"/>
    <w:rsid w:val="00EA67C3"/>
    <w:rsid w:val="00F20A37"/>
    <w:rsid w:val="00F4261B"/>
    <w:rsid w:val="00FC29F2"/>
    <w:rsid w:val="00FF6197"/>
    <w:rsid w:val="05A1203D"/>
    <w:rsid w:val="17AD47F1"/>
    <w:rsid w:val="1E4A7B47"/>
    <w:rsid w:val="231C0980"/>
    <w:rsid w:val="2C9B29F5"/>
    <w:rsid w:val="38745EC1"/>
    <w:rsid w:val="3DA33993"/>
    <w:rsid w:val="4D457092"/>
    <w:rsid w:val="504A3037"/>
    <w:rsid w:val="50D61585"/>
    <w:rsid w:val="549F7FEE"/>
    <w:rsid w:val="5D603AEC"/>
    <w:rsid w:val="6B795DFA"/>
    <w:rsid w:val="6F3F4923"/>
    <w:rsid w:val="719E7D90"/>
    <w:rsid w:val="71B3388F"/>
    <w:rsid w:val="71E357C9"/>
    <w:rsid w:val="731625F3"/>
    <w:rsid w:val="762B436E"/>
    <w:rsid w:val="7C473A86"/>
    <w:rsid w:val="7CF340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Hyperlink"/>
    <w:basedOn w:val="6"/>
    <w:semiHidden/>
    <w:unhideWhenUsed/>
    <w:qFormat/>
    <w:uiPriority w:val="99"/>
    <w:rPr>
      <w:color w:val="0000FF"/>
      <w:u w:val="single"/>
    </w:rPr>
  </w:style>
  <w:style w:type="character" w:customStyle="1" w:styleId="8">
    <w:name w:val="页脚 Char"/>
    <w:basedOn w:val="6"/>
    <w:link w:val="2"/>
    <w:semiHidden/>
    <w:qFormat/>
    <w:locked/>
    <w:uiPriority w:val="99"/>
    <w:rPr>
      <w:rFonts w:cs="Times New Roman"/>
      <w:sz w:val="18"/>
      <w:szCs w:val="18"/>
    </w:rPr>
  </w:style>
  <w:style w:type="character" w:customStyle="1" w:styleId="9">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12</TotalTime>
  <ScaleCrop>false</ScaleCrop>
  <LinksUpToDate>false</LinksUpToDate>
  <CharactersWithSpaces>1290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2021-09-10T10:08:00Z</dcterms:created>
  <dc:creator>丁配泉</dc:creator>
  <cp:lastModifiedBy>Administrator</cp:lastModifiedBy>
  <cp:lastPrinted>2023-11-16T02:32:00Z</cp:lastPrinted>
  <dcterms:modified xsi:type="dcterms:W3CDTF">2024-05-10T15:34:43Z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53E4B218363F40D589A471B42DFA30E8_13</vt:lpwstr>
  </property>
</Properties>
</file>