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36"/>
          <w:szCs w:val="36"/>
          <w:lang w:val="en-US" w:eastAsia="zh-CN"/>
        </w:rPr>
      </w:pPr>
    </w:p>
    <w:p>
      <w:pPr>
        <w:jc w:val="center"/>
        <w:rPr>
          <w:rFonts w:hint="eastAsia" w:ascii="宋体" w:hAnsi="宋体"/>
          <w:b/>
          <w:color w:val="auto"/>
          <w:sz w:val="36"/>
          <w:szCs w:val="36"/>
        </w:rPr>
      </w:pPr>
      <w:r>
        <w:rPr>
          <w:rFonts w:hint="eastAsia" w:ascii="宋体" w:hAnsi="宋体"/>
          <w:b/>
          <w:color w:val="auto"/>
          <w:sz w:val="36"/>
          <w:szCs w:val="36"/>
          <w:lang w:val="en-US" w:eastAsia="zh-CN"/>
        </w:rPr>
        <w:t>淮北市相山区人民医院</w:t>
      </w:r>
      <w:r>
        <w:rPr>
          <w:rFonts w:hint="eastAsia" w:ascii="宋体" w:hAnsi="宋体"/>
          <w:b/>
          <w:color w:val="auto"/>
          <w:sz w:val="36"/>
          <w:szCs w:val="36"/>
          <w:lang w:eastAsia="zh-CN"/>
        </w:rPr>
        <w:t>2023</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pPr>
        <w:jc w:val="center"/>
        <w:rPr>
          <w:rFonts w:hint="eastAsia" w:ascii="楷体_GB2312" w:eastAsia="楷体_GB2312"/>
          <w:color w:val="auto"/>
          <w:szCs w:val="32"/>
        </w:rPr>
      </w:pPr>
    </w:p>
    <w:p>
      <w:pPr>
        <w:pStyle w:val="2"/>
        <w:rPr>
          <w:rFonts w:hint="eastAsia"/>
        </w:rPr>
      </w:pPr>
    </w:p>
    <w:p>
      <w:pPr>
        <w:adjustRightInd w:val="0"/>
        <w:snapToGrid w:val="0"/>
        <w:spacing w:line="360" w:lineRule="auto"/>
        <w:jc w:val="center"/>
        <w:rPr>
          <w:rFonts w:hint="eastAsia" w:ascii="宋体" w:hAnsi="宋体"/>
          <w:color w:val="auto"/>
          <w:sz w:val="6"/>
          <w:szCs w:val="32"/>
        </w:rPr>
      </w:pP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2023</w:t>
      </w:r>
      <w:r>
        <w:rPr>
          <w:rFonts w:hint="eastAsia" w:ascii="黑体" w:hAnsi="黑体" w:eastAsia="黑体"/>
          <w:color w:val="auto"/>
          <w:szCs w:val="32"/>
        </w:rPr>
        <w:t>年度一般公共预算财政拨款“三公”经费支出决算表</w:t>
      </w:r>
    </w:p>
    <w:p>
      <w:pPr>
        <w:ind w:firstLine="7216"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　</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2023</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pPr>
        <w:ind w:firstLine="628"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pPr>
        <w:ind w:firstLine="628" w:firstLineChars="200"/>
        <w:rPr>
          <w:rFonts w:hint="eastAsia" w:ascii="仿宋_GB2312" w:hAnsi="仿宋" w:eastAsia="仿宋_GB2312"/>
          <w:b/>
          <w:bCs/>
          <w:color w:val="auto"/>
          <w:szCs w:val="32"/>
          <w:lang w:val="en-US" w:eastAsia="zh-CN"/>
        </w:rPr>
      </w:pPr>
      <w:r>
        <w:rPr>
          <w:rFonts w:hint="eastAsia" w:ascii="仿宋_GB2312" w:hAnsi="仿宋"/>
          <w:color w:val="auto"/>
          <w:szCs w:val="32"/>
          <w:lang w:val="en-US" w:eastAsia="zh-CN"/>
        </w:rPr>
        <w:t>淮北市相山区</w:t>
      </w:r>
      <w:r>
        <w:rPr>
          <w:rFonts w:hint="eastAsia" w:ascii="仿宋_GB2312" w:hAnsi="仿宋"/>
          <w:color w:val="auto"/>
          <w:szCs w:val="32"/>
          <w:lang w:eastAsia="zh-CN"/>
        </w:rPr>
        <w:t>人民医院2023</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w:t>
      </w:r>
      <w:r>
        <w:rPr>
          <w:rFonts w:hint="eastAsia" w:ascii="仿宋_GB2312" w:hAnsi="仿宋"/>
          <w:color w:val="auto"/>
          <w:szCs w:val="32"/>
        </w:rPr>
        <w:t>万元，支出决算</w:t>
      </w:r>
      <w:r>
        <w:rPr>
          <w:rFonts w:hint="eastAsia" w:ascii="仿宋_GB2312" w:hAnsi="仿宋"/>
          <w:color w:val="auto"/>
          <w:szCs w:val="32"/>
          <w:lang w:eastAsia="zh-CN"/>
        </w:rPr>
        <w:t>为</w:t>
      </w:r>
      <w:r>
        <w:rPr>
          <w:rFonts w:hint="eastAsia" w:ascii="仿宋_GB2312" w:hAnsi="仿宋"/>
          <w:color w:val="auto"/>
          <w:szCs w:val="32"/>
          <w:lang w:val="en-US" w:eastAsia="zh-CN"/>
        </w:rPr>
        <w:t>0</w:t>
      </w:r>
      <w:r>
        <w:rPr>
          <w:rFonts w:hint="eastAsia" w:ascii="仿宋_GB2312" w:hAnsi="仿宋"/>
          <w:color w:val="auto"/>
          <w:szCs w:val="32"/>
        </w:rPr>
        <w:t>万元，完成预算的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u w:val="none"/>
          <w:lang w:eastAsia="zh-CN"/>
        </w:rPr>
        <w:t>较上年无变化</w:t>
      </w:r>
      <w:r>
        <w:rPr>
          <w:rFonts w:hint="eastAsia" w:ascii="仿宋_GB2312" w:hAnsi="仿宋"/>
          <w:color w:val="auto"/>
          <w:szCs w:val="32"/>
          <w:u w:val="none"/>
          <w:lang w:val="en-US" w:eastAsia="zh-CN"/>
        </w:rPr>
        <w:t>。</w:t>
      </w:r>
      <w:r>
        <w:rPr>
          <w:rFonts w:hint="eastAsia" w:ascii="仿宋_GB2312" w:hAnsi="仿宋"/>
          <w:color w:val="auto"/>
          <w:szCs w:val="32"/>
          <w:u w:val="none"/>
        </w:rPr>
        <w:t>决算</w:t>
      </w:r>
      <w:r>
        <w:rPr>
          <w:rFonts w:hint="eastAsia" w:ascii="仿宋_GB2312" w:hAnsi="仿宋"/>
          <w:color w:val="auto"/>
          <w:szCs w:val="32"/>
          <w:u w:val="none"/>
          <w:lang w:eastAsia="zh-CN"/>
        </w:rPr>
        <w:t>等于</w:t>
      </w:r>
      <w:r>
        <w:rPr>
          <w:rFonts w:hint="eastAsia" w:ascii="仿宋_GB2312" w:hAnsi="仿宋"/>
          <w:color w:val="auto"/>
          <w:szCs w:val="32"/>
          <w:u w:val="none"/>
        </w:rPr>
        <w:t>预算数的主要原因是</w:t>
      </w:r>
      <w:r>
        <w:rPr>
          <w:rFonts w:hint="eastAsia" w:ascii="仿宋_GB2312" w:hAnsi="仿宋"/>
          <w:color w:val="auto"/>
          <w:szCs w:val="32"/>
          <w:u w:val="none"/>
          <w:lang w:eastAsia="zh-CN"/>
        </w:rPr>
        <w:t>政府统筹资金</w:t>
      </w:r>
      <w:r>
        <w:rPr>
          <w:rFonts w:hint="eastAsia" w:ascii="仿宋_GB2312" w:hAnsi="仿宋"/>
          <w:color w:val="auto"/>
          <w:szCs w:val="32"/>
          <w:u w:val="none"/>
        </w:rPr>
        <w:t>。</w:t>
      </w:r>
      <w:r>
        <w:rPr>
          <w:rFonts w:hint="eastAsia" w:ascii="仿宋_GB2312" w:hAnsi="仿宋"/>
          <w:b w:val="0"/>
          <w:bCs w:val="0"/>
          <w:color w:val="auto"/>
          <w:szCs w:val="32"/>
        </w:rPr>
        <w:t>为全面反映“三公”经费支出，本次公布的“三公”经费决算为</w:t>
      </w:r>
      <w:r>
        <w:rPr>
          <w:rFonts w:hint="eastAsia" w:ascii="仿宋_GB2312" w:hAnsi="仿宋"/>
          <w:b w:val="0"/>
          <w:bCs w:val="0"/>
          <w:color w:val="auto"/>
          <w:szCs w:val="32"/>
          <w:lang w:eastAsia="zh-CN"/>
        </w:rPr>
        <w:t>单位</w:t>
      </w:r>
      <w:r>
        <w:rPr>
          <w:rFonts w:hint="eastAsia" w:ascii="仿宋_GB2312" w:hAnsi="仿宋"/>
          <w:b w:val="0"/>
          <w:bCs w:val="0"/>
          <w:color w:val="auto"/>
          <w:szCs w:val="32"/>
        </w:rPr>
        <w:t>汇总数，包含单位本级</w:t>
      </w:r>
      <w:r>
        <w:rPr>
          <w:rFonts w:hint="eastAsia" w:ascii="仿宋_GB2312" w:hAnsi="仿宋"/>
          <w:color w:val="auto"/>
          <w:szCs w:val="32"/>
          <w:u w:val="none"/>
        </w:rPr>
        <w:t>。</w:t>
      </w:r>
      <w:bookmarkStart w:id="0" w:name="_GoBack"/>
      <w:bookmarkEnd w:id="0"/>
    </w:p>
    <w:p>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pPr>
        <w:ind w:firstLine="628" w:firstLineChars="200"/>
        <w:rPr>
          <w:rFonts w:hint="eastAsia" w:ascii="仿宋_GB2312" w:hAnsi="仿宋"/>
          <w:color w:val="auto"/>
          <w:szCs w:val="32"/>
        </w:rPr>
      </w:pPr>
      <w:r>
        <w:rPr>
          <w:rFonts w:hint="eastAsia" w:ascii="仿宋_GB2312" w:hAnsi="仿宋"/>
          <w:color w:val="auto"/>
          <w:szCs w:val="32"/>
          <w:lang w:val="en-US" w:eastAsia="zh-CN"/>
        </w:rPr>
        <w:t>淮北市相山区</w:t>
      </w:r>
      <w:r>
        <w:rPr>
          <w:rFonts w:hint="eastAsia" w:ascii="仿宋_GB2312" w:hAnsi="仿宋"/>
          <w:color w:val="auto"/>
          <w:szCs w:val="32"/>
          <w:lang w:eastAsia="zh-CN"/>
        </w:rPr>
        <w:t>人民医院2023</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%。具体情况如下：</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textAlignment w:val="auto"/>
        <w:rPr>
          <w:rFonts w:hint="eastAsia" w:ascii="仿宋_GB2312" w:hAnsi="仿宋" w:cs="Times New Roman"/>
          <w:color w:val="000000" w:themeColor="text1"/>
          <w:szCs w:val="32"/>
          <w:lang w:val="en-US" w:eastAsia="zh-CN"/>
          <w14:textFill>
            <w14:solidFill>
              <w14:schemeClr w14:val="tx1"/>
            </w14:solidFill>
          </w14:textFill>
        </w:rPr>
      </w:pPr>
      <w:r>
        <w:rPr>
          <w:rFonts w:hint="eastAsia" w:ascii="仿宋_GB2312" w:hAnsi="仿宋"/>
          <w:b/>
          <w:bCs/>
          <w:color w:val="auto"/>
          <w:szCs w:val="32"/>
        </w:rPr>
        <w:t>1.因公出国（境）费</w:t>
      </w:r>
      <w:r>
        <w:rPr>
          <w:rFonts w:hint="eastAsia" w:ascii="仿宋_GB2312" w:hAnsi="仿宋" w:cs="Times New Roman"/>
          <w:color w:val="000000" w:themeColor="text1"/>
          <w:szCs w:val="32"/>
          <w:lang w:val="en-US" w:eastAsia="zh-CN"/>
          <w14:textFill>
            <w14:solidFill>
              <w14:schemeClr w14:val="tx1"/>
            </w14:solidFill>
          </w14:textFill>
        </w:rPr>
        <w:t>预算为0万元，支出决算为0万元，完成预算的100%；较上年减少0万元，下降0%。决算数等于预算数、等于2022年决算数的原因是2022年、2023年均未安排因公出国（境）计划。2023年淮北市相山区人民医院因公出国（境）团组0次，累计出国（境）0人次。</w:t>
      </w:r>
    </w:p>
    <w:p>
      <w:pPr>
        <w:ind w:firstLine="628"/>
        <w:rPr>
          <w:rFonts w:hint="eastAsia" w:ascii="仿宋_GB2312" w:hAnsi="仿宋" w:eastAsia="仿宋_GB2312"/>
          <w:color w:val="0000FF"/>
          <w:szCs w:val="32"/>
          <w:lang w:val="en-US" w:eastAsia="zh-CN"/>
        </w:rPr>
      </w:pPr>
    </w:p>
    <w:p>
      <w:pPr>
        <w:ind w:firstLine="628"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%；2023</w:t>
      </w:r>
      <w:r>
        <w:rPr>
          <w:rFonts w:hint="eastAsia" w:ascii="仿宋_GB2312" w:hAnsi="仿宋"/>
          <w:color w:val="auto"/>
          <w:szCs w:val="32"/>
        </w:rPr>
        <w:t>年</w:t>
      </w:r>
      <w:r>
        <w:rPr>
          <w:rFonts w:hint="eastAsia" w:ascii="仿宋_GB2312" w:hAnsi="仿宋"/>
          <w:color w:val="auto"/>
          <w:szCs w:val="32"/>
          <w:lang w:val="en-US" w:eastAsia="zh-CN"/>
        </w:rPr>
        <w:t>淮北市相山区</w:t>
      </w:r>
      <w:r>
        <w:rPr>
          <w:rFonts w:hint="eastAsia" w:ascii="仿宋_GB2312" w:hAnsi="仿宋"/>
          <w:color w:val="auto"/>
          <w:szCs w:val="32"/>
          <w:lang w:eastAsia="zh-CN"/>
        </w:rPr>
        <w:t>人民医院</w:t>
      </w:r>
      <w:r>
        <w:rPr>
          <w:rFonts w:hint="eastAsia" w:ascii="仿宋_GB2312" w:hAnsi="仿宋"/>
          <w:color w:val="auto"/>
          <w:szCs w:val="32"/>
        </w:rPr>
        <w:t>国内公务接待共</w:t>
      </w:r>
      <w:r>
        <w:rPr>
          <w:rFonts w:hint="eastAsia" w:ascii="仿宋_GB2312" w:hAnsi="仿宋"/>
          <w:color w:val="auto"/>
          <w:szCs w:val="32"/>
          <w:lang w:val="en-US" w:eastAsia="zh-CN"/>
        </w:rPr>
        <w:t>0</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0</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w:t>
      </w:r>
      <w:r>
        <w:rPr>
          <w:rFonts w:hint="eastAsia" w:ascii="仿宋_GB2312" w:hAnsi="仿宋"/>
          <w:szCs w:val="32"/>
        </w:rPr>
        <w:t>严格执行《党政机关厉行节约反对浪费条例》、</w:t>
      </w:r>
      <w:r>
        <w:rPr>
          <w:rFonts w:hint="eastAsia" w:ascii="仿宋_GB2312" w:hAnsi="仿宋"/>
          <w:szCs w:val="32"/>
          <w:lang w:eastAsia="zh-CN"/>
        </w:rPr>
        <w:t>相山区</w:t>
      </w:r>
      <w:r>
        <w:rPr>
          <w:rFonts w:hint="eastAsia" w:ascii="仿宋_GB2312" w:hAnsi="仿宋"/>
          <w:szCs w:val="32"/>
        </w:rPr>
        <w:t>公务接待相关规定等</w:t>
      </w:r>
      <w:r>
        <w:rPr>
          <w:rFonts w:hint="eastAsia" w:ascii="仿宋_GB2312" w:hAnsi="仿宋"/>
          <w:color w:val="auto"/>
          <w:szCs w:val="32"/>
        </w:rPr>
        <w:t>。</w:t>
      </w:r>
    </w:p>
    <w:p>
      <w:pPr>
        <w:ind w:firstLine="628" w:firstLineChars="200"/>
        <w:rPr>
          <w:rFonts w:hint="eastAsia" w:ascii="仿宋_GB2312" w:hAnsi="仿宋"/>
          <w:color w:val="auto"/>
          <w:szCs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 xml:space="preserve">  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val="en-US" w:eastAsia="zh-CN"/>
        </w:rPr>
        <w:t>0</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w:t>
      </w:r>
      <w:r>
        <w:rPr>
          <w:rFonts w:hint="eastAsia" w:ascii="仿宋_GB2312" w:hAnsi="仿宋"/>
          <w:color w:val="auto"/>
          <w:szCs w:val="32"/>
          <w:lang w:eastAsia="zh-CN"/>
        </w:rPr>
        <w:t>X</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%；2023</w:t>
      </w:r>
      <w:r>
        <w:rPr>
          <w:rFonts w:hint="eastAsia" w:ascii="仿宋_GB2312" w:hAnsi="仿宋"/>
          <w:color w:val="auto"/>
          <w:szCs w:val="32"/>
        </w:rPr>
        <w:t>年</w:t>
      </w:r>
      <w:r>
        <w:rPr>
          <w:rFonts w:hint="eastAsia" w:ascii="仿宋_GB2312" w:hAnsi="仿宋"/>
          <w:color w:val="auto"/>
          <w:szCs w:val="32"/>
          <w:lang w:eastAsia="zh-CN"/>
        </w:rPr>
        <w:t>没有安排</w:t>
      </w:r>
      <w:r>
        <w:rPr>
          <w:rFonts w:hint="eastAsia" w:ascii="仿宋_GB2312" w:hAnsi="仿宋"/>
          <w:color w:val="auto"/>
          <w:szCs w:val="32"/>
        </w:rPr>
        <w:t>公务用车</w:t>
      </w:r>
      <w:r>
        <w:rPr>
          <w:rFonts w:hint="eastAsia" w:ascii="仿宋_GB2312" w:hAnsi="仿宋"/>
          <w:color w:val="auto"/>
          <w:szCs w:val="32"/>
          <w:lang w:eastAsia="zh-CN"/>
        </w:rPr>
        <w:t>购置费</w:t>
      </w:r>
      <w:r>
        <w:rPr>
          <w:rFonts w:hint="eastAsia" w:ascii="仿宋_GB2312" w:hAnsi="仿宋"/>
          <w:color w:val="auto"/>
          <w:szCs w:val="32"/>
        </w:rPr>
        <w:t>。</w:t>
      </w:r>
    </w:p>
    <w:p>
      <w:pPr>
        <w:pStyle w:val="2"/>
        <w:rPr>
          <w:rFonts w:hint="eastAsia"/>
        </w:rPr>
      </w:pPr>
    </w:p>
    <w:p>
      <w:pPr>
        <w:pStyle w:val="2"/>
        <w:rPr>
          <w:rFonts w:hint="eastAsia" w:ascii="仿宋" w:hAnsi="仿宋" w:eastAsia="仿宋" w:cs="仿宋"/>
          <w:b w:val="0"/>
          <w:bCs/>
          <w:color w:val="auto"/>
          <w:sz w:val="32"/>
          <w:szCs w:val="32"/>
          <w:lang w:eastAsia="zh-CN"/>
        </w:rPr>
      </w:pPr>
    </w:p>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YTQ0ZTk5MTQzOGJmOWVlYmU5Njk3ODE1MjkzOTMifQ=="/>
  </w:docVars>
  <w:rsids>
    <w:rsidRoot w:val="4A8C7500"/>
    <w:rsid w:val="4A8C7500"/>
    <w:rsid w:val="4AFF2BD5"/>
    <w:rsid w:val="567D0B3A"/>
    <w:rsid w:val="58D6758D"/>
    <w:rsid w:val="598B15FB"/>
    <w:rsid w:val="5FE00ABF"/>
    <w:rsid w:val="77B66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891</Words>
  <Characters>944</Characters>
  <Lines>0</Lines>
  <Paragraphs>0</Paragraphs>
  <TotalTime>2</TotalTime>
  <ScaleCrop>false</ScaleCrop>
  <LinksUpToDate>false</LinksUpToDate>
  <CharactersWithSpaces>1024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2024-07-25T08:31:00Z</dcterms:created>
  <dc:creator>Administrator</dc:creator>
  <cp:lastModifiedBy>Administrator</cp:lastModifiedBy>
  <dcterms:modified xsi:type="dcterms:W3CDTF">2024-07-29T01:03:02Z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2ACA7F97419F4098827CF23795078E66_13</vt:lpwstr>
  </property>
</Properties>
</file>