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4E555">
      <w:pPr>
        <w:jc w:val="center"/>
        <w:rPr>
          <w:rFonts w:hint="eastAsia" w:ascii="宋体" w:hAnsi="宋体"/>
          <w:b/>
          <w:color w:val="auto"/>
          <w:sz w:val="36"/>
          <w:szCs w:val="36"/>
          <w:lang w:val="en-US" w:eastAsia="zh-CN"/>
        </w:rPr>
      </w:pPr>
    </w:p>
    <w:p w14:paraId="3724706C">
      <w:pPr>
        <w:jc w:val="center"/>
        <w:rPr>
          <w:rFonts w:hint="eastAsia" w:ascii="宋体" w:hAnsi="宋体"/>
          <w:b/>
          <w:color w:val="auto"/>
          <w:sz w:val="36"/>
          <w:szCs w:val="36"/>
        </w:rPr>
      </w:pPr>
      <w:r>
        <w:rPr>
          <w:rFonts w:hint="eastAsia" w:ascii="宋体" w:hAnsi="宋体"/>
          <w:b/>
          <w:color w:val="auto"/>
          <w:sz w:val="36"/>
          <w:szCs w:val="36"/>
          <w:lang w:val="en-US" w:eastAsia="zh-CN"/>
        </w:rPr>
        <w:t>淮北市相山区机关事务管理中心</w:t>
      </w:r>
      <w:r>
        <w:rPr>
          <w:rFonts w:hint="eastAsia" w:ascii="宋体" w:hAnsi="宋体"/>
          <w:b/>
          <w:color w:val="auto"/>
          <w:sz w:val="36"/>
          <w:szCs w:val="36"/>
          <w:lang w:eastAsia="zh-CN"/>
        </w:rPr>
        <w:t>2023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25BCDB43">
      <w:pPr>
        <w:jc w:val="center"/>
        <w:rPr>
          <w:rFonts w:hint="eastAsia" w:ascii="楷体_GB2312" w:eastAsia="楷体_GB2312"/>
          <w:color w:val="auto"/>
          <w:szCs w:val="32"/>
        </w:rPr>
      </w:pPr>
    </w:p>
    <w:p w14:paraId="69BD29BB">
      <w:pPr>
        <w:pStyle w:val="2"/>
        <w:rPr>
          <w:rFonts w:hint="eastAsia"/>
          <w:color w:val="auto"/>
        </w:rPr>
      </w:pPr>
    </w:p>
    <w:p w14:paraId="58ADF19D">
      <w:pPr>
        <w:adjustRightInd w:val="0"/>
        <w:snapToGrid w:val="0"/>
        <w:spacing w:line="360" w:lineRule="auto"/>
        <w:jc w:val="center"/>
        <w:rPr>
          <w:rFonts w:hint="eastAsia" w:ascii="宋体" w:hAnsi="宋体"/>
          <w:color w:val="auto"/>
          <w:sz w:val="6"/>
          <w:szCs w:val="32"/>
        </w:rPr>
      </w:pPr>
    </w:p>
    <w:p w14:paraId="71E260F7">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2023</w:t>
      </w:r>
      <w:r>
        <w:rPr>
          <w:rFonts w:hint="eastAsia" w:ascii="黑体" w:hAnsi="黑体" w:eastAsia="黑体"/>
          <w:color w:val="auto"/>
          <w:szCs w:val="32"/>
        </w:rPr>
        <w:t>年度一般公共预算财政拨款“三公”经费支出决算表</w:t>
      </w:r>
    </w:p>
    <w:p w14:paraId="758A93DA">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7718EC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3B1BBA55">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7935166">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F8706B4">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13C3701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2B31371">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32A10456">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94.86</w:t>
            </w:r>
          </w:p>
        </w:tc>
        <w:tc>
          <w:tcPr>
            <w:tcW w:w="2220" w:type="dxa"/>
            <w:tcBorders>
              <w:top w:val="nil"/>
              <w:left w:val="nil"/>
              <w:bottom w:val="single" w:color="auto" w:sz="4" w:space="0"/>
              <w:right w:val="single" w:color="auto" w:sz="4" w:space="0"/>
            </w:tcBorders>
            <w:noWrap w:val="0"/>
            <w:vAlign w:val="center"/>
          </w:tcPr>
          <w:p w14:paraId="6EE28458">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94.86</w:t>
            </w:r>
          </w:p>
        </w:tc>
      </w:tr>
      <w:tr w14:paraId="2F22E95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A501EE4">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2EE03FE5">
            <w:pPr>
              <w:widowControl/>
              <w:jc w:val="right"/>
              <w:rPr>
                <w:rFonts w:hint="eastAsia"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6AA135C8">
            <w:pPr>
              <w:widowControl/>
              <w:jc w:val="right"/>
              <w:rPr>
                <w:rFonts w:hint="eastAsia" w:ascii="宋体" w:hAnsi="宋体" w:cs="宋体"/>
                <w:color w:val="auto"/>
                <w:kern w:val="0"/>
                <w:szCs w:val="21"/>
              </w:rPr>
            </w:pPr>
            <w:r>
              <w:rPr>
                <w:rFonts w:hint="eastAsia" w:ascii="宋体" w:hAnsi="宋体" w:cs="宋体"/>
                <w:color w:val="auto"/>
                <w:kern w:val="0"/>
                <w:szCs w:val="21"/>
              </w:rPr>
              <w:t>　</w:t>
            </w:r>
          </w:p>
        </w:tc>
      </w:tr>
      <w:tr w14:paraId="20FC9EF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CDD0C6B">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center"/>
          </w:tcPr>
          <w:p w14:paraId="393C5092">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1.28</w:t>
            </w:r>
          </w:p>
        </w:tc>
        <w:tc>
          <w:tcPr>
            <w:tcW w:w="2220" w:type="dxa"/>
            <w:tcBorders>
              <w:top w:val="nil"/>
              <w:left w:val="nil"/>
              <w:bottom w:val="single" w:color="auto" w:sz="4" w:space="0"/>
              <w:right w:val="single" w:color="auto" w:sz="4" w:space="0"/>
            </w:tcBorders>
            <w:noWrap w:val="0"/>
            <w:vAlign w:val="center"/>
          </w:tcPr>
          <w:p w14:paraId="30F8946B">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1.28</w:t>
            </w:r>
          </w:p>
        </w:tc>
      </w:tr>
      <w:tr w14:paraId="4089C32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CB0E6A1">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center"/>
          </w:tcPr>
          <w:p w14:paraId="188FAAE7">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93.58</w:t>
            </w:r>
          </w:p>
        </w:tc>
        <w:tc>
          <w:tcPr>
            <w:tcW w:w="2220" w:type="dxa"/>
            <w:tcBorders>
              <w:top w:val="nil"/>
              <w:left w:val="nil"/>
              <w:bottom w:val="single" w:color="auto" w:sz="4" w:space="0"/>
              <w:right w:val="single" w:color="auto" w:sz="4" w:space="0"/>
            </w:tcBorders>
            <w:noWrap w:val="0"/>
            <w:vAlign w:val="center"/>
          </w:tcPr>
          <w:p w14:paraId="12769556">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93.58</w:t>
            </w:r>
          </w:p>
        </w:tc>
      </w:tr>
      <w:tr w14:paraId="3AE6D6B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B80EEED">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center"/>
          </w:tcPr>
          <w:p w14:paraId="596D0B5A">
            <w:pPr>
              <w:jc w:val="right"/>
              <w:rPr>
                <w:rFonts w:hint="eastAsia" w:ascii="宋体" w:hAnsi="宋体" w:eastAsia="仿宋_GB2312" w:cs="宋体"/>
                <w:color w:val="auto"/>
                <w:kern w:val="0"/>
                <w:sz w:val="32"/>
                <w:szCs w:val="21"/>
                <w:lang w:val="en-US" w:eastAsia="zh-CN" w:bidi="ar-SA"/>
              </w:rPr>
            </w:pPr>
          </w:p>
        </w:tc>
        <w:tc>
          <w:tcPr>
            <w:tcW w:w="2220" w:type="dxa"/>
            <w:tcBorders>
              <w:top w:val="nil"/>
              <w:left w:val="nil"/>
              <w:bottom w:val="single" w:color="auto" w:sz="4" w:space="0"/>
              <w:right w:val="single" w:color="auto" w:sz="4" w:space="0"/>
            </w:tcBorders>
            <w:noWrap w:val="0"/>
            <w:vAlign w:val="center"/>
          </w:tcPr>
          <w:p w14:paraId="14DF5E3B">
            <w:pPr>
              <w:jc w:val="right"/>
              <w:rPr>
                <w:rFonts w:hint="eastAsia" w:ascii="宋体" w:hAnsi="宋体" w:eastAsia="仿宋_GB2312" w:cs="宋体"/>
                <w:color w:val="auto"/>
                <w:kern w:val="0"/>
                <w:sz w:val="32"/>
                <w:szCs w:val="21"/>
                <w:lang w:val="en-US" w:eastAsia="zh-CN" w:bidi="ar-SA"/>
              </w:rPr>
            </w:pPr>
          </w:p>
        </w:tc>
      </w:tr>
      <w:tr w14:paraId="73FCCC0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4DF88C2">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center"/>
          </w:tcPr>
          <w:p w14:paraId="67C49402">
            <w:pPr>
              <w:widowControl/>
              <w:jc w:val="right"/>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93.58</w:t>
            </w:r>
          </w:p>
        </w:tc>
        <w:tc>
          <w:tcPr>
            <w:tcW w:w="2220" w:type="dxa"/>
            <w:tcBorders>
              <w:top w:val="nil"/>
              <w:left w:val="nil"/>
              <w:bottom w:val="single" w:color="auto" w:sz="4" w:space="0"/>
              <w:right w:val="single" w:color="auto" w:sz="4" w:space="0"/>
            </w:tcBorders>
            <w:noWrap w:val="0"/>
            <w:vAlign w:val="center"/>
          </w:tcPr>
          <w:p w14:paraId="7365B3C4">
            <w:pPr>
              <w:widowControl/>
              <w:jc w:val="right"/>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93.58</w:t>
            </w:r>
          </w:p>
        </w:tc>
      </w:tr>
    </w:tbl>
    <w:p w14:paraId="31FA41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624291A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03079D4A">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37B86B67">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4D3F5BA4">
      <w:pPr>
        <w:rPr>
          <w:rFonts w:hint="eastAsia" w:ascii="楷体_GB2312" w:hAnsi="仿宋" w:eastAsia="楷体_GB2312"/>
          <w:color w:val="auto"/>
          <w:szCs w:val="32"/>
        </w:rPr>
      </w:pPr>
      <w:r>
        <w:rPr>
          <w:rFonts w:hint="eastAsia" w:ascii="仿宋_GB2312" w:hAnsi="仿宋"/>
          <w:color w:val="auto"/>
          <w:szCs w:val="32"/>
          <w:lang w:val="en-US" w:eastAsia="zh-CN"/>
        </w:rPr>
        <w:t>淮北市相山区机关事务管理中心</w:t>
      </w:r>
      <w:r>
        <w:rPr>
          <w:rFonts w:hint="eastAsia" w:ascii="仿宋_GB2312" w:hAnsi="仿宋"/>
          <w:color w:val="auto"/>
          <w:szCs w:val="32"/>
          <w:lang w:eastAsia="zh-CN"/>
        </w:rPr>
        <w:t>2023</w:t>
      </w:r>
      <w:r>
        <w:rPr>
          <w:rFonts w:hint="eastAsia" w:ascii="仿宋_GB2312" w:hAnsi="仿宋"/>
          <w:color w:val="auto"/>
          <w:szCs w:val="32"/>
        </w:rPr>
        <w:t>年度一般公共预算财政拨款“三公”经费支出预算为94.86万元，支出决算</w:t>
      </w:r>
      <w:r>
        <w:rPr>
          <w:rFonts w:hint="eastAsia" w:ascii="仿宋_GB2312" w:hAnsi="仿宋"/>
          <w:color w:val="auto"/>
          <w:szCs w:val="32"/>
          <w:lang w:eastAsia="zh-CN"/>
        </w:rPr>
        <w:t>为</w:t>
      </w:r>
      <w:r>
        <w:rPr>
          <w:rFonts w:hint="eastAsia" w:ascii="仿宋_GB2312" w:hAnsi="仿宋"/>
          <w:color w:val="auto"/>
          <w:szCs w:val="32"/>
        </w:rPr>
        <w:t>94.86万元，完成预算的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44.85</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32.1%。</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highlight w:val="none"/>
          <w:lang w:eastAsia="zh-CN"/>
        </w:rPr>
        <w:t>政策性压减</w:t>
      </w:r>
      <w:r>
        <w:rPr>
          <w:rFonts w:hint="eastAsia" w:ascii="仿宋_GB2312" w:hAnsi="仿宋"/>
          <w:color w:val="auto"/>
          <w:szCs w:val="32"/>
          <w:u w:val="none"/>
        </w:rPr>
        <w:t>。</w:t>
      </w:r>
    </w:p>
    <w:p w14:paraId="6BF2D492">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69018BB0">
      <w:pPr>
        <w:ind w:firstLine="628" w:firstLineChars="200"/>
        <w:rPr>
          <w:rFonts w:hint="eastAsia" w:ascii="仿宋_GB2312" w:hAnsi="仿宋"/>
          <w:color w:val="auto"/>
          <w:szCs w:val="32"/>
        </w:rPr>
      </w:pPr>
      <w:r>
        <w:rPr>
          <w:rFonts w:hint="eastAsia" w:ascii="仿宋_GB2312" w:hAnsi="仿宋"/>
          <w:color w:val="auto"/>
          <w:szCs w:val="32"/>
          <w:lang w:val="en-US" w:eastAsia="zh-CN"/>
        </w:rPr>
        <w:t>淮北市相山区机关事务管理中心</w:t>
      </w:r>
      <w:r>
        <w:rPr>
          <w:rFonts w:hint="eastAsia" w:ascii="仿宋_GB2312" w:hAnsi="仿宋"/>
          <w:color w:val="auto"/>
          <w:szCs w:val="32"/>
          <w:lang w:eastAsia="zh-CN"/>
        </w:rPr>
        <w:t>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1.28</w:t>
      </w:r>
      <w:r>
        <w:rPr>
          <w:rFonts w:hint="eastAsia" w:ascii="仿宋_GB2312" w:hAnsi="仿宋"/>
          <w:color w:val="auto"/>
          <w:szCs w:val="32"/>
        </w:rPr>
        <w:t>万元，占</w:t>
      </w:r>
      <w:r>
        <w:rPr>
          <w:rFonts w:hint="eastAsia" w:ascii="仿宋_GB2312" w:hAnsi="仿宋"/>
          <w:color w:val="auto"/>
          <w:szCs w:val="32"/>
          <w:lang w:val="en-US" w:eastAsia="zh-CN"/>
        </w:rPr>
        <w:t>0.14</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93.58</w:t>
      </w:r>
      <w:r>
        <w:rPr>
          <w:rFonts w:hint="eastAsia" w:ascii="仿宋_GB2312" w:hAnsi="仿宋"/>
          <w:color w:val="auto"/>
          <w:szCs w:val="32"/>
        </w:rPr>
        <w:t>万元，占</w:t>
      </w:r>
      <w:r>
        <w:rPr>
          <w:rFonts w:hint="eastAsia" w:ascii="仿宋_GB2312" w:hAnsi="仿宋"/>
          <w:color w:val="auto"/>
          <w:szCs w:val="32"/>
          <w:lang w:val="en-US" w:eastAsia="zh-CN"/>
        </w:rPr>
        <w:t>98.65</w:t>
      </w:r>
      <w:r>
        <w:rPr>
          <w:rFonts w:hint="eastAsia" w:ascii="仿宋_GB2312" w:hAnsi="仿宋"/>
          <w:color w:val="auto"/>
          <w:szCs w:val="32"/>
        </w:rPr>
        <w:t>%。具体情况如下：</w:t>
      </w:r>
    </w:p>
    <w:p w14:paraId="7EA7E8D1">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hAnsi="仿宋" w:cs="Times New Roman"/>
          <w:color w:val="auto"/>
          <w:szCs w:val="32"/>
          <w:lang w:val="en-US" w:eastAsia="zh-CN"/>
        </w:rPr>
      </w:pPr>
      <w:r>
        <w:rPr>
          <w:rFonts w:hint="eastAsia" w:ascii="仿宋_GB2312" w:hAnsi="仿宋"/>
          <w:b/>
          <w:bCs/>
          <w:color w:val="auto"/>
          <w:szCs w:val="32"/>
        </w:rPr>
        <w:t>1.因公出国（境）费</w:t>
      </w:r>
      <w:r>
        <w:rPr>
          <w:rFonts w:hint="eastAsia" w:ascii="仿宋_GB2312" w:hAnsi="仿宋" w:cs="Times New Roman"/>
          <w:color w:val="auto"/>
          <w:szCs w:val="32"/>
          <w:lang w:val="en-US" w:eastAsia="zh-CN"/>
        </w:rPr>
        <w:t>预算为0万元，支出决算为0万元，完成预算的100%；较上年减少0万元，下降0%。决算数等于预算数、等于2022年决算数的原因是2022年、2023年均未安排因公出国（境）计划。2023年淮北市相山区机关事务管理中心因公出国（境）团组0次，累计出国（境）0人次。</w:t>
      </w:r>
    </w:p>
    <w:p w14:paraId="69F388FA">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1.28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1.28万元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1.73</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57.48%。</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lang w:val="en-US" w:eastAsia="zh-CN"/>
        </w:rPr>
        <w:t>节俭开支，节约经费</w:t>
      </w:r>
      <w:r>
        <w:rPr>
          <w:rFonts w:hint="eastAsia" w:ascii="仿宋_GB2312" w:hAnsi="仿宋"/>
          <w:color w:val="auto"/>
          <w:szCs w:val="32"/>
          <w:u w:val="none"/>
        </w:rPr>
        <w:t>。</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淮北市相山区机关事务管理中心</w:t>
      </w:r>
      <w:r>
        <w:rPr>
          <w:rFonts w:hint="eastAsia" w:ascii="仿宋_GB2312" w:hAnsi="仿宋"/>
          <w:color w:val="auto"/>
          <w:szCs w:val="32"/>
        </w:rPr>
        <w:t>国内公务接待共</w:t>
      </w:r>
      <w:r>
        <w:rPr>
          <w:rFonts w:hint="eastAsia" w:ascii="仿宋_GB2312" w:hAnsi="仿宋"/>
          <w:color w:val="auto"/>
          <w:szCs w:val="32"/>
          <w:lang w:val="en-US" w:eastAsia="zh-CN"/>
        </w:rPr>
        <w:t>11</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85</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eastAsia="zh-CN"/>
        </w:rPr>
        <w:t>招商接待</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w:t>
      </w:r>
      <w:r>
        <w:rPr>
          <w:rFonts w:hint="eastAsia" w:ascii="仿宋_GB2312" w:hAnsi="仿宋"/>
          <w:color w:val="auto"/>
          <w:szCs w:val="32"/>
        </w:rPr>
        <w:t>严格执行《党政机关厉行节约反对浪费条例》、</w:t>
      </w:r>
      <w:r>
        <w:rPr>
          <w:rFonts w:hint="eastAsia" w:ascii="仿宋_GB2312" w:hAnsi="仿宋"/>
          <w:color w:val="auto"/>
          <w:szCs w:val="32"/>
          <w:lang w:eastAsia="zh-CN"/>
        </w:rPr>
        <w:t>相山区</w:t>
      </w:r>
      <w:r>
        <w:rPr>
          <w:rFonts w:hint="eastAsia" w:ascii="仿宋_GB2312" w:hAnsi="仿宋"/>
          <w:color w:val="auto"/>
          <w:szCs w:val="32"/>
        </w:rPr>
        <w:t>公务接待相关规定等</w:t>
      </w:r>
      <w:r>
        <w:rPr>
          <w:rFonts w:hint="eastAsia" w:ascii="仿宋_GB2312" w:hAnsi="仿宋"/>
          <w:color w:val="auto"/>
          <w:szCs w:val="32"/>
        </w:rPr>
        <w:t>。</w:t>
      </w:r>
    </w:p>
    <w:p w14:paraId="39EC5C4C">
      <w:pPr>
        <w:ind w:firstLine="628" w:firstLineChars="200"/>
        <w:rPr>
          <w:rFonts w:hint="eastAsia"/>
          <w:color w:val="auto"/>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93.58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93.58万元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43.12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31.54%。</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lang w:val="en-US" w:eastAsia="zh-CN"/>
        </w:rPr>
        <w:t>节俭开支，节约经费</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较上年无</w:t>
      </w:r>
      <w:bookmarkStart w:id="0" w:name="_GoBack"/>
      <w:bookmarkEnd w:id="0"/>
      <w:r>
        <w:rPr>
          <w:rFonts w:hint="eastAsia" w:ascii="仿宋_GB2312" w:hAnsi="仿宋"/>
          <w:color w:val="auto"/>
          <w:szCs w:val="32"/>
          <w:u w:val="none"/>
          <w:lang w:eastAsia="zh-CN"/>
        </w:rPr>
        <w:t>变化</w:t>
      </w:r>
      <w:r>
        <w:rPr>
          <w:rFonts w:hint="eastAsia" w:ascii="仿宋_GB2312" w:hAnsi="仿宋"/>
          <w:color w:val="auto"/>
          <w:szCs w:val="32"/>
          <w:u w:val="none"/>
          <w:lang w:val="en-US" w:eastAsia="zh-CN"/>
        </w:rPr>
        <w:t>。</w:t>
      </w:r>
      <w:r>
        <w:rPr>
          <w:rFonts w:hint="eastAsia" w:ascii="楷体_GB2312" w:hAnsi="楷体_GB2312" w:eastAsia="楷体_GB2312" w:cs="楷体_GB2312"/>
          <w:color w:val="auto"/>
          <w:szCs w:val="32"/>
          <w:lang w:eastAsia="zh-CN"/>
        </w:rPr>
        <w:t>2023</w:t>
      </w:r>
      <w:r>
        <w:rPr>
          <w:rFonts w:hint="eastAsia" w:ascii="楷体_GB2312" w:hAnsi="楷体_GB2312" w:eastAsia="楷体_GB2312" w:cs="楷体_GB2312"/>
          <w:color w:val="auto"/>
          <w:szCs w:val="32"/>
        </w:rPr>
        <w:t>年没有安排公务用车购置费</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93.58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93.58万元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43.12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31.54%。</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较上年减少（增加）</w:t>
      </w:r>
      <w:r>
        <w:rPr>
          <w:rFonts w:hint="eastAsia" w:ascii="仿宋_GB2312" w:hAnsi="仿宋"/>
          <w:color w:val="auto"/>
          <w:szCs w:val="32"/>
          <w:u w:val="none"/>
        </w:rPr>
        <w:t>的主要原因是</w:t>
      </w:r>
      <w:r>
        <w:rPr>
          <w:rFonts w:hint="eastAsia" w:ascii="仿宋_GB2312" w:hAnsi="仿宋"/>
          <w:color w:val="auto"/>
          <w:szCs w:val="32"/>
          <w:lang w:val="en-US" w:eastAsia="zh-CN"/>
        </w:rPr>
        <w:t>节俭开支，节约经费</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仿宋"/>
          <w:color w:val="auto"/>
          <w:szCs w:val="32"/>
          <w:lang w:eastAsia="zh-CN"/>
        </w:rPr>
        <w:t>保障各用车单位正常出行</w:t>
      </w:r>
      <w:r>
        <w:rPr>
          <w:rFonts w:hint="eastAsia" w:ascii="仿宋_GB2312" w:hAnsi="仿宋"/>
          <w:color w:val="auto"/>
          <w:szCs w:val="32"/>
        </w:rPr>
        <w:t>。</w:t>
      </w:r>
      <w:r>
        <w:rPr>
          <w:rFonts w:hint="eastAsia" w:ascii="仿宋_GB2312" w:hAnsi="仿宋"/>
          <w:color w:val="auto"/>
          <w:szCs w:val="32"/>
        </w:rPr>
        <w:t>截至</w:t>
      </w:r>
      <w:r>
        <w:rPr>
          <w:rFonts w:hint="eastAsia" w:ascii="仿宋_GB2312" w:hAnsi="仿宋"/>
          <w:color w:val="auto"/>
          <w:szCs w:val="32"/>
          <w:lang w:eastAsia="zh-CN"/>
        </w:rPr>
        <w:t>2023</w:t>
      </w:r>
      <w:r>
        <w:rPr>
          <w:rFonts w:hint="eastAsia" w:ascii="仿宋_GB2312" w:hAnsi="仿宋"/>
          <w:color w:val="auto"/>
          <w:szCs w:val="32"/>
        </w:rPr>
        <w:t>年12月31日，</w:t>
      </w:r>
      <w:r>
        <w:rPr>
          <w:rFonts w:hint="eastAsia" w:ascii="仿宋_GB2312" w:hAnsi="仿宋"/>
          <w:color w:val="auto"/>
          <w:szCs w:val="32"/>
          <w:lang w:val="en-US" w:eastAsia="zh-CN"/>
        </w:rPr>
        <w:t>淮北市相山区机关事务管理中心</w:t>
      </w:r>
      <w:r>
        <w:rPr>
          <w:rFonts w:hint="eastAsia" w:ascii="仿宋_GB2312" w:hAnsi="仿宋"/>
          <w:color w:val="auto"/>
          <w:szCs w:val="32"/>
        </w:rPr>
        <w:t>机</w:t>
      </w:r>
      <w:r>
        <w:rPr>
          <w:rFonts w:hint="eastAsia" w:ascii="仿宋_GB2312" w:hAnsi="仿宋" w:cs="Times New Roman"/>
          <w:color w:val="auto"/>
          <w:szCs w:val="32"/>
          <w:lang w:eastAsia="zh-CN"/>
        </w:rPr>
        <w:t>关</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52</w:t>
      </w:r>
      <w:r>
        <w:rPr>
          <w:rFonts w:hint="eastAsia" w:ascii="仿宋_GB2312" w:hAnsi="仿宋"/>
          <w:color w:val="auto"/>
          <w:szCs w:val="32"/>
        </w:rPr>
        <w:t>辆。</w:t>
      </w:r>
    </w:p>
    <w:p w14:paraId="541EB2EA">
      <w:pPr>
        <w:pStyle w:val="2"/>
        <w:rPr>
          <w:rFonts w:hint="eastAsia" w:ascii="仿宋" w:hAnsi="仿宋" w:eastAsia="仿宋" w:cs="仿宋"/>
          <w:b w:val="0"/>
          <w:bCs/>
          <w:color w:val="auto"/>
          <w:sz w:val="32"/>
          <w:szCs w:val="32"/>
          <w:lang w:eastAsia="zh-CN"/>
        </w:rPr>
      </w:pPr>
    </w:p>
    <w:p w14:paraId="300AEDD7">
      <w:pPr>
        <w:rPr>
          <w:color w:val="auto"/>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5FF4">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14715809">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6A68">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7DA81DE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2YzYTNhYTZhYzlhZjI4ZTg3MmMzZjFhMzRhNmEifQ=="/>
  </w:docVars>
  <w:rsids>
    <w:rsidRoot w:val="3F2C4A58"/>
    <w:rsid w:val="0CFF05B1"/>
    <w:rsid w:val="356279EA"/>
    <w:rsid w:val="3C524050"/>
    <w:rsid w:val="3F2C4A58"/>
    <w:rsid w:val="440920A4"/>
    <w:rsid w:val="497E0E3E"/>
    <w:rsid w:val="4B9F32EE"/>
    <w:rsid w:val="4E2F5BAD"/>
    <w:rsid w:val="4E9E163B"/>
    <w:rsid w:val="5F9F5213"/>
    <w:rsid w:val="617E77D6"/>
    <w:rsid w:val="6640264D"/>
    <w:rsid w:val="75C612F4"/>
    <w:rsid w:val="75D05CCE"/>
    <w:rsid w:val="784A1D68"/>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1560</Words>
  <Characters>1746</Characters>
  <Lines>0</Lines>
  <Paragraphs>0</Paragraphs>
  <TotalTime>1</TotalTime>
  <ScaleCrop>false</ScaleCrop>
  <LinksUpToDate>false</LinksUpToDate>
  <CharactersWithSpaces>1814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2024-08-20T01:58:00Z</dcterms:created>
  <dc:creator>红袖</dc:creator>
  <cp:lastModifiedBy>红袖</cp:lastModifiedBy>
  <dcterms:modified xsi:type="dcterms:W3CDTF">2024-08-21T02:07:27Z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D4A4D9F058CE4FF6BE83BC773706AB31_11</vt:lpwstr>
  </property>
</Properties>
</file>