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45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default" w:ascii="Times New Roman" w:hAnsi="Times New Roman" w:eastAsia="方正小标宋_GBK" w:cs="Times New Roman"/>
          <w:b w:val="0"/>
          <w:bCs w:val="0"/>
          <w:i w:val="0"/>
          <w:iCs w:val="0"/>
          <w:caps w:val="0"/>
          <w:color w:val="333333"/>
          <w:spacing w:val="0"/>
          <w:sz w:val="44"/>
          <w:szCs w:val="44"/>
          <w:shd w:val="clear" w:fill="FFFFFF"/>
        </w:rPr>
      </w:pPr>
      <w:r>
        <w:rPr>
          <w:rFonts w:hint="default" w:ascii="Times New Roman" w:hAnsi="Times New Roman" w:eastAsia="方正小标宋_GBK" w:cs="Times New Roman"/>
          <w:b w:val="0"/>
          <w:bCs w:val="0"/>
          <w:i w:val="0"/>
          <w:iCs w:val="0"/>
          <w:caps w:val="0"/>
          <w:color w:val="333333"/>
          <w:spacing w:val="0"/>
          <w:sz w:val="44"/>
          <w:szCs w:val="44"/>
          <w:shd w:val="clear" w:fill="FFFFFF"/>
        </w:rPr>
        <w:t>相山区应急管理局</w:t>
      </w:r>
    </w:p>
    <w:p w14:paraId="07B25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default" w:ascii="Times New Roman" w:hAnsi="Times New Roman" w:eastAsia="方正小标宋_GBK" w:cs="Times New Roman"/>
          <w:b w:val="0"/>
          <w:bCs w:val="0"/>
          <w:i w:val="0"/>
          <w:iCs w:val="0"/>
          <w:caps w:val="0"/>
          <w:color w:val="333333"/>
          <w:spacing w:val="0"/>
          <w:sz w:val="44"/>
          <w:szCs w:val="44"/>
          <w:shd w:val="clear" w:fill="FFFFFF"/>
        </w:rPr>
      </w:pPr>
      <w:r>
        <w:rPr>
          <w:rFonts w:hint="default" w:ascii="Times New Roman" w:hAnsi="Times New Roman" w:eastAsia="方正小标宋_GBK" w:cs="Times New Roman"/>
          <w:b w:val="0"/>
          <w:bCs w:val="0"/>
          <w:i w:val="0"/>
          <w:iCs w:val="0"/>
          <w:caps w:val="0"/>
          <w:color w:val="333333"/>
          <w:spacing w:val="0"/>
          <w:sz w:val="44"/>
          <w:szCs w:val="44"/>
          <w:shd w:val="clear" w:fill="FFFFFF"/>
        </w:rPr>
        <w:t>202</w:t>
      </w:r>
      <w:r>
        <w:rPr>
          <w:rFonts w:hint="eastAsia" w:ascii="Times New Roman" w:hAnsi="Times New Roman" w:eastAsia="方正小标宋_GBK" w:cs="Times New Roman"/>
          <w:b w:val="0"/>
          <w:bCs w:val="0"/>
          <w:i w:val="0"/>
          <w:iCs w:val="0"/>
          <w:caps w:val="0"/>
          <w:color w:val="333333"/>
          <w:spacing w:val="0"/>
          <w:sz w:val="44"/>
          <w:szCs w:val="44"/>
          <w:shd w:val="clear" w:fill="FFFFFF"/>
          <w:lang w:val="en-US" w:eastAsia="zh-CN"/>
        </w:rPr>
        <w:t>2</w:t>
      </w:r>
      <w:r>
        <w:rPr>
          <w:rFonts w:hint="default" w:ascii="Times New Roman" w:hAnsi="Times New Roman" w:eastAsia="方正小标宋_GBK" w:cs="Times New Roman"/>
          <w:b w:val="0"/>
          <w:bCs w:val="0"/>
          <w:i w:val="0"/>
          <w:iCs w:val="0"/>
          <w:caps w:val="0"/>
          <w:color w:val="333333"/>
          <w:spacing w:val="0"/>
          <w:sz w:val="44"/>
          <w:szCs w:val="44"/>
          <w:shd w:val="clear" w:fill="FFFFFF"/>
        </w:rPr>
        <w:t>年政府信息公开工作年度报告</w:t>
      </w:r>
    </w:p>
    <w:p w14:paraId="6A32465B">
      <w:pPr>
        <w:pStyle w:val="3"/>
        <w:widowControl/>
        <w:shd w:val="clear" w:color="auto" w:fill="FFFFFF"/>
        <w:spacing w:before="0" w:beforeLines="0" w:beforeAutospacing="0" w:after="0" w:afterLines="0" w:afterAutospacing="0" w:line="509" w:lineRule="atLeast"/>
        <w:ind w:firstLine="640" w:firstLineChars="200"/>
        <w:jc w:val="both"/>
        <w:rPr>
          <w:rFonts w:hint="default"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依据《中华人民共和国政府信息公开条例》（国务院令第711号）、《国务院办公厅政府信息与政务公开办公室关于印发&lt;中华人民共和国政府信息公开工作年度报告格式&gt;的通知》（国办公开办函〔2021〕30号）、《安徽省政务公开办公室关于做好2022年度政府信息公开工作年度报告编制和数据报送工作的通知》（皖政务办秘〔2023〕1号）要求，结合2022年度本单位政府信息公开工作推进落实情况和有关统计数据撰写本报告。报告主要包括：总体情况、主动公开政府信息情况、收到和处理政府信息公开申请情况、因政府信息公开被申请行政复议和提起行政诉讼情况、政府信息公开工作存在主要问题及改进情况和其他需要报告的事项。除特别说明的外，所列数据统计时限为2022年1月1日至2022年12月31日。如对本年度报告有任何疑问，请与相山区应急管理局联系（地址：孟山北路85号，邮编：235000；电话：0561-3193526，电子邮箱：xsqyjglj@163.com）。</w:t>
      </w:r>
    </w:p>
    <w:p w14:paraId="3F284E30">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一、总体情况</w:t>
      </w:r>
    </w:p>
    <w:p w14:paraId="5649CDD7">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（一）主动公开情况</w:t>
      </w:r>
    </w:p>
    <w:p w14:paraId="5308BA15">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2022年，我局依托区政府信息公开网站共发布信息3454条。其中，公开年报1条，公开制度2条，依申请公开目录12条，政策法规15条，重大决策预公开9条，规划计划13条，决策部署落实情况8条，建议提案办理15条，机构领导及设置58条，财政资金20条，乡村振兴2条，应急管理60条，权责清单和动态调整情况13条，公共服务清单和中介服务5条，行政权力运行49条，“双随机一公开”8条，招标采购8条，新闻发布9条，上级政策解读5条，本级政策解读18条，回应关切11条，，监督保障18条，新媒体应用2条。全年无受理、办结依申请公开事项。目前，本机关文件从生成到上网公开平均需要1个工作日，最长需要3个工作日。</w:t>
      </w:r>
    </w:p>
    <w:p w14:paraId="5BD4C42A">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（二）依申请公开情况</w:t>
      </w:r>
    </w:p>
    <w:p w14:paraId="07BDB859">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根据《相山区应急管理局依申请公开制度》等文件要求，我局在区政府网站设置了“政府信息公开指南”和“依申请公开”专栏，按规定程序受理、审核、处理和答复。2022年度共受理依申请公开0件。</w:t>
      </w:r>
    </w:p>
    <w:p w14:paraId="6763CD8E">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（三）政府信息管理</w:t>
      </w:r>
    </w:p>
    <w:p w14:paraId="4002201A">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一、严格落实“先审查后公开”和“一事一审”信息发布审核制度，对主动公开的信息依法实行“多人核验、逐级把关”的保密审查，确保涉密信息不公开、公开信息不涉密。二、根据上级要求优化栏目设置，认真做好政策解读、舆情回应和公开平台建设，落实信息公开的各项要求，做好牵头协调工作。通过政务公开信息将各项重点工作办理依据、过程和结果向社会广泛公开，同时，及时更新信息，准确回应社会关切，有效保障政府信息公开的安全性和实效性。</w:t>
      </w:r>
    </w:p>
    <w:p w14:paraId="599292DA">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（四）政府信息公开平台建设</w:t>
      </w:r>
    </w:p>
    <w:p w14:paraId="6B090524">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相山区应急管理局加强政务公开工作的落实，保证信息公开的及时高效，加强组织领导，各部门对应栏目专人专干，通过开展培训和“传帮带”，确保局政务公开工作专职人员和兼职人员均熟悉政务公开网站操作流程和工作程序，重要信息领导审核后发布，力求政务公开工作保质保量。同时围绕局年度重点工作，主动向淮北市应急局和兄弟城区政务公开工作人员请教，保持正向沟通，积极向区政务公开办申请协调，合理设置和调整信息公开栏目。2022年全年，我局平台运行情况良好，未出现任何不良情况。</w:t>
      </w:r>
    </w:p>
    <w:p w14:paraId="30E6CCCF">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（五）监督保障</w:t>
      </w:r>
    </w:p>
    <w:p w14:paraId="3094DA58">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一是认真执行信息发布审核机制、依申请公开办理机制等制度，修订完善《政务信息公开管理制度》《统计信息管理制度》《网站管理制度》等规定，建立突发事件应急处理机制及舆情工作机制，全面落实监督岗位责任，强化信息公开的审核、发布力度，提升发布信息的真实性、合法性、完整性和有效性。二是细化任务分解。相山区应急管理局年初按照政务公开考评方案和考核细则，对标对表，任务细化到具体经办人，明确各栏目更新时限，有力保障了政府信息公开的高质量、高效率。三是加强反馈整改。对区政务公开办每季度通报反馈的问题，逐条逐项进行梳理研究，明确整改“时间表”和“路线图”，迅速落实、迅速整改到位，同时向相关部门反馈整改结果，确保任务布置有回音。加强日常管理和定期考评工作。</w:t>
      </w:r>
    </w:p>
    <w:p w14:paraId="0B31B390">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(六）重点工作完成情况</w:t>
      </w:r>
    </w:p>
    <w:p w14:paraId="1CA97A95">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本年度持续推进加强涉及应急管理的信息公开，发布相关信息49条，全力营造平稳健康的经济环境。</w:t>
      </w:r>
    </w:p>
    <w:p w14:paraId="25567903">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黑体" w:hAnsi="宋体" w:eastAsia="黑体" w:cs="黑体"/>
          <w:color w:val="333333"/>
          <w:sz w:val="32"/>
          <w:szCs w:val="32"/>
          <w:shd w:val="clear" w:color="auto" w:fill="FFFFFF"/>
        </w:rPr>
        <w:t>二、主动公开政府信息情况</w:t>
      </w:r>
    </w:p>
    <w:tbl>
      <w:tblPr>
        <w:tblStyle w:val="4"/>
        <w:tblW w:w="9740"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14:paraId="3775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noWrap w:val="0"/>
            <w:tcMar>
              <w:top w:w="0" w:type="dxa"/>
              <w:left w:w="57" w:type="dxa"/>
              <w:bottom w:w="0" w:type="dxa"/>
              <w:right w:w="57" w:type="dxa"/>
            </w:tcMar>
            <w:vAlign w:val="center"/>
          </w:tcPr>
          <w:p w14:paraId="1D323C3C">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第二十条第（一）项</w:t>
            </w:r>
          </w:p>
        </w:tc>
      </w:tr>
      <w:tr w14:paraId="292A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A43EE7A">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信息内容</w:t>
            </w:r>
          </w:p>
        </w:tc>
        <w:tc>
          <w:tcPr>
            <w:tcW w:w="243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C4B2DAB">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本年</w:t>
            </w:r>
            <w:r>
              <w:rPr>
                <w:rFonts w:hint="eastAsia" w:ascii="宋体" w:hAnsi="宋体" w:cs="宋体"/>
                <w:color w:val="333333"/>
                <w:sz w:val="20"/>
                <w:szCs w:val="20"/>
              </w:rPr>
              <w:t>制发件数</w:t>
            </w:r>
          </w:p>
        </w:tc>
        <w:tc>
          <w:tcPr>
            <w:tcW w:w="243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0772631">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本年废止件数</w:t>
            </w:r>
          </w:p>
        </w:tc>
        <w:tc>
          <w:tcPr>
            <w:tcW w:w="243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1EF8004">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现行有效件</w:t>
            </w:r>
            <w:r>
              <w:rPr>
                <w:rFonts w:hint="eastAsia" w:ascii="宋体" w:hAnsi="宋体" w:cs="宋体"/>
                <w:color w:val="333333"/>
                <w:sz w:val="20"/>
                <w:szCs w:val="20"/>
              </w:rPr>
              <w:t>数</w:t>
            </w:r>
          </w:p>
        </w:tc>
      </w:tr>
      <w:tr w14:paraId="1ED6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6F81BB9">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规章</w:t>
            </w:r>
          </w:p>
        </w:tc>
        <w:tc>
          <w:tcPr>
            <w:tcW w:w="243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A73B0A2">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0</w:t>
            </w:r>
          </w:p>
        </w:tc>
        <w:tc>
          <w:tcPr>
            <w:tcW w:w="243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A56E738">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0</w:t>
            </w:r>
          </w:p>
        </w:tc>
        <w:tc>
          <w:tcPr>
            <w:tcW w:w="243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43CAD86">
            <w:pPr>
              <w:pStyle w:val="3"/>
              <w:widowControl/>
              <w:spacing w:before="0" w:beforeLines="0" w:beforeAutospacing="0" w:after="0" w:afterLines="0" w:afterAutospacing="0"/>
              <w:rPr>
                <w:rFonts w:hint="default" w:cs="Calibri"/>
                <w:sz w:val="24"/>
                <w:szCs w:val="24"/>
              </w:rPr>
            </w:pPr>
            <w:r>
              <w:rPr>
                <w:rFonts w:hint="default" w:cs="Calibri"/>
                <w:color w:val="333333"/>
                <w:sz w:val="21"/>
                <w:szCs w:val="21"/>
              </w:rPr>
              <w:t> 0</w:t>
            </w:r>
          </w:p>
        </w:tc>
      </w:tr>
      <w:tr w14:paraId="226F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FB936C8">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行政规范性文件</w:t>
            </w:r>
          </w:p>
        </w:tc>
        <w:tc>
          <w:tcPr>
            <w:tcW w:w="243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324C05C">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0　　</w:t>
            </w:r>
          </w:p>
        </w:tc>
        <w:tc>
          <w:tcPr>
            <w:tcW w:w="243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33A400F">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0</w:t>
            </w:r>
            <w:r>
              <w:rPr>
                <w:rFonts w:hint="default" w:cs="Calibri"/>
                <w:color w:val="000000"/>
                <w:sz w:val="20"/>
                <w:szCs w:val="20"/>
              </w:rPr>
              <w:t> </w:t>
            </w:r>
            <w:r>
              <w:rPr>
                <w:rFonts w:hint="eastAsia" w:ascii="宋体" w:hAnsi="宋体" w:cs="宋体"/>
                <w:color w:val="000000"/>
                <w:sz w:val="20"/>
                <w:szCs w:val="20"/>
              </w:rPr>
              <w:t>　</w:t>
            </w:r>
          </w:p>
        </w:tc>
        <w:tc>
          <w:tcPr>
            <w:tcW w:w="243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807CC3E">
            <w:pPr>
              <w:pStyle w:val="3"/>
              <w:widowControl/>
              <w:spacing w:before="0" w:beforeLines="0" w:beforeAutospacing="0" w:after="0" w:afterLines="0" w:afterAutospacing="0"/>
              <w:rPr>
                <w:rFonts w:hint="eastAsia" w:eastAsia="宋体" w:cs="Calibri"/>
                <w:sz w:val="24"/>
                <w:szCs w:val="24"/>
                <w:lang w:val="en-US" w:eastAsia="zh-CN"/>
              </w:rPr>
            </w:pPr>
            <w:r>
              <w:rPr>
                <w:rFonts w:hint="default" w:cs="Calibri"/>
                <w:color w:val="333333"/>
                <w:sz w:val="21"/>
                <w:szCs w:val="21"/>
              </w:rPr>
              <w:t> </w:t>
            </w:r>
            <w:r>
              <w:rPr>
                <w:rFonts w:hint="eastAsia" w:cs="Calibri"/>
                <w:color w:val="333333"/>
                <w:sz w:val="21"/>
                <w:szCs w:val="21"/>
                <w:lang w:val="en-US" w:eastAsia="zh-CN"/>
              </w:rPr>
              <w:t>0</w:t>
            </w:r>
            <w:bookmarkStart w:id="0" w:name="_GoBack"/>
            <w:bookmarkEnd w:id="0"/>
          </w:p>
        </w:tc>
      </w:tr>
      <w:tr w14:paraId="603F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top w:w="0" w:type="dxa"/>
              <w:left w:w="57" w:type="dxa"/>
              <w:bottom w:w="0" w:type="dxa"/>
              <w:right w:w="57" w:type="dxa"/>
            </w:tcMar>
            <w:vAlign w:val="center"/>
          </w:tcPr>
          <w:p w14:paraId="1C755FBA">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第二十条第（五）项</w:t>
            </w:r>
          </w:p>
        </w:tc>
      </w:tr>
      <w:tr w14:paraId="5A85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37E5B9C">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信息内容</w:t>
            </w:r>
          </w:p>
        </w:tc>
        <w:tc>
          <w:tcPr>
            <w:tcW w:w="7305" w:type="dxa"/>
            <w:gridSpan w:val="3"/>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40EF804">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本年处理决定数量</w:t>
            </w:r>
          </w:p>
        </w:tc>
      </w:tr>
      <w:tr w14:paraId="1B72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D40E538">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行政许可</w:t>
            </w:r>
          </w:p>
        </w:tc>
        <w:tc>
          <w:tcPr>
            <w:tcW w:w="7305" w:type="dxa"/>
            <w:gridSpan w:val="3"/>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73FCBCF">
            <w:pPr>
              <w:pStyle w:val="3"/>
              <w:widowControl/>
              <w:spacing w:before="0" w:beforeLines="0" w:beforeAutospacing="0" w:after="0" w:afterLines="0" w:afterAutospacing="0"/>
              <w:rPr>
                <w:rFonts w:hint="default" w:cs="Calibri"/>
                <w:sz w:val="24"/>
                <w:szCs w:val="24"/>
              </w:rPr>
            </w:pPr>
            <w:r>
              <w:rPr>
                <w:rFonts w:hint="default" w:cs="Calibri"/>
                <w:color w:val="333333"/>
                <w:sz w:val="21"/>
                <w:szCs w:val="21"/>
              </w:rPr>
              <w:t> </w:t>
            </w:r>
            <w:r>
              <w:rPr>
                <w:rFonts w:hint="eastAsia" w:ascii="宋体" w:hAnsi="宋体" w:cs="宋体"/>
                <w:color w:val="333333"/>
                <w:sz w:val="21"/>
                <w:szCs w:val="21"/>
              </w:rPr>
              <w:t>6</w:t>
            </w:r>
          </w:p>
        </w:tc>
      </w:tr>
      <w:tr w14:paraId="39C4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top w:w="0" w:type="dxa"/>
              <w:left w:w="57" w:type="dxa"/>
              <w:bottom w:w="0" w:type="dxa"/>
              <w:right w:w="57" w:type="dxa"/>
            </w:tcMar>
            <w:vAlign w:val="center"/>
          </w:tcPr>
          <w:p w14:paraId="3270C75E">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第二十条第（六）项</w:t>
            </w:r>
          </w:p>
        </w:tc>
      </w:tr>
      <w:tr w14:paraId="2BA8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200D77C">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信息内容</w:t>
            </w:r>
          </w:p>
        </w:tc>
        <w:tc>
          <w:tcPr>
            <w:tcW w:w="7305" w:type="dxa"/>
            <w:gridSpan w:val="3"/>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40F78B5">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本年处理决定数量</w:t>
            </w:r>
          </w:p>
        </w:tc>
      </w:tr>
      <w:tr w14:paraId="3751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8A83735">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行政处罚</w:t>
            </w:r>
          </w:p>
        </w:tc>
        <w:tc>
          <w:tcPr>
            <w:tcW w:w="7305" w:type="dxa"/>
            <w:gridSpan w:val="3"/>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DCEBD81">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0</w:t>
            </w:r>
          </w:p>
        </w:tc>
      </w:tr>
      <w:tr w14:paraId="5539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16C3690">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行政强制</w:t>
            </w:r>
          </w:p>
        </w:tc>
        <w:tc>
          <w:tcPr>
            <w:tcW w:w="7305" w:type="dxa"/>
            <w:gridSpan w:val="3"/>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E857D78">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0</w:t>
            </w:r>
          </w:p>
        </w:tc>
      </w:tr>
      <w:tr w14:paraId="0E59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top w:w="0" w:type="dxa"/>
              <w:left w:w="57" w:type="dxa"/>
              <w:bottom w:w="0" w:type="dxa"/>
              <w:right w:w="57" w:type="dxa"/>
            </w:tcMar>
            <w:vAlign w:val="center"/>
          </w:tcPr>
          <w:p w14:paraId="1D54CD93">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第二十条第（八）项</w:t>
            </w:r>
          </w:p>
        </w:tc>
      </w:tr>
      <w:tr w14:paraId="46FC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A6A61A8">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信息内容</w:t>
            </w:r>
          </w:p>
        </w:tc>
        <w:tc>
          <w:tcPr>
            <w:tcW w:w="7305" w:type="dxa"/>
            <w:gridSpan w:val="3"/>
            <w:tcBorders>
              <w:top w:val="nil"/>
              <w:left w:val="nil"/>
              <w:bottom w:val="single" w:color="auto" w:sz="8" w:space="0"/>
              <w:right w:val="single" w:color="000000" w:sz="8" w:space="0"/>
              <w:tl2br w:val="nil"/>
              <w:tr2bl w:val="nil"/>
            </w:tcBorders>
            <w:shd w:val="clear" w:color="auto" w:fill="FFFFFF"/>
            <w:noWrap w:val="0"/>
            <w:tcMar>
              <w:top w:w="0" w:type="dxa"/>
              <w:left w:w="57" w:type="dxa"/>
              <w:bottom w:w="0" w:type="dxa"/>
              <w:right w:w="57" w:type="dxa"/>
            </w:tcMar>
            <w:vAlign w:val="center"/>
          </w:tcPr>
          <w:p w14:paraId="1DB465C0">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本年收费金额（单位：万元）</w:t>
            </w:r>
          </w:p>
        </w:tc>
      </w:tr>
      <w:tr w14:paraId="7FED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435" w:type="dxa"/>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2BC057B">
            <w:pPr>
              <w:pStyle w:val="3"/>
              <w:widowControl/>
              <w:spacing w:before="0" w:beforeLines="0" w:beforeAutospacing="0" w:after="0" w:afterLines="0" w:afterAutospacing="0"/>
              <w:rPr>
                <w:rFonts w:hint="default" w:cs="Calibri"/>
                <w:sz w:val="24"/>
                <w:szCs w:val="24"/>
              </w:rPr>
            </w:pPr>
            <w:r>
              <w:rPr>
                <w:rFonts w:hint="eastAsia" w:ascii="宋体" w:hAnsi="宋体" w:cs="宋体"/>
                <w:color w:val="000000"/>
                <w:sz w:val="20"/>
                <w:szCs w:val="20"/>
              </w:rPr>
              <w:t>行政事业性收费</w:t>
            </w:r>
          </w:p>
        </w:tc>
        <w:tc>
          <w:tcPr>
            <w:tcW w:w="7305" w:type="dxa"/>
            <w:gridSpan w:val="3"/>
            <w:tcBorders>
              <w:top w:val="nil"/>
              <w:left w:val="nil"/>
              <w:bottom w:val="single" w:color="auto" w:sz="8" w:space="0"/>
              <w:right w:val="single" w:color="000000" w:sz="8" w:space="0"/>
              <w:tl2br w:val="nil"/>
              <w:tr2bl w:val="nil"/>
            </w:tcBorders>
            <w:shd w:val="clear" w:color="auto" w:fill="FFFFFF"/>
            <w:noWrap w:val="0"/>
            <w:tcMar>
              <w:top w:w="0" w:type="dxa"/>
              <w:left w:w="57" w:type="dxa"/>
              <w:bottom w:w="0" w:type="dxa"/>
              <w:right w:w="57" w:type="dxa"/>
            </w:tcMar>
            <w:vAlign w:val="center"/>
          </w:tcPr>
          <w:p w14:paraId="384F9869">
            <w:pPr>
              <w:pStyle w:val="3"/>
              <w:widowControl/>
              <w:spacing w:before="0" w:beforeLines="0" w:beforeAutospacing="0" w:after="0" w:afterLines="0" w:afterAutospacing="0"/>
              <w:jc w:val="both"/>
              <w:rPr>
                <w:rFonts w:hint="default" w:cs="Calibri"/>
                <w:sz w:val="24"/>
                <w:szCs w:val="24"/>
              </w:rPr>
            </w:pPr>
            <w:r>
              <w:rPr>
                <w:rFonts w:hint="eastAsia" w:ascii="宋体" w:hAnsi="宋体" w:cs="宋体"/>
                <w:color w:val="333333"/>
                <w:sz w:val="24"/>
                <w:szCs w:val="24"/>
              </w:rPr>
              <w:t>0</w:t>
            </w:r>
          </w:p>
        </w:tc>
      </w:tr>
    </w:tbl>
    <w:p w14:paraId="6BCCABC0">
      <w:pPr>
        <w:pStyle w:val="3"/>
        <w:widowControl/>
        <w:shd w:val="clear" w:color="auto" w:fill="FFFFFF"/>
        <w:spacing w:before="0" w:beforeLines="0" w:beforeAutospacing="0" w:after="0" w:afterLines="0" w:afterAutospacing="0" w:line="509" w:lineRule="atLeast"/>
        <w:jc w:val="both"/>
        <w:rPr>
          <w:rFonts w:hint="default" w:cs="Calibri"/>
          <w:sz w:val="24"/>
          <w:szCs w:val="24"/>
        </w:rPr>
      </w:pPr>
      <w:r>
        <w:rPr>
          <w:rFonts w:hint="default" w:cs="Calibri"/>
          <w:color w:val="333333"/>
          <w:sz w:val="21"/>
          <w:szCs w:val="21"/>
          <w:shd w:val="clear" w:color="auto" w:fill="FFFFFF"/>
        </w:rPr>
        <w:t> </w:t>
      </w:r>
    </w:p>
    <w:p w14:paraId="36B73005">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黑体" w:hAnsi="宋体" w:eastAsia="黑体" w:cs="黑体"/>
          <w:color w:val="333333"/>
          <w:sz w:val="32"/>
          <w:szCs w:val="32"/>
          <w:shd w:val="clear" w:color="auto" w:fill="FFFFFF"/>
        </w:rPr>
        <w:t>三、收到和处理政府信息公开申请情况</w:t>
      </w:r>
    </w:p>
    <w:tbl>
      <w:tblPr>
        <w:tblStyle w:val="4"/>
        <w:tblW w:w="9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14"/>
        <w:gridCol w:w="988"/>
        <w:gridCol w:w="3019"/>
        <w:gridCol w:w="655"/>
        <w:gridCol w:w="659"/>
        <w:gridCol w:w="600"/>
        <w:gridCol w:w="749"/>
        <w:gridCol w:w="918"/>
        <w:gridCol w:w="803"/>
        <w:gridCol w:w="565"/>
      </w:tblGrid>
      <w:tr w14:paraId="7AFB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jc w:val="center"/>
        </w:trPr>
        <w:tc>
          <w:tcPr>
            <w:tcW w:w="4376" w:type="dxa"/>
            <w:gridSpan w:val="3"/>
            <w:vMerge w:val="restart"/>
            <w:tcBorders>
              <w:top w:val="single" w:color="auto" w:sz="8" w:space="0"/>
              <w:left w:val="single" w:color="auto" w:sz="8" w:space="0"/>
              <w:bottom w:val="inset"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14:paraId="66ECAD5A">
            <w:pPr>
              <w:pStyle w:val="3"/>
              <w:widowControl/>
              <w:spacing w:before="0" w:beforeLines="0" w:beforeAutospacing="0" w:after="0" w:afterLines="0" w:afterAutospacing="0"/>
              <w:rPr>
                <w:rFonts w:hint="default" w:cs="Calibri"/>
                <w:sz w:val="24"/>
                <w:szCs w:val="24"/>
              </w:rPr>
            </w:pPr>
            <w:r>
              <w:rPr>
                <w:rFonts w:hint="eastAsia" w:ascii="楷体" w:hAnsi="楷体" w:eastAsia="楷体" w:cs="楷体"/>
                <w:color w:val="333333"/>
                <w:sz w:val="20"/>
                <w:szCs w:val="20"/>
              </w:rPr>
              <w:t>（本列数据的勾稽关系为：第一项加第二项之和，等于第三项加第四项之和）</w:t>
            </w:r>
          </w:p>
        </w:tc>
        <w:tc>
          <w:tcPr>
            <w:tcW w:w="5094" w:type="dxa"/>
            <w:gridSpan w:val="7"/>
            <w:tcBorders>
              <w:top w:val="single" w:color="auto" w:sz="8" w:space="0"/>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E527935">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申请人情况</w:t>
            </w:r>
          </w:p>
        </w:tc>
      </w:tr>
      <w:tr w14:paraId="642AF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jc w:val="center"/>
        </w:trPr>
        <w:tc>
          <w:tcPr>
            <w:tcW w:w="4376" w:type="dxa"/>
            <w:gridSpan w:val="3"/>
            <w:vMerge w:val="continue"/>
            <w:tcBorders>
              <w:top w:val="single" w:color="auto" w:sz="8" w:space="0"/>
              <w:left w:val="single" w:color="auto" w:sz="8" w:space="0"/>
              <w:bottom w:val="inset"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14:paraId="6B8DDB25">
            <w:pPr>
              <w:spacing w:beforeLines="0" w:afterLines="0"/>
              <w:rPr>
                <w:rFonts w:hint="default" w:ascii="Times New Roman" w:hAnsi="Times New Roman"/>
                <w:sz w:val="20"/>
                <w:szCs w:val="20"/>
              </w:rPr>
            </w:pPr>
          </w:p>
        </w:tc>
        <w:tc>
          <w:tcPr>
            <w:tcW w:w="673" w:type="dxa"/>
            <w:vMerge w:val="restart"/>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E21DE8E">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自然人</w:t>
            </w:r>
          </w:p>
        </w:tc>
        <w:tc>
          <w:tcPr>
            <w:tcW w:w="3843" w:type="dxa"/>
            <w:gridSpan w:val="5"/>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2B617E5">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法人或其他组织</w:t>
            </w:r>
          </w:p>
        </w:tc>
        <w:tc>
          <w:tcPr>
            <w:tcW w:w="578" w:type="dxa"/>
            <w:vMerge w:val="restart"/>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6B1626D">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总计</w:t>
            </w:r>
          </w:p>
        </w:tc>
      </w:tr>
      <w:tr w14:paraId="0FCA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jc w:val="center"/>
        </w:trPr>
        <w:tc>
          <w:tcPr>
            <w:tcW w:w="4376" w:type="dxa"/>
            <w:gridSpan w:val="3"/>
            <w:vMerge w:val="continue"/>
            <w:tcBorders>
              <w:top w:val="single" w:color="auto" w:sz="8" w:space="0"/>
              <w:left w:val="single" w:color="auto" w:sz="8" w:space="0"/>
              <w:bottom w:val="inset" w:color="auto" w:sz="8" w:space="0"/>
              <w:right w:val="single" w:color="auto" w:sz="8" w:space="0"/>
              <w:tl2br w:val="nil"/>
              <w:tr2bl w:val="nil"/>
            </w:tcBorders>
            <w:shd w:val="clear" w:color="auto" w:fill="FFFFFF"/>
            <w:noWrap w:val="0"/>
            <w:tcMar>
              <w:top w:w="0" w:type="dxa"/>
              <w:left w:w="108" w:type="dxa"/>
              <w:bottom w:w="0" w:type="dxa"/>
              <w:right w:w="108" w:type="dxa"/>
            </w:tcMar>
            <w:vAlign w:val="center"/>
          </w:tcPr>
          <w:p w14:paraId="66E27970">
            <w:pPr>
              <w:spacing w:beforeLines="0" w:afterLines="0"/>
              <w:rPr>
                <w:rFonts w:hint="default" w:ascii="Times New Roman" w:hAnsi="Times New Roman"/>
                <w:sz w:val="20"/>
                <w:szCs w:val="20"/>
              </w:rPr>
            </w:pPr>
          </w:p>
        </w:tc>
        <w:tc>
          <w:tcPr>
            <w:tcW w:w="673" w:type="dxa"/>
            <w:vMerge w:val="continue"/>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87F2ECD">
            <w:pPr>
              <w:spacing w:beforeLines="0" w:afterLines="0"/>
              <w:rPr>
                <w:rFonts w:hint="default" w:ascii="Times New Roman" w:hAnsi="Times New Roman"/>
                <w:sz w:val="20"/>
                <w:szCs w:val="20"/>
              </w:rPr>
            </w:pP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D42E832">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商业</w:t>
            </w:r>
          </w:p>
          <w:p w14:paraId="72852764">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企业</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8F04F02">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科研</w:t>
            </w:r>
          </w:p>
          <w:p w14:paraId="6E0E1BCD">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机构</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ED8A27E">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社会公益组织</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DA98951">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法律服务机构</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8511E19">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333333"/>
                <w:sz w:val="20"/>
                <w:szCs w:val="20"/>
              </w:rPr>
              <w:t>其他</w:t>
            </w:r>
          </w:p>
        </w:tc>
        <w:tc>
          <w:tcPr>
            <w:tcW w:w="578"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FE8EFFF">
            <w:pPr>
              <w:spacing w:beforeLines="0" w:afterLines="0"/>
              <w:rPr>
                <w:rFonts w:hint="default" w:ascii="Times New Roman" w:hAnsi="Times New Roman"/>
                <w:sz w:val="20"/>
                <w:szCs w:val="20"/>
              </w:rPr>
            </w:pPr>
          </w:p>
        </w:tc>
      </w:tr>
      <w:tr w14:paraId="614F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376" w:type="dxa"/>
            <w:gridSpan w:val="3"/>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BA1CC2C">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一、本年新收政府信息公开申请数量</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EBF1052">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6CA0E4F">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94ADB0E">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4D0EEAD">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3CF747F">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4F5DC51">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2300187">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r>
      <w:tr w14:paraId="7C28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376" w:type="dxa"/>
            <w:gridSpan w:val="3"/>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98FDD5B">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二、上年结转政府信息公开申请数量</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C109994">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CCF5C4E">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1007C52">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636BD7A">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C58A0F2">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09C9BB4">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BE7A2E1">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r>
      <w:tr w14:paraId="433B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220" w:type="dxa"/>
            <w:vMerge w:val="restart"/>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DDEA41D">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三、本年度办理结果</w:t>
            </w:r>
          </w:p>
        </w:tc>
        <w:tc>
          <w:tcPr>
            <w:tcW w:w="4156" w:type="dxa"/>
            <w:gridSpan w:val="2"/>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4ABC832">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（一）予以公开</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B7021EB">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F4D02A4">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764C542">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D756237">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02F020B">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D971E67">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C7EC817">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r>
      <w:tr w14:paraId="33A6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03CB7C0">
            <w:pPr>
              <w:spacing w:beforeLines="0" w:afterLines="0"/>
              <w:rPr>
                <w:rFonts w:hint="default" w:ascii="Times New Roman" w:hAnsi="Times New Roman"/>
                <w:sz w:val="20"/>
                <w:szCs w:val="20"/>
              </w:rPr>
            </w:pPr>
          </w:p>
        </w:tc>
        <w:tc>
          <w:tcPr>
            <w:tcW w:w="4156" w:type="dxa"/>
            <w:gridSpan w:val="2"/>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CA98560">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（二）部分公开</w:t>
            </w:r>
            <w:r>
              <w:rPr>
                <w:rFonts w:hint="eastAsia" w:ascii="楷体" w:hAnsi="楷体" w:eastAsia="楷体" w:cs="楷体"/>
                <w:color w:val="333333"/>
                <w:sz w:val="20"/>
                <w:szCs w:val="20"/>
              </w:rPr>
              <w:t>（区分处理的，只计这一情形，不计其他情形）</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A74990B">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2F42178">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834B090">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0FDDDA1">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1640CE2">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407A8D9">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0 </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35358CC">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r>
      <w:tr w14:paraId="0F26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5BC6E74">
            <w:pPr>
              <w:spacing w:beforeLines="0" w:afterLines="0"/>
              <w:rPr>
                <w:rFonts w:hint="default" w:ascii="Times New Roman" w:hAnsi="Times New Roman"/>
                <w:sz w:val="20"/>
                <w:szCs w:val="20"/>
              </w:rPr>
            </w:pPr>
          </w:p>
        </w:tc>
        <w:tc>
          <w:tcPr>
            <w:tcW w:w="1004" w:type="dxa"/>
            <w:vMerge w:val="restart"/>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899A8AE">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（三）不予公开</w:t>
            </w: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9D216A2">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1.属于国家秘密</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4674708">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DE29662">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2C49580">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9E24341">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BD7F513">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6DFE67E">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3669959">
            <w:pPr>
              <w:pStyle w:val="3"/>
              <w:widowControl/>
              <w:spacing w:before="0" w:beforeLines="0" w:beforeAutospacing="0" w:after="0" w:afterLines="0" w:afterAutospacing="0"/>
              <w:jc w:val="both"/>
              <w:rPr>
                <w:rFonts w:hint="default" w:cs="Calibri"/>
                <w:sz w:val="24"/>
                <w:szCs w:val="24"/>
              </w:rPr>
            </w:pPr>
            <w:r>
              <w:rPr>
                <w:rFonts w:hint="default" w:cs="Calibri"/>
                <w:color w:val="333333"/>
                <w:sz w:val="20"/>
                <w:szCs w:val="20"/>
              </w:rPr>
              <w:t>0</w:t>
            </w:r>
          </w:p>
        </w:tc>
      </w:tr>
      <w:tr w14:paraId="302D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282A523">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64C1503">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188CCF9">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2.其他法律行政法规禁止公开</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2B02A1A">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D9074A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860795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6C381C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2B21D25">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A2AB9AC">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F3870E1">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r>
      <w:tr w14:paraId="42FB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7159AB6">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C3C89DA">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2D95C28">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3.危及“三安全一稳定”</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D8403EA">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31C8C7F">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83D87A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C9B1F1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F0CF07F">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33A7E2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BFB676B">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1F23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DE5541B">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09AE37F">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E0F32FE">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4.保护第三方合法权益</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C895F2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288C02E">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BC6BB9A">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793B7B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101B931">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74DFFA1">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D71055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4802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67C2B55">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632EABC">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F657A43">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5.属于三类内部事务信息</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59ED2E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E1BAD1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DF68CCD">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E59E4D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CBA81D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F4A4B9B">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8B6546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329D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9AABDF7">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3994B62">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05F31DB">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6.属于四类过程性信息</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DF4417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8B9870E">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17CBBB5">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73A32F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57DE3BF">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8B21966">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26FA39F">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30A3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1F3C599">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2ED516B">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729D861">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7.属于行政执法案卷</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AD4D1B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4AC942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0604C7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29344ED">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EA31B9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F5C96FD">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BAD42DD">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25FF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FF5697B">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5F461D1">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60A489A">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8.属于行政查询事项</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B1B0401">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92C7FB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91DA61E">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8187ED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8A9923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DD77E6B">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62598ED">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r>
      <w:tr w14:paraId="18A35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EE9B7F8">
            <w:pPr>
              <w:spacing w:beforeLines="0" w:afterLines="0"/>
              <w:rPr>
                <w:rFonts w:hint="default" w:ascii="Times New Roman" w:hAnsi="Times New Roman"/>
                <w:sz w:val="20"/>
                <w:szCs w:val="20"/>
              </w:rPr>
            </w:pPr>
          </w:p>
        </w:tc>
        <w:tc>
          <w:tcPr>
            <w:tcW w:w="1004" w:type="dxa"/>
            <w:vMerge w:val="restart"/>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5B072A7">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（四）无法提供</w:t>
            </w: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20B95D5">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1.本机关不掌握相关政府信息</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F094EAB">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59131C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B9A50CA">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AC3327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7CDB20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C40FC87">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A5BF69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2B53D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723B0C8">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10C9558">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DBE9106">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2.没有现成信息需要另行制作</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BB4E78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1C4E82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6BCC6E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C9C368B">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7CDD46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C62E065">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0D29A4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2729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23EC0D7">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0F7D2EA">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171823C">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3.补正后申请内容仍不明确</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F5F58C5">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8726D6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969BAE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8556CC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F42B9DA">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0630CB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6B674D5">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r>
      <w:tr w14:paraId="2F32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2C7BC39">
            <w:pPr>
              <w:spacing w:beforeLines="0" w:afterLines="0"/>
              <w:rPr>
                <w:rFonts w:hint="default" w:ascii="Times New Roman" w:hAnsi="Times New Roman"/>
                <w:sz w:val="20"/>
                <w:szCs w:val="20"/>
              </w:rPr>
            </w:pPr>
          </w:p>
        </w:tc>
        <w:tc>
          <w:tcPr>
            <w:tcW w:w="1004" w:type="dxa"/>
            <w:vMerge w:val="restart"/>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6F72D63">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（五）不予处理</w:t>
            </w: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D9D3EF4">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1.信访举报投诉类申请</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19956CA">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269BE5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4F302B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63F8FF7">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FB10A0F">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AA4EBAE">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3164D7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4C2C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BB2BEAA">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F5F7514">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8F1EC40">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2.重复申请</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B5A2B9A">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7F94E5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50BCD81">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256933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2C3EB6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A1CD88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FB8BB1D">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r>
      <w:tr w14:paraId="0818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F25C59B">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AA51D52">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D71104A">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3.要求提供公开出版物</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BA2E775">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36CEB51">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C2ACBCA">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DD04845">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2C0AA81">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E6DA91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BAB891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r>
      <w:tr w14:paraId="486F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453AF1D">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548622B">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BC905BB">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4.无正当理由大量反复申请</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C6F3CDD">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4689FBC">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F7688E7">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685ABC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1B9B338E">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40A3805">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9DA8C3C">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1921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076AEF3">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87E3977">
            <w:pPr>
              <w:spacing w:beforeLines="0" w:afterLines="0"/>
              <w:rPr>
                <w:rFonts w:hint="default" w:ascii="Times New Roman" w:hAnsi="Times New Roman"/>
                <w:sz w:val="20"/>
                <w:szCs w:val="20"/>
              </w:rPr>
            </w:pPr>
          </w:p>
        </w:tc>
        <w:tc>
          <w:tcPr>
            <w:tcW w:w="3152" w:type="dxa"/>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7420DC8">
            <w:pPr>
              <w:pStyle w:val="3"/>
              <w:widowControl/>
              <w:spacing w:before="0" w:beforeLines="0" w:beforeAutospacing="0" w:after="0" w:afterLines="0" w:afterAutospacing="0"/>
              <w:jc w:val="both"/>
              <w:rPr>
                <w:rFonts w:hint="default" w:cs="Calibri"/>
                <w:sz w:val="24"/>
                <w:szCs w:val="24"/>
              </w:rPr>
            </w:pPr>
            <w:r>
              <w:rPr>
                <w:rFonts w:hint="eastAsia" w:ascii="宋体" w:hAnsi="宋体" w:cs="宋体"/>
                <w:color w:val="333333"/>
                <w:sz w:val="20"/>
                <w:szCs w:val="20"/>
              </w:rPr>
              <w:t>5.要求行政机关确认或重新出具已获取信息</w:t>
            </w:r>
          </w:p>
        </w:tc>
        <w:tc>
          <w:tcPr>
            <w:tcW w:w="673" w:type="dxa"/>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FF43217">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959127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6A1537BB">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4C13A576">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950" w:type="dxa"/>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FE5B5F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829" w:type="dxa"/>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0FE9C3F">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7669DDB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7E5F8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48C0AD4">
            <w:pPr>
              <w:spacing w:beforeLines="0" w:afterLines="0"/>
              <w:rPr>
                <w:rFonts w:hint="default" w:ascii="Times New Roman" w:hAnsi="Times New Roman"/>
                <w:sz w:val="20"/>
                <w:szCs w:val="20"/>
              </w:rPr>
            </w:pPr>
          </w:p>
        </w:tc>
        <w:tc>
          <w:tcPr>
            <w:tcW w:w="1004" w:type="dxa"/>
            <w:vMerge w:val="restart"/>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A6299EE">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（六）其他处理</w:t>
            </w: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402FDF9">
            <w:pPr>
              <w:pStyle w:val="3"/>
              <w:widowControl/>
              <w:spacing w:before="0" w:beforeLines="0" w:beforeAutospacing="0" w:after="0" w:afterLines="0" w:afterAutospacing="0"/>
              <w:jc w:val="both"/>
              <w:rPr>
                <w:rFonts w:hint="default" w:cs="Calibri"/>
                <w:sz w:val="24"/>
                <w:szCs w:val="24"/>
              </w:rPr>
            </w:pPr>
            <w:r>
              <w:rPr>
                <w:rFonts w:hint="eastAsia" w:ascii="宋体" w:hAnsi="宋体" w:cs="宋体"/>
                <w:color w:val="333333"/>
                <w:sz w:val="20"/>
                <w:szCs w:val="20"/>
              </w:rPr>
              <w:t>1.申请人无正当理由逾期不补正、行政机关不再处理其政府信息公开申请</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84CBF1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43D9CC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654722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D40BF5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B4E3F7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5AD4A8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09B566C6">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r>
      <w:tr w14:paraId="182F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824E1AB">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C4E0B79">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B4A5AAB">
            <w:pPr>
              <w:pStyle w:val="3"/>
              <w:widowControl/>
              <w:spacing w:before="0" w:beforeLines="0" w:beforeAutospacing="0" w:after="0" w:afterLines="0" w:afterAutospacing="0"/>
              <w:jc w:val="both"/>
              <w:rPr>
                <w:rFonts w:hint="default" w:cs="Calibri"/>
                <w:sz w:val="24"/>
                <w:szCs w:val="24"/>
              </w:rPr>
            </w:pPr>
            <w:r>
              <w:rPr>
                <w:rFonts w:hint="eastAsia" w:ascii="宋体" w:hAnsi="宋体" w:cs="宋体"/>
                <w:color w:val="333333"/>
                <w:sz w:val="20"/>
                <w:szCs w:val="20"/>
              </w:rPr>
              <w:t>2.申请人逾期未按收费通知要求缴纳费用、行政机关不再处理其政府信息公开申请</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A001317">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4B68A0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F22DE3C">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3E64737">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95662F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995FCC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3D61334C">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r>
      <w:tr w14:paraId="6209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249B526">
            <w:pPr>
              <w:spacing w:beforeLines="0" w:afterLines="0"/>
              <w:rPr>
                <w:rFonts w:hint="default" w:ascii="Times New Roman" w:hAnsi="Times New Roman"/>
                <w:sz w:val="20"/>
                <w:szCs w:val="20"/>
              </w:rPr>
            </w:pPr>
          </w:p>
        </w:tc>
        <w:tc>
          <w:tcPr>
            <w:tcW w:w="1004" w:type="dxa"/>
            <w:vMerge w:val="continue"/>
            <w:tcBorders>
              <w:top w:val="nil"/>
              <w:left w:val="nil"/>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E5039D4">
            <w:pPr>
              <w:spacing w:beforeLines="0" w:afterLines="0"/>
              <w:rPr>
                <w:rFonts w:hint="default" w:ascii="Times New Roman" w:hAnsi="Times New Roman"/>
                <w:sz w:val="20"/>
                <w:szCs w:val="20"/>
              </w:rPr>
            </w:pPr>
          </w:p>
        </w:tc>
        <w:tc>
          <w:tcPr>
            <w:tcW w:w="315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98256E4">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3.其他</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7FD67AF">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52EE97C">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64F176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CAA508A">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F53987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A3958EF">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C2EC3E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r>
      <w:tr w14:paraId="5A5C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0" w:type="dxa"/>
            <w:vMerge w:val="continue"/>
            <w:tcBorders>
              <w:top w:val="nil"/>
              <w:left w:val="single" w:color="auto" w:sz="8" w:space="0"/>
              <w:bottom w:val="inset"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9C21E4D">
            <w:pPr>
              <w:spacing w:beforeLines="0" w:afterLines="0"/>
              <w:rPr>
                <w:rFonts w:hint="default" w:ascii="Times New Roman" w:hAnsi="Times New Roman"/>
                <w:sz w:val="20"/>
                <w:szCs w:val="20"/>
              </w:rPr>
            </w:pPr>
          </w:p>
        </w:tc>
        <w:tc>
          <w:tcPr>
            <w:tcW w:w="4156" w:type="dxa"/>
            <w:gridSpan w:val="2"/>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7B2A9DCD">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（七）总计</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6978765">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1FD474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90F7B4E">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69307F3">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67D557A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8CC1756">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29729EA1">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r>
      <w:tr w14:paraId="3EFB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4376" w:type="dxa"/>
            <w:gridSpan w:val="3"/>
            <w:tcBorders>
              <w:top w:val="nil"/>
              <w:left w:val="single" w:color="auto" w:sz="8" w:space="0"/>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94846E8">
            <w:pPr>
              <w:pStyle w:val="3"/>
              <w:widowControl/>
              <w:spacing w:before="0" w:beforeLines="0" w:beforeAutospacing="0" w:after="0" w:afterLines="0" w:afterAutospacing="0"/>
              <w:rPr>
                <w:rFonts w:hint="default" w:cs="Calibri"/>
                <w:sz w:val="24"/>
                <w:szCs w:val="24"/>
              </w:rPr>
            </w:pPr>
            <w:r>
              <w:rPr>
                <w:rFonts w:hint="eastAsia" w:ascii="宋体" w:hAnsi="宋体" w:cs="宋体"/>
                <w:color w:val="333333"/>
                <w:sz w:val="20"/>
                <w:szCs w:val="20"/>
              </w:rPr>
              <w:t>四、结转下年度继续办理</w:t>
            </w:r>
          </w:p>
        </w:tc>
        <w:tc>
          <w:tcPr>
            <w:tcW w:w="673"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3D7069F4">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c>
          <w:tcPr>
            <w:tcW w:w="677"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0A388EF2">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615"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1817B840">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 0</w:t>
            </w:r>
          </w:p>
        </w:tc>
        <w:tc>
          <w:tcPr>
            <w:tcW w:w="772"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212D1C49">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950"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5304FDF8">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0 </w:t>
            </w:r>
          </w:p>
        </w:tc>
        <w:tc>
          <w:tcPr>
            <w:tcW w:w="829"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center"/>
          </w:tcPr>
          <w:p w14:paraId="49AB3AEE">
            <w:pPr>
              <w:pStyle w:val="3"/>
              <w:widowControl/>
              <w:spacing w:before="0" w:beforeLines="0" w:beforeAutospacing="0" w:after="0" w:afterLines="0" w:afterAutospacing="0"/>
              <w:jc w:val="left"/>
              <w:rPr>
                <w:rFonts w:hint="default" w:cs="Calibri"/>
                <w:sz w:val="24"/>
                <w:szCs w:val="24"/>
              </w:rPr>
            </w:pPr>
            <w:r>
              <w:rPr>
                <w:rFonts w:hint="default" w:cs="Calibri"/>
                <w:color w:val="333333"/>
                <w:sz w:val="20"/>
                <w:szCs w:val="20"/>
              </w:rPr>
              <w:t>0</w:t>
            </w:r>
          </w:p>
        </w:tc>
        <w:tc>
          <w:tcPr>
            <w:tcW w:w="578" w:type="dxa"/>
            <w:tcBorders>
              <w:top w:val="nil"/>
              <w:left w:val="nil"/>
              <w:bottom w:val="single" w:color="auto" w:sz="8" w:space="0"/>
              <w:right w:val="single" w:color="auto" w:sz="8" w:space="0"/>
              <w:tl2br w:val="nil"/>
              <w:tr2bl w:val="nil"/>
            </w:tcBorders>
            <w:shd w:val="clear" w:color="auto" w:fill="FFFFFF"/>
            <w:noWrap w:val="0"/>
            <w:tcMar>
              <w:top w:w="0" w:type="dxa"/>
              <w:left w:w="57" w:type="dxa"/>
              <w:bottom w:w="0" w:type="dxa"/>
              <w:right w:w="57" w:type="dxa"/>
            </w:tcMar>
            <w:vAlign w:val="top"/>
          </w:tcPr>
          <w:p w14:paraId="53AE0329">
            <w:pPr>
              <w:pStyle w:val="3"/>
              <w:widowControl/>
              <w:spacing w:before="0" w:beforeLines="0" w:beforeAutospacing="0" w:after="0" w:afterLines="0" w:afterAutospacing="0"/>
              <w:jc w:val="left"/>
              <w:rPr>
                <w:rFonts w:hint="default" w:cs="Calibri"/>
                <w:sz w:val="24"/>
                <w:szCs w:val="24"/>
              </w:rPr>
            </w:pPr>
            <w:r>
              <w:rPr>
                <w:rFonts w:hint="eastAsia" w:ascii="宋体" w:hAnsi="宋体" w:cs="宋体"/>
                <w:color w:val="333333"/>
                <w:sz w:val="20"/>
                <w:szCs w:val="20"/>
              </w:rPr>
              <w:t>0</w:t>
            </w:r>
          </w:p>
        </w:tc>
      </w:tr>
    </w:tbl>
    <w:p w14:paraId="73310D5B">
      <w:pPr>
        <w:pStyle w:val="3"/>
        <w:widowControl/>
        <w:shd w:val="clear" w:color="auto" w:fill="FFFFFF"/>
        <w:spacing w:before="0" w:beforeLines="0" w:beforeAutospacing="0" w:after="0" w:afterLines="0" w:afterAutospacing="0" w:line="509" w:lineRule="atLeast"/>
        <w:jc w:val="both"/>
        <w:rPr>
          <w:rFonts w:hint="default" w:cs="Calibri"/>
          <w:sz w:val="24"/>
          <w:szCs w:val="24"/>
        </w:rPr>
      </w:pPr>
      <w:r>
        <w:rPr>
          <w:rFonts w:hint="default" w:cs="Calibri"/>
          <w:color w:val="333333"/>
          <w:sz w:val="21"/>
          <w:szCs w:val="21"/>
          <w:shd w:val="clear" w:color="auto" w:fill="FFFFFF"/>
        </w:rPr>
        <w:t> </w:t>
      </w:r>
    </w:p>
    <w:p w14:paraId="5311D6D2">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黑体" w:hAnsi="宋体" w:eastAsia="黑体" w:cs="黑体"/>
          <w:color w:val="333333"/>
          <w:sz w:val="32"/>
          <w:szCs w:val="32"/>
          <w:shd w:val="clear" w:color="auto" w:fill="FFFFFF"/>
        </w:rPr>
        <w:t>四、政府信息公开行政复议、行政诉讼情况</w:t>
      </w:r>
    </w:p>
    <w:tbl>
      <w:tblPr>
        <w:tblStyle w:val="4"/>
        <w:tblW w:w="9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42"/>
        <w:gridCol w:w="642"/>
        <w:gridCol w:w="642"/>
        <w:gridCol w:w="642"/>
        <w:gridCol w:w="642"/>
        <w:gridCol w:w="642"/>
        <w:gridCol w:w="642"/>
        <w:gridCol w:w="643"/>
        <w:gridCol w:w="643"/>
        <w:gridCol w:w="643"/>
        <w:gridCol w:w="643"/>
        <w:gridCol w:w="643"/>
        <w:gridCol w:w="643"/>
        <w:gridCol w:w="643"/>
        <w:gridCol w:w="743"/>
      </w:tblGrid>
      <w:tr w14:paraId="6DE3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14746928">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行政复议</w:t>
            </w:r>
          </w:p>
        </w:tc>
        <w:tc>
          <w:tcPr>
            <w:tcW w:w="6528" w:type="dxa"/>
            <w:gridSpan w:val="10"/>
            <w:tcBorders>
              <w:top w:val="single" w:color="auto" w:sz="8" w:space="0"/>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452F08F1">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行政诉讼</w:t>
            </w:r>
          </w:p>
        </w:tc>
      </w:tr>
      <w:tr w14:paraId="0941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56008C85">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结果维持</w:t>
            </w:r>
          </w:p>
        </w:tc>
        <w:tc>
          <w:tcPr>
            <w:tcW w:w="642" w:type="dxa"/>
            <w:vMerge w:val="restart"/>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6A27A6C3">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纠正</w:t>
            </w:r>
          </w:p>
        </w:tc>
        <w:tc>
          <w:tcPr>
            <w:tcW w:w="642" w:type="dxa"/>
            <w:vMerge w:val="restart"/>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1F1DBCBF">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其他</w:t>
            </w:r>
            <w:r>
              <w:rPr>
                <w:rFonts w:hint="eastAsia" w:ascii="宋体" w:hAnsi="宋体" w:cs="宋体"/>
                <w:sz w:val="20"/>
                <w:szCs w:val="20"/>
              </w:rPr>
              <w:br w:type="textWrapping"/>
            </w:r>
            <w:r>
              <w:rPr>
                <w:rFonts w:hint="eastAsia" w:ascii="宋体" w:hAnsi="宋体" w:cs="宋体"/>
                <w:sz w:val="20"/>
                <w:szCs w:val="20"/>
              </w:rPr>
              <w:t>结果</w:t>
            </w:r>
          </w:p>
        </w:tc>
        <w:tc>
          <w:tcPr>
            <w:tcW w:w="642" w:type="dxa"/>
            <w:vMerge w:val="restart"/>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7C7B1C8D">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尚未</w:t>
            </w:r>
            <w:r>
              <w:rPr>
                <w:rFonts w:hint="eastAsia" w:ascii="宋体" w:hAnsi="宋体" w:cs="宋体"/>
                <w:sz w:val="20"/>
                <w:szCs w:val="20"/>
              </w:rPr>
              <w:br w:type="textWrapping"/>
            </w:r>
            <w:r>
              <w:rPr>
                <w:rFonts w:hint="eastAsia" w:ascii="宋体" w:hAnsi="宋体" w:cs="宋体"/>
                <w:sz w:val="20"/>
                <w:szCs w:val="20"/>
              </w:rPr>
              <w:t>审结</w:t>
            </w:r>
          </w:p>
        </w:tc>
        <w:tc>
          <w:tcPr>
            <w:tcW w:w="642" w:type="dxa"/>
            <w:vMerge w:val="restart"/>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6BA7700B">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总计</w:t>
            </w:r>
          </w:p>
        </w:tc>
        <w:tc>
          <w:tcPr>
            <w:tcW w:w="3213" w:type="dxa"/>
            <w:gridSpan w:val="5"/>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2497CCB0">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未经复议直接起诉</w:t>
            </w:r>
          </w:p>
        </w:tc>
        <w:tc>
          <w:tcPr>
            <w:tcW w:w="3315" w:type="dxa"/>
            <w:gridSpan w:val="5"/>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4A427C83">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复议后起诉</w:t>
            </w:r>
          </w:p>
        </w:tc>
      </w:tr>
      <w:tr w14:paraId="6422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7085D87A">
            <w:pPr>
              <w:spacing w:beforeLines="0" w:afterLines="0"/>
              <w:rPr>
                <w:rFonts w:hint="default" w:ascii="Times New Roman" w:hAnsi="Times New Roman"/>
                <w:sz w:val="20"/>
                <w:szCs w:val="20"/>
              </w:rPr>
            </w:pPr>
          </w:p>
        </w:tc>
        <w:tc>
          <w:tcPr>
            <w:tcW w:w="642" w:type="dxa"/>
            <w:vMerge w:val="continue"/>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3B3A76DF">
            <w:pPr>
              <w:spacing w:beforeLines="0" w:afterLines="0"/>
              <w:rPr>
                <w:rFonts w:hint="default" w:ascii="Times New Roman" w:hAnsi="Times New Roman"/>
                <w:sz w:val="20"/>
                <w:szCs w:val="20"/>
              </w:rPr>
            </w:pPr>
          </w:p>
        </w:tc>
        <w:tc>
          <w:tcPr>
            <w:tcW w:w="642" w:type="dxa"/>
            <w:vMerge w:val="continue"/>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4860CA28">
            <w:pPr>
              <w:spacing w:beforeLines="0" w:afterLines="0"/>
              <w:rPr>
                <w:rFonts w:hint="default" w:ascii="Times New Roman" w:hAnsi="Times New Roman"/>
                <w:sz w:val="20"/>
                <w:szCs w:val="20"/>
              </w:rPr>
            </w:pPr>
          </w:p>
        </w:tc>
        <w:tc>
          <w:tcPr>
            <w:tcW w:w="642" w:type="dxa"/>
            <w:vMerge w:val="continue"/>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6939BB1E">
            <w:pPr>
              <w:spacing w:beforeLines="0" w:afterLines="0"/>
              <w:rPr>
                <w:rFonts w:hint="default" w:ascii="Times New Roman" w:hAnsi="Times New Roman"/>
                <w:sz w:val="20"/>
                <w:szCs w:val="20"/>
              </w:rPr>
            </w:pPr>
          </w:p>
        </w:tc>
        <w:tc>
          <w:tcPr>
            <w:tcW w:w="642" w:type="dxa"/>
            <w:vMerge w:val="continue"/>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09CF1474">
            <w:pPr>
              <w:spacing w:beforeLines="0" w:afterLines="0"/>
              <w:rPr>
                <w:rFonts w:hint="default" w:ascii="Times New Roman" w:hAnsi="Times New Roman"/>
                <w:sz w:val="20"/>
                <w:szCs w:val="20"/>
              </w:rPr>
            </w:pPr>
          </w:p>
        </w:tc>
        <w:tc>
          <w:tcPr>
            <w:tcW w:w="642"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4ED498E0">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维持</w:t>
            </w:r>
          </w:p>
        </w:tc>
        <w:tc>
          <w:tcPr>
            <w:tcW w:w="642"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4ACF8C6F">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纠正</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09AA742D">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其他</w:t>
            </w:r>
            <w:r>
              <w:rPr>
                <w:rFonts w:hint="eastAsia" w:ascii="宋体" w:hAnsi="宋体" w:cs="宋体"/>
                <w:sz w:val="20"/>
                <w:szCs w:val="20"/>
              </w:rPr>
              <w:br w:type="textWrapping"/>
            </w:r>
            <w:r>
              <w:rPr>
                <w:rFonts w:hint="eastAsia" w:ascii="宋体" w:hAnsi="宋体" w:cs="宋体"/>
                <w:sz w:val="20"/>
                <w:szCs w:val="20"/>
              </w:rPr>
              <w:t>结果</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62707DC2">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尚未</w:t>
            </w:r>
            <w:r>
              <w:rPr>
                <w:rFonts w:hint="eastAsia" w:ascii="宋体" w:hAnsi="宋体" w:cs="宋体"/>
                <w:sz w:val="20"/>
                <w:szCs w:val="20"/>
              </w:rPr>
              <w:br w:type="textWrapping"/>
            </w:r>
            <w:r>
              <w:rPr>
                <w:rFonts w:hint="eastAsia" w:ascii="宋体" w:hAnsi="宋体" w:cs="宋体"/>
                <w:sz w:val="20"/>
                <w:szCs w:val="20"/>
              </w:rPr>
              <w:t>审结</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3B9A4CB7">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总计</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6F298DDC">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维持</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355F4EA1">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纠正</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30A20ECD">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其他</w:t>
            </w:r>
            <w:r>
              <w:rPr>
                <w:rFonts w:hint="eastAsia" w:ascii="宋体" w:hAnsi="宋体" w:cs="宋体"/>
                <w:color w:val="000000"/>
                <w:sz w:val="20"/>
                <w:szCs w:val="20"/>
              </w:rPr>
              <w:br w:type="textWrapping"/>
            </w:r>
            <w:r>
              <w:rPr>
                <w:rFonts w:hint="eastAsia" w:ascii="宋体" w:hAnsi="宋体" w:cs="宋体"/>
                <w:color w:val="000000"/>
                <w:sz w:val="20"/>
                <w:szCs w:val="20"/>
              </w:rPr>
              <w:t>结果</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6F653913">
            <w:pPr>
              <w:pStyle w:val="3"/>
              <w:widowControl/>
              <w:spacing w:before="0" w:beforeLines="0" w:beforeAutospacing="0" w:after="0" w:afterLines="0" w:afterAutospacing="0"/>
              <w:jc w:val="center"/>
              <w:rPr>
                <w:rFonts w:hint="default" w:cs="Calibri"/>
                <w:sz w:val="24"/>
                <w:szCs w:val="24"/>
              </w:rPr>
            </w:pPr>
            <w:r>
              <w:rPr>
                <w:rFonts w:hint="eastAsia" w:ascii="宋体" w:hAnsi="宋体" w:cs="宋体"/>
                <w:sz w:val="20"/>
                <w:szCs w:val="20"/>
              </w:rPr>
              <w:t>尚未</w:t>
            </w:r>
            <w:r>
              <w:rPr>
                <w:rFonts w:hint="eastAsia" w:ascii="宋体" w:hAnsi="宋体" w:cs="宋体"/>
                <w:sz w:val="20"/>
                <w:szCs w:val="20"/>
              </w:rPr>
              <w:br w:type="textWrapping"/>
            </w:r>
            <w:r>
              <w:rPr>
                <w:rFonts w:hint="eastAsia" w:ascii="宋体" w:hAnsi="宋体" w:cs="宋体"/>
                <w:sz w:val="20"/>
                <w:szCs w:val="20"/>
              </w:rPr>
              <w:t>审结</w:t>
            </w:r>
          </w:p>
        </w:tc>
        <w:tc>
          <w:tcPr>
            <w:tcW w:w="7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11020561">
            <w:pPr>
              <w:pStyle w:val="3"/>
              <w:widowControl/>
              <w:spacing w:before="0" w:beforeLines="0" w:beforeAutospacing="0" w:after="0" w:afterLines="0" w:afterAutospacing="0"/>
              <w:jc w:val="center"/>
              <w:rPr>
                <w:rFonts w:hint="default" w:cs="Calibri"/>
                <w:sz w:val="24"/>
                <w:szCs w:val="24"/>
              </w:rPr>
            </w:pPr>
            <w:r>
              <w:rPr>
                <w:rFonts w:hint="eastAsia" w:ascii="宋体" w:hAnsi="宋体" w:cs="宋体"/>
                <w:color w:val="000000"/>
                <w:sz w:val="20"/>
                <w:szCs w:val="20"/>
              </w:rPr>
              <w:t>总计</w:t>
            </w:r>
          </w:p>
        </w:tc>
      </w:tr>
      <w:tr w14:paraId="4A6A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l2br w:val="nil"/>
              <w:tr2bl w:val="nil"/>
            </w:tcBorders>
            <w:noWrap w:val="0"/>
            <w:tcMar>
              <w:top w:w="0" w:type="dxa"/>
              <w:left w:w="108" w:type="dxa"/>
              <w:bottom w:w="0" w:type="dxa"/>
              <w:right w:w="108" w:type="dxa"/>
            </w:tcMar>
            <w:vAlign w:val="center"/>
          </w:tcPr>
          <w:p w14:paraId="1C31D191">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r>
              <w:rPr>
                <w:rFonts w:hint="default" w:cs="Calibri"/>
                <w:sz w:val="20"/>
                <w:szCs w:val="20"/>
              </w:rPr>
              <w:t> </w:t>
            </w:r>
          </w:p>
        </w:tc>
        <w:tc>
          <w:tcPr>
            <w:tcW w:w="642"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265E1D4B">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r>
              <w:rPr>
                <w:rFonts w:hint="default" w:cs="Calibri"/>
                <w:sz w:val="20"/>
                <w:szCs w:val="20"/>
              </w:rPr>
              <w:t> </w:t>
            </w:r>
          </w:p>
        </w:tc>
        <w:tc>
          <w:tcPr>
            <w:tcW w:w="642"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34CE8AAB">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p>
        </w:tc>
        <w:tc>
          <w:tcPr>
            <w:tcW w:w="642"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5508A563">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 0</w:t>
            </w:r>
          </w:p>
        </w:tc>
        <w:tc>
          <w:tcPr>
            <w:tcW w:w="642"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58099745">
            <w:pPr>
              <w:pStyle w:val="3"/>
              <w:widowControl/>
              <w:spacing w:before="0" w:beforeLines="0" w:beforeAutospacing="0" w:after="0" w:afterLines="0" w:afterAutospacing="0"/>
              <w:jc w:val="left"/>
              <w:rPr>
                <w:rFonts w:hint="default" w:cs="Calibri"/>
                <w:sz w:val="24"/>
                <w:szCs w:val="24"/>
              </w:rPr>
            </w:pPr>
            <w:r>
              <w:rPr>
                <w:rFonts w:hint="eastAsia" w:ascii="黑体" w:hAnsi="宋体" w:eastAsia="黑体" w:cs="黑体"/>
                <w:sz w:val="20"/>
                <w:szCs w:val="20"/>
              </w:rPr>
              <w:t>0</w:t>
            </w:r>
          </w:p>
        </w:tc>
        <w:tc>
          <w:tcPr>
            <w:tcW w:w="642"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677937DB">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p>
        </w:tc>
        <w:tc>
          <w:tcPr>
            <w:tcW w:w="642"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0B870167">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7D420995">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139928E8">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4DDBA775">
            <w:pPr>
              <w:pStyle w:val="3"/>
              <w:widowControl/>
              <w:spacing w:before="0" w:beforeLines="0" w:beforeAutospacing="0" w:after="0" w:afterLines="0" w:afterAutospacing="0"/>
              <w:jc w:val="left"/>
              <w:rPr>
                <w:rFonts w:hint="default" w:cs="Calibri"/>
                <w:sz w:val="24"/>
                <w:szCs w:val="24"/>
              </w:rPr>
            </w:pPr>
            <w:r>
              <w:rPr>
                <w:rFonts w:hint="default" w:cs="Calibri"/>
                <w:sz w:val="20"/>
                <w:szCs w:val="20"/>
              </w:rPr>
              <w:t> </w:t>
            </w:r>
            <w:r>
              <w:rPr>
                <w:rFonts w:hint="eastAsia" w:ascii="黑体" w:hAnsi="宋体" w:eastAsia="黑体" w:cs="黑体"/>
                <w:sz w:val="20"/>
                <w:szCs w:val="20"/>
              </w:rPr>
              <w:t>0</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1044C490">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4055B21A">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6C9E4776">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p>
        </w:tc>
        <w:tc>
          <w:tcPr>
            <w:tcW w:w="6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1FF9D8B4">
            <w:pPr>
              <w:pStyle w:val="3"/>
              <w:widowControl/>
              <w:spacing w:before="0" w:beforeLines="0" w:beforeAutospacing="0" w:after="0" w:afterLines="0" w:afterAutospacing="0"/>
              <w:jc w:val="left"/>
              <w:rPr>
                <w:rFonts w:hint="default" w:cs="Calibri"/>
                <w:sz w:val="24"/>
                <w:szCs w:val="24"/>
              </w:rPr>
            </w:pPr>
            <w:r>
              <w:rPr>
                <w:rFonts w:hint="eastAsia" w:ascii="宋体" w:hAnsi="宋体" w:cs="宋体"/>
                <w:sz w:val="20"/>
                <w:szCs w:val="20"/>
              </w:rPr>
              <w:t>0</w:t>
            </w:r>
          </w:p>
        </w:tc>
        <w:tc>
          <w:tcPr>
            <w:tcW w:w="743" w:type="dxa"/>
            <w:tcBorders>
              <w:top w:val="nil"/>
              <w:left w:val="nil"/>
              <w:bottom w:val="single" w:color="auto" w:sz="8" w:space="0"/>
              <w:right w:val="single" w:color="auto" w:sz="8" w:space="0"/>
              <w:tl2br w:val="nil"/>
              <w:tr2bl w:val="nil"/>
            </w:tcBorders>
            <w:noWrap w:val="0"/>
            <w:tcMar>
              <w:top w:w="0" w:type="dxa"/>
              <w:left w:w="108" w:type="dxa"/>
              <w:bottom w:w="0" w:type="dxa"/>
              <w:right w:w="108" w:type="dxa"/>
            </w:tcMar>
            <w:vAlign w:val="center"/>
          </w:tcPr>
          <w:p w14:paraId="0F331FB0">
            <w:pPr>
              <w:pStyle w:val="3"/>
              <w:widowControl/>
              <w:spacing w:before="0" w:beforeLines="0" w:beforeAutospacing="0" w:after="0" w:afterLines="0" w:afterAutospacing="0"/>
              <w:jc w:val="left"/>
              <w:rPr>
                <w:rFonts w:hint="default" w:cs="Calibri"/>
                <w:sz w:val="24"/>
                <w:szCs w:val="24"/>
              </w:rPr>
            </w:pPr>
            <w:r>
              <w:rPr>
                <w:rFonts w:hint="eastAsia" w:ascii="黑体" w:hAnsi="宋体" w:eastAsia="黑体" w:cs="黑体"/>
                <w:sz w:val="20"/>
                <w:szCs w:val="20"/>
              </w:rPr>
              <w:t>0</w:t>
            </w:r>
          </w:p>
        </w:tc>
      </w:tr>
    </w:tbl>
    <w:p w14:paraId="158B68F1">
      <w:pPr>
        <w:pStyle w:val="3"/>
        <w:widowControl/>
        <w:shd w:val="clear" w:color="auto" w:fill="FFFFFF"/>
        <w:spacing w:before="0" w:beforeLines="0" w:beforeAutospacing="0" w:after="0" w:afterLines="0" w:afterAutospacing="0" w:line="509" w:lineRule="atLeast"/>
        <w:jc w:val="both"/>
        <w:rPr>
          <w:rFonts w:hint="default" w:cs="Calibri"/>
          <w:sz w:val="24"/>
          <w:szCs w:val="24"/>
        </w:rPr>
      </w:pPr>
      <w:r>
        <w:rPr>
          <w:rFonts w:hint="default" w:cs="Calibri"/>
          <w:color w:val="333333"/>
          <w:sz w:val="21"/>
          <w:szCs w:val="21"/>
          <w:shd w:val="clear" w:color="auto" w:fill="FFFFFF"/>
        </w:rPr>
        <w:t> </w:t>
      </w:r>
    </w:p>
    <w:p w14:paraId="2AD28054">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黑体" w:hAnsi="宋体" w:eastAsia="黑体" w:cs="黑体"/>
          <w:color w:val="333333"/>
          <w:sz w:val="32"/>
          <w:szCs w:val="32"/>
          <w:shd w:val="clear" w:color="auto" w:fill="FFFFFF"/>
        </w:rPr>
        <w:t>五、存在的主要问题及改进情况</w:t>
      </w:r>
    </w:p>
    <w:p w14:paraId="1D25E90B">
      <w:pPr>
        <w:pStyle w:val="3"/>
        <w:widowControl/>
        <w:shd w:val="clear" w:color="auto" w:fill="FFFFFF"/>
        <w:spacing w:before="0" w:beforeLines="0" w:beforeAutospacing="0" w:after="0" w:afterLines="0" w:afterAutospacing="0" w:line="560"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2022年，相山区应急局在政府信息公开方面取得良好成效，但信息发布解读的深度广度精度仍需提升。下一步，我局将积极改进：一是提升数据发布质效。不断完善网站架构，优化智能检索系统，为公众提供更为便捷、优质的数据查找，更好地满足社会公众多元化需求。二是不断提升数据解读影响力。强化选题设计，运用多途径、多方式对数据发布及解读、政策咨询解答和热点回应等，提升经信服务水平。三是持续推进政务公开规范化标准化建设，确保做到以公开促落实、促规范、促服务。2023年，我们将坚持以习近平新时代中国特色社会主义，贯彻落实二十大精神，结合经信工作实际，完善政务公开相关制度，将政务公开工作做到细化，全面推进我局政务公开工作再上新台阶。</w:t>
      </w:r>
    </w:p>
    <w:p w14:paraId="22616E8F">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黑体" w:hAnsi="宋体" w:eastAsia="黑体" w:cs="黑体"/>
          <w:color w:val="333333"/>
          <w:sz w:val="32"/>
          <w:szCs w:val="32"/>
          <w:shd w:val="clear" w:color="auto" w:fill="FFFFFF"/>
        </w:rPr>
        <w:t>六、其他需要报告的事项</w:t>
      </w:r>
    </w:p>
    <w:p w14:paraId="68E19A8F">
      <w:pPr>
        <w:pStyle w:val="3"/>
        <w:widowControl/>
        <w:shd w:val="clear" w:color="auto" w:fill="FFFFFF"/>
        <w:spacing w:before="0" w:beforeLines="0" w:beforeAutospacing="0" w:after="0" w:afterLines="0" w:afterAutospacing="0" w:line="509" w:lineRule="atLeast"/>
        <w:ind w:firstLine="640"/>
        <w:jc w:val="both"/>
        <w:rPr>
          <w:rFonts w:hint="default" w:cs="Calibri"/>
          <w:sz w:val="24"/>
          <w:szCs w:val="24"/>
        </w:rPr>
      </w:pPr>
      <w:r>
        <w:rPr>
          <w:rFonts w:hint="eastAsia" w:ascii="仿宋" w:hAnsi="仿宋" w:eastAsia="仿宋" w:cs="仿宋"/>
          <w:color w:val="333333"/>
          <w:sz w:val="32"/>
          <w:szCs w:val="32"/>
          <w:shd w:val="clear" w:color="auto" w:fill="FFFFFF"/>
        </w:rPr>
        <w:t>按照《国务院办公厅关于印发〈政府信息公开信息处理费管理办法〉的通知》（国办函〔2020〕109号）规定的按件、按量收费标准，本年度没有产生信息公开处理费。</w:t>
      </w:r>
    </w:p>
    <w:p w14:paraId="6CB44D53">
      <w:pPr>
        <w:spacing w:beforeLines="0" w:afterLines="0"/>
        <w:rPr>
          <w:rFonts w:hint="default"/>
          <w:sz w:val="21"/>
          <w:szCs w:val="24"/>
        </w:rPr>
      </w:pPr>
    </w:p>
    <w:p w14:paraId="512B5926"/>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2JhZDY0NjhiNmQwMTYxYjJkYjAzMTVmMjUyNDYifQ=="/>
  </w:docVars>
  <w:rsids>
    <w:rsidRoot w:val="609D5B85"/>
    <w:rsid w:val="0B1526A9"/>
    <w:rsid w:val="29F3316C"/>
    <w:rsid w:val="2A497822"/>
    <w:rsid w:val="5FE9147E"/>
    <w:rsid w:val="609D5B85"/>
    <w:rsid w:val="6F7C4622"/>
    <w:rsid w:val="7702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nhideWhenUsed/>
    <w:qFormat/>
    <w:uiPriority w:val="0"/>
    <w:pPr>
      <w:spacing w:before="100" w:beforeLines="0" w:beforeAutospacing="1" w:after="100" w:afterLines="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2899</Words>
  <Characters>3013</Characters>
  <Lines>0</Lines>
  <Paragraphs>0</Paragraphs>
  <TotalTime>4</TotalTime>
  <ScaleCrop>false</ScaleCrop>
  <LinksUpToDate>false</LinksUpToDate>
  <CharactersWithSpaces>3164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2024-01-25T07:33:00Z</dcterms:created>
  <dc:creator>王先锋</dc:creator>
  <cp:lastModifiedBy>王先锋</cp:lastModifiedBy>
  <dcterms:modified xsi:type="dcterms:W3CDTF">2024-09-12T07:46:49Z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6ECDDC49AF1F4780BD972C5295FC4BC3_11</vt:lpwstr>
  </property>
</Properties>
</file>