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3557C">
      <w:pPr>
        <w:adjustRightInd w:val="0"/>
        <w:snapToGrid w:val="0"/>
        <w:spacing w:line="360" w:lineRule="auto"/>
        <w:rPr>
          <w:rFonts w:hint="eastAsia" w:ascii="华文中宋" w:hAnsi="华文中宋" w:eastAsia="华文中宋" w:cs="华文中宋"/>
          <w:b/>
          <w:sz w:val="52"/>
          <w:szCs w:val="84"/>
        </w:rPr>
      </w:pPr>
    </w:p>
    <w:p w14:paraId="3F4C750D">
      <w:pPr>
        <w:adjustRightInd w:val="0"/>
        <w:snapToGrid w:val="0"/>
        <w:spacing w:line="360" w:lineRule="auto"/>
        <w:jc w:val="center"/>
        <w:rPr>
          <w:rFonts w:hint="eastAsia" w:ascii="黑体" w:hAnsi="黑体" w:eastAsia="黑体" w:cs="黑体"/>
          <w:b w:val="0"/>
          <w:bCs/>
          <w:sz w:val="48"/>
          <w:szCs w:val="48"/>
          <w:lang w:val="en-US" w:eastAsia="zh-CN"/>
        </w:rPr>
      </w:pPr>
      <w:r>
        <w:rPr>
          <w:rFonts w:hint="eastAsia" w:ascii="黑体" w:hAnsi="黑体" w:eastAsia="黑体" w:cs="黑体"/>
          <w:b w:val="0"/>
          <w:bCs/>
          <w:sz w:val="48"/>
          <w:szCs w:val="48"/>
          <w:lang w:eastAsia="zh-CN"/>
        </w:rPr>
        <w:t>淮北市相山区民政局</w:t>
      </w:r>
    </w:p>
    <w:p w14:paraId="464F9FA5">
      <w:pPr>
        <w:adjustRightInd w:val="0"/>
        <w:snapToGrid w:val="0"/>
        <w:spacing w:line="360" w:lineRule="auto"/>
        <w:jc w:val="center"/>
        <w:rPr>
          <w:rFonts w:hint="eastAsia" w:ascii="黑体" w:hAnsi="黑体" w:eastAsia="黑体" w:cs="黑体"/>
          <w:b w:val="0"/>
          <w:bCs/>
          <w:sz w:val="48"/>
          <w:szCs w:val="48"/>
        </w:rPr>
      </w:pPr>
      <w:r>
        <w:rPr>
          <w:rFonts w:hint="eastAsia" w:ascii="黑体" w:hAnsi="黑体" w:eastAsia="黑体" w:cs="黑体"/>
          <w:b w:val="0"/>
          <w:bCs/>
          <w:sz w:val="48"/>
          <w:szCs w:val="48"/>
          <w:lang w:eastAsia="zh-CN"/>
        </w:rPr>
        <w:t>2022</w:t>
      </w:r>
      <w:r>
        <w:rPr>
          <w:rFonts w:hint="eastAsia" w:ascii="黑体" w:hAnsi="黑体" w:eastAsia="黑体" w:cs="黑体"/>
          <w:b w:val="0"/>
          <w:bCs/>
          <w:sz w:val="48"/>
          <w:szCs w:val="48"/>
        </w:rPr>
        <w:t>年度部门决算</w:t>
      </w:r>
    </w:p>
    <w:p w14:paraId="6F51FC78">
      <w:pPr>
        <w:rPr>
          <w:rFonts w:hint="eastAsia" w:ascii="宋体" w:hAnsi="宋体"/>
          <w:sz w:val="28"/>
          <w:szCs w:val="28"/>
        </w:rPr>
      </w:pPr>
    </w:p>
    <w:p w14:paraId="1E83C09F">
      <w:pPr>
        <w:rPr>
          <w:rFonts w:hint="eastAsia" w:ascii="宋体" w:hAnsi="宋体"/>
          <w:sz w:val="28"/>
          <w:szCs w:val="28"/>
        </w:rPr>
      </w:pPr>
    </w:p>
    <w:p w14:paraId="1FC59B15">
      <w:pPr>
        <w:rPr>
          <w:rFonts w:hint="eastAsia" w:ascii="宋体" w:hAnsi="宋体"/>
          <w:sz w:val="28"/>
          <w:szCs w:val="28"/>
        </w:rPr>
      </w:pPr>
    </w:p>
    <w:p w14:paraId="1A80CC80">
      <w:pPr>
        <w:rPr>
          <w:rFonts w:hint="eastAsia" w:ascii="宋体" w:hAnsi="宋体"/>
          <w:sz w:val="28"/>
          <w:szCs w:val="28"/>
        </w:rPr>
      </w:pPr>
    </w:p>
    <w:p w14:paraId="089B9E19">
      <w:pPr>
        <w:rPr>
          <w:rFonts w:hint="eastAsia" w:ascii="宋体" w:hAnsi="宋体"/>
          <w:sz w:val="28"/>
          <w:szCs w:val="28"/>
        </w:rPr>
      </w:pPr>
    </w:p>
    <w:p w14:paraId="6A63FF36">
      <w:pPr>
        <w:rPr>
          <w:rFonts w:hint="eastAsia" w:ascii="宋体" w:hAnsi="宋体"/>
          <w:sz w:val="28"/>
          <w:szCs w:val="28"/>
        </w:rPr>
      </w:pPr>
    </w:p>
    <w:p w14:paraId="4F181DAB">
      <w:pPr>
        <w:rPr>
          <w:rFonts w:hint="eastAsia" w:ascii="宋体" w:hAnsi="宋体"/>
          <w:sz w:val="28"/>
          <w:szCs w:val="28"/>
        </w:rPr>
      </w:pPr>
    </w:p>
    <w:p w14:paraId="44748EDE">
      <w:pPr>
        <w:rPr>
          <w:rFonts w:hint="eastAsia" w:ascii="宋体" w:hAnsi="宋体"/>
          <w:sz w:val="28"/>
          <w:szCs w:val="28"/>
        </w:rPr>
      </w:pPr>
    </w:p>
    <w:p w14:paraId="042C23A2">
      <w:pPr>
        <w:rPr>
          <w:rFonts w:hint="eastAsia" w:ascii="宋体" w:hAnsi="宋体"/>
          <w:sz w:val="28"/>
          <w:szCs w:val="28"/>
        </w:rPr>
      </w:pPr>
    </w:p>
    <w:p w14:paraId="16CB839E">
      <w:pPr>
        <w:rPr>
          <w:rFonts w:hint="eastAsia" w:ascii="宋体" w:hAnsi="宋体"/>
          <w:sz w:val="28"/>
          <w:szCs w:val="28"/>
        </w:rPr>
      </w:pPr>
    </w:p>
    <w:p w14:paraId="02C713E8">
      <w:pPr>
        <w:rPr>
          <w:rFonts w:hint="eastAsia" w:ascii="宋体" w:hAnsi="宋体"/>
          <w:sz w:val="28"/>
          <w:szCs w:val="28"/>
        </w:rPr>
      </w:pPr>
    </w:p>
    <w:p w14:paraId="64D0C1EE">
      <w:pPr>
        <w:rPr>
          <w:rFonts w:hint="eastAsia" w:ascii="宋体" w:hAnsi="宋体"/>
          <w:sz w:val="28"/>
          <w:szCs w:val="28"/>
        </w:rPr>
      </w:pPr>
    </w:p>
    <w:p w14:paraId="5E17ADAD">
      <w:pPr>
        <w:rPr>
          <w:rFonts w:hint="eastAsia" w:ascii="宋体" w:hAnsi="宋体"/>
          <w:sz w:val="28"/>
          <w:szCs w:val="28"/>
        </w:rPr>
      </w:pPr>
    </w:p>
    <w:p w14:paraId="311792B8">
      <w:pPr>
        <w:rPr>
          <w:rFonts w:hint="eastAsia" w:ascii="宋体" w:hAnsi="宋体"/>
          <w:sz w:val="28"/>
          <w:szCs w:val="28"/>
        </w:rPr>
      </w:pPr>
    </w:p>
    <w:p w14:paraId="087CB111">
      <w:pPr>
        <w:rPr>
          <w:rFonts w:hint="eastAsia" w:ascii="宋体" w:hAnsi="宋体"/>
          <w:sz w:val="28"/>
          <w:szCs w:val="28"/>
        </w:rPr>
      </w:pPr>
    </w:p>
    <w:p w14:paraId="14EF421F">
      <w:pPr>
        <w:pStyle w:val="9"/>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3</w:t>
      </w:r>
      <w:r>
        <w:rPr>
          <w:rFonts w:hint="eastAsia" w:ascii="黑体" w:hAnsi="黑体" w:eastAsia="黑体"/>
          <w:bCs/>
          <w:sz w:val="44"/>
          <w:szCs w:val="44"/>
        </w:rPr>
        <w:t>年</w:t>
      </w:r>
      <w:r>
        <w:rPr>
          <w:rFonts w:hint="eastAsia" w:ascii="黑体" w:hAnsi="黑体" w:eastAsia="黑体"/>
          <w:bCs/>
          <w:sz w:val="44"/>
          <w:szCs w:val="44"/>
          <w:lang w:val="en-US" w:eastAsia="zh-CN"/>
        </w:rPr>
        <w:t>8</w:t>
      </w:r>
      <w:r>
        <w:rPr>
          <w:rFonts w:hint="eastAsia" w:ascii="黑体" w:hAnsi="黑体" w:eastAsia="黑体"/>
          <w:bCs/>
          <w:sz w:val="44"/>
          <w:szCs w:val="44"/>
        </w:rPr>
        <w:t>月</w:t>
      </w:r>
    </w:p>
    <w:p w14:paraId="6AC67105">
      <w:pPr>
        <w:pStyle w:val="9"/>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b/>
          <w:sz w:val="48"/>
          <w:szCs w:val="48"/>
          <w:lang w:eastAsia="zh-CN"/>
        </w:rPr>
        <w:t>2022</w:t>
      </w:r>
      <w:r>
        <w:rPr>
          <w:rFonts w:hint="eastAsia"/>
          <w:b/>
          <w:sz w:val="48"/>
          <w:szCs w:val="48"/>
        </w:rPr>
        <w:t>年部门决算公开目录</w:t>
      </w:r>
    </w:p>
    <w:p w14:paraId="3047CF96">
      <w:pPr>
        <w:jc w:val="center"/>
        <w:rPr>
          <w:rFonts w:hint="eastAsia" w:ascii="宋体" w:hAnsi="宋体" w:eastAsia="宋体"/>
          <w:b/>
          <w:sz w:val="36"/>
          <w:szCs w:val="36"/>
        </w:rPr>
      </w:pPr>
    </w:p>
    <w:p w14:paraId="5F99F11E">
      <w:pPr>
        <w:rPr>
          <w:rFonts w:hint="eastAsia" w:ascii="仿宋_GB2312" w:hAnsi="宋体"/>
          <w:b/>
          <w:szCs w:val="32"/>
        </w:rPr>
      </w:pPr>
      <w:r>
        <w:rPr>
          <w:rFonts w:hint="eastAsia" w:ascii="仿宋_GB2312" w:hAnsi="宋体"/>
          <w:b/>
          <w:szCs w:val="32"/>
        </w:rPr>
        <w:t xml:space="preserve">第一部分 </w:t>
      </w:r>
      <w:r>
        <w:rPr>
          <w:rFonts w:hint="eastAsia" w:ascii="仿宋_GB2312" w:hAnsi="宋体"/>
          <w:b/>
          <w:szCs w:val="32"/>
          <w:lang w:eastAsia="zh-CN"/>
        </w:rPr>
        <w:t>淮北市相山区民政</w:t>
      </w:r>
      <w:r>
        <w:rPr>
          <w:rFonts w:hint="eastAsia" w:ascii="仿宋_GB2312" w:hAnsi="宋体"/>
          <w:b/>
          <w:szCs w:val="32"/>
        </w:rPr>
        <w:t>局</w:t>
      </w:r>
      <w:r>
        <w:rPr>
          <w:rFonts w:hint="eastAsia" w:ascii="仿宋_GB2312" w:hAnsi="宋体"/>
          <w:b/>
          <w:szCs w:val="32"/>
          <w:lang w:eastAsia="zh-CN"/>
        </w:rPr>
        <w:t>2022</w:t>
      </w:r>
      <w:r>
        <w:rPr>
          <w:rFonts w:hint="eastAsia" w:ascii="仿宋_GB2312" w:hAnsi="宋体"/>
          <w:b/>
          <w:szCs w:val="32"/>
        </w:rPr>
        <w:t>年部门决算情况说明</w:t>
      </w:r>
    </w:p>
    <w:p w14:paraId="6AAC7C0A">
      <w:pPr>
        <w:spacing w:line="520" w:lineRule="exact"/>
        <w:rPr>
          <w:rFonts w:hint="eastAsia" w:ascii="仿宋_GB2312" w:hAnsi="宋体"/>
          <w:bCs/>
          <w:szCs w:val="32"/>
        </w:rPr>
      </w:pPr>
      <w:r>
        <w:rPr>
          <w:rFonts w:hint="eastAsia" w:ascii="仿宋_GB2312" w:hAnsi="宋体"/>
          <w:bCs/>
          <w:szCs w:val="32"/>
        </w:rPr>
        <w:t>一、部门职责</w:t>
      </w:r>
    </w:p>
    <w:p w14:paraId="30CAE030">
      <w:pPr>
        <w:spacing w:line="520" w:lineRule="exact"/>
        <w:rPr>
          <w:rFonts w:hint="eastAsia" w:ascii="仿宋_GB2312" w:hAnsi="宋体"/>
          <w:bCs/>
          <w:szCs w:val="32"/>
        </w:rPr>
      </w:pPr>
      <w:r>
        <w:rPr>
          <w:rFonts w:hint="eastAsia" w:ascii="仿宋_GB2312" w:hAnsi="宋体"/>
          <w:bCs/>
          <w:szCs w:val="32"/>
        </w:rPr>
        <w:t>二、机构设置</w:t>
      </w:r>
    </w:p>
    <w:p w14:paraId="695069DC">
      <w:pPr>
        <w:spacing w:line="520" w:lineRule="exact"/>
        <w:rPr>
          <w:rFonts w:hint="eastAsia" w:ascii="仿宋_GB2312" w:hAnsi="宋体"/>
          <w:bCs/>
          <w:szCs w:val="32"/>
        </w:rPr>
      </w:pPr>
      <w:r>
        <w:rPr>
          <w:rFonts w:hint="eastAsia" w:ascii="仿宋_GB2312" w:hAnsi="宋体"/>
          <w:bCs/>
          <w:szCs w:val="32"/>
        </w:rPr>
        <w:t>三、</w:t>
      </w:r>
      <w:r>
        <w:rPr>
          <w:rFonts w:hint="eastAsia" w:ascii="仿宋_GB2312" w:hAnsi="宋体"/>
          <w:bCs/>
          <w:szCs w:val="32"/>
          <w:lang w:eastAsia="zh-CN"/>
        </w:rPr>
        <w:t>淮北市相山区民政</w:t>
      </w:r>
      <w:r>
        <w:rPr>
          <w:rFonts w:hint="eastAsia" w:ascii="仿宋_GB2312" w:hAnsi="宋体"/>
          <w:bCs/>
          <w:szCs w:val="32"/>
        </w:rPr>
        <w:t>局</w:t>
      </w:r>
      <w:r>
        <w:rPr>
          <w:rFonts w:hint="eastAsia" w:ascii="仿宋_GB2312" w:hAnsi="宋体"/>
          <w:bCs/>
          <w:szCs w:val="32"/>
          <w:lang w:eastAsia="zh-CN"/>
        </w:rPr>
        <w:t>2022</w:t>
      </w:r>
      <w:r>
        <w:rPr>
          <w:rFonts w:hint="eastAsia" w:ascii="仿宋_GB2312" w:hAnsi="宋体"/>
          <w:bCs/>
          <w:szCs w:val="32"/>
        </w:rPr>
        <w:t>年度部门决算说明</w:t>
      </w:r>
    </w:p>
    <w:p w14:paraId="715FD0BB">
      <w:pPr>
        <w:spacing w:line="520" w:lineRule="exact"/>
        <w:rPr>
          <w:rFonts w:hint="eastAsia" w:ascii="仿宋_GB2312" w:hAnsi="宋体"/>
          <w:bCs/>
          <w:szCs w:val="32"/>
        </w:rPr>
      </w:pPr>
      <w:r>
        <w:rPr>
          <w:rFonts w:hint="eastAsia" w:ascii="仿宋_GB2312" w:hAnsi="宋体"/>
          <w:bCs/>
          <w:szCs w:val="32"/>
        </w:rPr>
        <w:t>（一）收入支出决算总体情况说明</w:t>
      </w:r>
    </w:p>
    <w:p w14:paraId="57B0A1A9">
      <w:pPr>
        <w:spacing w:line="520" w:lineRule="exact"/>
        <w:rPr>
          <w:rFonts w:hint="eastAsia" w:ascii="仿宋_GB2312" w:hAnsi="宋体"/>
          <w:bCs/>
          <w:szCs w:val="32"/>
        </w:rPr>
      </w:pPr>
      <w:r>
        <w:rPr>
          <w:rFonts w:hint="eastAsia" w:ascii="仿宋_GB2312" w:hAnsi="宋体"/>
          <w:bCs/>
          <w:szCs w:val="32"/>
        </w:rPr>
        <w:t>（二）收入决算情况说明</w:t>
      </w:r>
    </w:p>
    <w:p w14:paraId="4F7D69F4">
      <w:pPr>
        <w:spacing w:line="520" w:lineRule="exact"/>
        <w:rPr>
          <w:rFonts w:hint="eastAsia" w:ascii="仿宋_GB2312" w:hAnsi="宋体"/>
          <w:bCs/>
          <w:szCs w:val="32"/>
        </w:rPr>
      </w:pPr>
      <w:r>
        <w:rPr>
          <w:rFonts w:hint="eastAsia" w:ascii="仿宋_GB2312" w:hAnsi="宋体"/>
          <w:bCs/>
          <w:szCs w:val="32"/>
        </w:rPr>
        <w:t>（三）支出决算情况说明</w:t>
      </w:r>
    </w:p>
    <w:p w14:paraId="6FDAEA15">
      <w:pPr>
        <w:spacing w:line="520" w:lineRule="exact"/>
        <w:rPr>
          <w:rFonts w:hint="eastAsia" w:ascii="仿宋_GB2312" w:hAnsi="宋体"/>
          <w:bCs/>
          <w:szCs w:val="32"/>
        </w:rPr>
      </w:pPr>
      <w:r>
        <w:rPr>
          <w:rFonts w:hint="eastAsia" w:ascii="仿宋_GB2312" w:hAnsi="宋体"/>
          <w:bCs/>
          <w:szCs w:val="32"/>
        </w:rPr>
        <w:t>（四）财政拨款收入支出决算总体情况说明</w:t>
      </w:r>
    </w:p>
    <w:p w14:paraId="572E3F60">
      <w:pPr>
        <w:spacing w:line="520" w:lineRule="exact"/>
        <w:rPr>
          <w:rFonts w:hint="eastAsia" w:ascii="仿宋_GB2312" w:hAnsi="宋体"/>
          <w:bCs/>
          <w:szCs w:val="32"/>
        </w:rPr>
      </w:pPr>
      <w:r>
        <w:rPr>
          <w:rFonts w:hint="eastAsia" w:ascii="仿宋_GB2312" w:hAnsi="宋体"/>
          <w:bCs/>
          <w:szCs w:val="32"/>
        </w:rPr>
        <w:t>（五）一般公共预算财政拨款支出决算情况说明</w:t>
      </w:r>
    </w:p>
    <w:p w14:paraId="211FB4A3">
      <w:pPr>
        <w:spacing w:line="520" w:lineRule="exact"/>
        <w:rPr>
          <w:rFonts w:hint="eastAsia" w:ascii="仿宋_GB2312" w:hAnsi="宋体"/>
          <w:bCs/>
          <w:szCs w:val="32"/>
        </w:rPr>
      </w:pPr>
      <w:r>
        <w:rPr>
          <w:rFonts w:hint="eastAsia" w:ascii="仿宋_GB2312" w:hAnsi="宋体"/>
          <w:bCs/>
          <w:szCs w:val="32"/>
        </w:rPr>
        <w:t>（六）一般公共预算财政拨款基本支出决算情况说明</w:t>
      </w:r>
    </w:p>
    <w:p w14:paraId="2441AE16">
      <w:pPr>
        <w:spacing w:line="520" w:lineRule="exact"/>
        <w:rPr>
          <w:rFonts w:hint="eastAsia" w:ascii="仿宋_GB2312" w:hAnsi="宋体"/>
          <w:bCs/>
          <w:szCs w:val="32"/>
        </w:rPr>
      </w:pPr>
      <w:r>
        <w:rPr>
          <w:rFonts w:hint="eastAsia" w:ascii="仿宋_GB2312" w:hAnsi="宋体"/>
          <w:bCs/>
          <w:szCs w:val="32"/>
        </w:rPr>
        <w:t>（七）政府性基金预算财政拨款收入支出决算情况说明</w:t>
      </w:r>
    </w:p>
    <w:p w14:paraId="7FEC45A6">
      <w:pPr>
        <w:spacing w:line="520" w:lineRule="exact"/>
        <w:rPr>
          <w:rFonts w:hint="eastAsia" w:ascii="仿宋_GB2312" w:hAnsi="宋体"/>
          <w:bCs/>
          <w:szCs w:val="32"/>
        </w:rPr>
      </w:pPr>
      <w:r>
        <w:rPr>
          <w:rFonts w:hint="eastAsia" w:ascii="仿宋_GB2312" w:hAnsi="宋体"/>
          <w:bCs/>
          <w:szCs w:val="32"/>
        </w:rPr>
        <w:t>（八）国有资本经营预算财政拨款支出决算情况说明</w:t>
      </w:r>
    </w:p>
    <w:p w14:paraId="507DD604">
      <w:pPr>
        <w:spacing w:line="520" w:lineRule="exact"/>
        <w:rPr>
          <w:rFonts w:hint="eastAsia" w:ascii="仿宋_GB2312" w:hAnsi="宋体"/>
          <w:bCs/>
          <w:szCs w:val="32"/>
        </w:rPr>
      </w:pPr>
      <w:r>
        <w:rPr>
          <w:rFonts w:hint="eastAsia" w:ascii="仿宋_GB2312" w:hAnsi="宋体"/>
          <w:bCs/>
          <w:szCs w:val="32"/>
        </w:rPr>
        <w:t>（九）其他重要事项情况说明</w:t>
      </w:r>
    </w:p>
    <w:p w14:paraId="64C8BEC2">
      <w:pPr>
        <w:spacing w:line="520" w:lineRule="exact"/>
        <w:rPr>
          <w:rFonts w:hint="eastAsia" w:ascii="仿宋_GB2312" w:hAnsi="宋体"/>
          <w:bCs/>
          <w:szCs w:val="32"/>
        </w:rPr>
      </w:pPr>
      <w:r>
        <w:rPr>
          <w:rFonts w:hint="eastAsia" w:ascii="仿宋_GB2312" w:hAnsi="宋体"/>
          <w:bCs/>
          <w:szCs w:val="32"/>
        </w:rPr>
        <w:t>四、名词解释</w:t>
      </w:r>
    </w:p>
    <w:p w14:paraId="7062B4C9">
      <w:pPr>
        <w:spacing w:line="520" w:lineRule="exact"/>
        <w:rPr>
          <w:rFonts w:hint="eastAsia" w:ascii="仿宋_GB2312" w:hAnsi="宋体"/>
          <w:b/>
          <w:szCs w:val="32"/>
        </w:rPr>
      </w:pPr>
      <w:r>
        <w:rPr>
          <w:rFonts w:hint="eastAsia" w:ascii="仿宋_GB2312" w:hAnsi="宋体"/>
          <w:b/>
          <w:szCs w:val="32"/>
        </w:rPr>
        <w:t xml:space="preserve">第二部分 </w:t>
      </w:r>
      <w:r>
        <w:rPr>
          <w:rFonts w:hint="eastAsia" w:ascii="仿宋_GB2312" w:hAnsi="宋体"/>
          <w:b/>
          <w:szCs w:val="32"/>
          <w:lang w:eastAsia="zh-CN"/>
        </w:rPr>
        <w:t>淮北市相山区民政</w:t>
      </w:r>
      <w:r>
        <w:rPr>
          <w:rFonts w:hint="eastAsia" w:ascii="仿宋_GB2312" w:hAnsi="宋体"/>
          <w:b/>
          <w:szCs w:val="32"/>
        </w:rPr>
        <w:t>局</w:t>
      </w:r>
      <w:r>
        <w:rPr>
          <w:rFonts w:hint="eastAsia" w:ascii="仿宋_GB2312" w:hAnsi="宋体"/>
          <w:b/>
          <w:szCs w:val="32"/>
          <w:lang w:eastAsia="zh-CN"/>
        </w:rPr>
        <w:t>2022</w:t>
      </w:r>
      <w:r>
        <w:rPr>
          <w:rFonts w:hint="eastAsia" w:ascii="仿宋_GB2312" w:hAnsi="宋体"/>
          <w:b/>
          <w:szCs w:val="32"/>
        </w:rPr>
        <w:t>年部门决算公开报表</w:t>
      </w:r>
    </w:p>
    <w:p w14:paraId="2F89AE25">
      <w:pPr>
        <w:spacing w:line="520" w:lineRule="exact"/>
        <w:rPr>
          <w:rFonts w:hint="eastAsia" w:ascii="仿宋_GB2312" w:hAnsi="宋体"/>
          <w:bCs/>
          <w:szCs w:val="32"/>
        </w:rPr>
      </w:pPr>
      <w:r>
        <w:rPr>
          <w:rFonts w:hint="eastAsia" w:ascii="仿宋_GB2312" w:hAnsi="宋体"/>
          <w:bCs/>
          <w:szCs w:val="32"/>
        </w:rPr>
        <w:t>一、收入支出决算总表</w:t>
      </w:r>
    </w:p>
    <w:p w14:paraId="19642ACF">
      <w:pPr>
        <w:spacing w:line="520" w:lineRule="exact"/>
        <w:rPr>
          <w:rFonts w:hint="eastAsia" w:ascii="仿宋_GB2312" w:hAnsi="宋体"/>
          <w:bCs/>
          <w:szCs w:val="32"/>
        </w:rPr>
      </w:pPr>
      <w:r>
        <w:rPr>
          <w:rFonts w:hint="eastAsia" w:ascii="仿宋_GB2312" w:hAnsi="宋体"/>
          <w:bCs/>
          <w:szCs w:val="32"/>
        </w:rPr>
        <w:t>二、收入决算表</w:t>
      </w:r>
    </w:p>
    <w:p w14:paraId="4D155F51">
      <w:pPr>
        <w:spacing w:line="520" w:lineRule="exact"/>
        <w:rPr>
          <w:rFonts w:hint="eastAsia" w:ascii="仿宋_GB2312" w:hAnsi="宋体"/>
          <w:bCs/>
          <w:szCs w:val="32"/>
        </w:rPr>
      </w:pPr>
      <w:r>
        <w:rPr>
          <w:rFonts w:hint="eastAsia" w:ascii="仿宋_GB2312" w:hAnsi="宋体"/>
          <w:bCs/>
          <w:szCs w:val="32"/>
        </w:rPr>
        <w:t>三、支出决算表</w:t>
      </w:r>
    </w:p>
    <w:p w14:paraId="3C42309F">
      <w:pPr>
        <w:spacing w:line="520" w:lineRule="exact"/>
        <w:rPr>
          <w:rFonts w:hint="eastAsia" w:ascii="仿宋_GB2312" w:hAnsi="宋体"/>
          <w:bCs/>
          <w:szCs w:val="32"/>
        </w:rPr>
      </w:pPr>
      <w:r>
        <w:rPr>
          <w:rFonts w:hint="eastAsia" w:ascii="仿宋_GB2312" w:hAnsi="宋体"/>
          <w:bCs/>
          <w:szCs w:val="32"/>
        </w:rPr>
        <w:t>四、财政拨款收入支出决算总表</w:t>
      </w:r>
    </w:p>
    <w:p w14:paraId="257A8557">
      <w:pPr>
        <w:spacing w:line="520" w:lineRule="exact"/>
        <w:rPr>
          <w:rFonts w:hint="eastAsia" w:ascii="仿宋_GB2312" w:hAnsi="宋体"/>
          <w:bCs/>
          <w:szCs w:val="32"/>
        </w:rPr>
      </w:pPr>
      <w:r>
        <w:rPr>
          <w:rFonts w:hint="eastAsia" w:ascii="仿宋_GB2312" w:hAnsi="宋体"/>
          <w:bCs/>
          <w:szCs w:val="32"/>
        </w:rPr>
        <w:t>五、一般公共预算财政拨款支出决算表</w:t>
      </w:r>
    </w:p>
    <w:p w14:paraId="2A8D9E75">
      <w:pPr>
        <w:spacing w:line="520" w:lineRule="exact"/>
        <w:rPr>
          <w:rFonts w:hint="eastAsia" w:ascii="仿宋_GB2312" w:hAnsi="宋体"/>
          <w:bCs/>
          <w:szCs w:val="32"/>
        </w:rPr>
      </w:pPr>
      <w:r>
        <w:rPr>
          <w:rFonts w:hint="eastAsia" w:ascii="仿宋_GB2312" w:hAnsi="宋体"/>
          <w:bCs/>
          <w:szCs w:val="32"/>
        </w:rPr>
        <w:t>六、一般公共预算财政拨款基本支出决算表</w:t>
      </w:r>
    </w:p>
    <w:p w14:paraId="48584779">
      <w:pPr>
        <w:spacing w:line="520" w:lineRule="exact"/>
        <w:rPr>
          <w:rFonts w:hint="eastAsia" w:ascii="仿宋_GB2312" w:hAnsi="宋体"/>
          <w:bCs/>
          <w:szCs w:val="32"/>
        </w:rPr>
      </w:pPr>
      <w:r>
        <w:rPr>
          <w:rFonts w:hint="eastAsia" w:ascii="仿宋_GB2312" w:hAnsi="宋体"/>
          <w:bCs/>
          <w:szCs w:val="32"/>
        </w:rPr>
        <w:t>七、政府性基金预算财政拨款收入支出决算表</w:t>
      </w:r>
    </w:p>
    <w:p w14:paraId="2E04D47F">
      <w:pPr>
        <w:spacing w:line="520" w:lineRule="exact"/>
        <w:rPr>
          <w:rFonts w:hint="eastAsia" w:ascii="仿宋_GB2312" w:hAnsi="宋体"/>
          <w:bCs/>
          <w:szCs w:val="32"/>
        </w:rPr>
      </w:pPr>
      <w:r>
        <w:rPr>
          <w:rFonts w:hint="eastAsia" w:ascii="仿宋_GB2312" w:hAnsi="宋体"/>
          <w:bCs/>
          <w:szCs w:val="32"/>
        </w:rPr>
        <w:t>八、国有资本经营预算财政拨款支出决算表</w:t>
      </w:r>
    </w:p>
    <w:p w14:paraId="1EC5E5AC">
      <w:pPr>
        <w:spacing w:line="520" w:lineRule="exact"/>
        <w:rPr>
          <w:rFonts w:ascii="仿宋_GB2312" w:hAnsi="宋体"/>
          <w:bCs/>
          <w:szCs w:val="32"/>
        </w:rPr>
      </w:pPr>
    </w:p>
    <w:p w14:paraId="708D90A1">
      <w:pPr>
        <w:spacing w:line="550" w:lineRule="exact"/>
        <w:jc w:val="center"/>
        <w:rPr>
          <w:rFonts w:hint="eastAsia" w:ascii="宋体" w:hAnsi="宋体" w:cs="Times New Roman"/>
          <w:b/>
          <w:sz w:val="36"/>
          <w:szCs w:val="36"/>
        </w:rPr>
      </w:pPr>
      <w:r>
        <w:rPr>
          <w:rFonts w:hint="eastAsia" w:ascii="仿宋_GB2312" w:hAnsi="宋体"/>
          <w:b/>
          <w:szCs w:val="32"/>
        </w:rPr>
        <w:br w:type="page"/>
      </w:r>
      <w:r>
        <w:rPr>
          <w:rFonts w:hint="eastAsia" w:ascii="宋体" w:hAnsi="宋体" w:cs="Times New Roman"/>
          <w:b/>
          <w:sz w:val="36"/>
          <w:szCs w:val="36"/>
          <w:lang w:eastAsia="zh-CN"/>
        </w:rPr>
        <w:t>淮北市相山区民政</w:t>
      </w:r>
      <w:r>
        <w:rPr>
          <w:rFonts w:hint="eastAsia" w:ascii="宋体" w:hAnsi="宋体" w:cs="Times New Roman"/>
          <w:b/>
          <w:sz w:val="36"/>
          <w:szCs w:val="36"/>
        </w:rPr>
        <w:t>局</w:t>
      </w:r>
      <w:r>
        <w:rPr>
          <w:rFonts w:hint="eastAsia" w:ascii="宋体" w:hAnsi="宋体" w:cs="Times New Roman"/>
          <w:b/>
          <w:sz w:val="36"/>
          <w:szCs w:val="36"/>
          <w:lang w:eastAsia="zh-CN"/>
        </w:rPr>
        <w:t>2022</w:t>
      </w:r>
      <w:r>
        <w:rPr>
          <w:rFonts w:hint="eastAsia" w:ascii="宋体" w:hAnsi="宋体" w:cs="Times New Roman"/>
          <w:b/>
          <w:sz w:val="36"/>
          <w:szCs w:val="36"/>
        </w:rPr>
        <w:t>年度部门决算情况</w:t>
      </w:r>
    </w:p>
    <w:p w14:paraId="231FEF8B">
      <w:pPr>
        <w:ind w:firstLine="628" w:firstLineChars="200"/>
        <w:rPr>
          <w:rFonts w:hint="eastAsia" w:ascii="黑体" w:hAnsi="黑体" w:eastAsia="黑体"/>
          <w:szCs w:val="32"/>
        </w:rPr>
      </w:pPr>
    </w:p>
    <w:p w14:paraId="378FFC8C">
      <w:pPr>
        <w:numPr>
          <w:ilvl w:val="0"/>
          <w:numId w:val="1"/>
        </w:numPr>
        <w:ind w:firstLine="628" w:firstLineChars="200"/>
        <w:rPr>
          <w:rFonts w:hint="eastAsia" w:ascii="黑体" w:hAnsi="黑体" w:eastAsia="黑体"/>
          <w:szCs w:val="32"/>
        </w:rPr>
      </w:pPr>
      <w:r>
        <w:rPr>
          <w:rFonts w:hint="eastAsia" w:ascii="黑体" w:hAnsi="黑体" w:eastAsia="黑体"/>
          <w:szCs w:val="32"/>
        </w:rPr>
        <w:t>部门职责</w:t>
      </w:r>
    </w:p>
    <w:p w14:paraId="5A8ED170">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（一）根据国民经济和社会发展规划，拟定全区民政事业发展战略，编制民政事业中、长期发展规划；制定年度工作计划，监督检查有关民政政策法规实施情况。</w:t>
      </w:r>
    </w:p>
    <w:p w14:paraId="1968DE8B">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（二）负责全区城乡居民最低生活保障工作，解决低收入家庭的生活困难。</w:t>
      </w:r>
    </w:p>
    <w:p w14:paraId="7D18875F">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（三）负责全区农村五保供养工作，做好五保供养机构建设工作并做好监督与管理。</w:t>
      </w:r>
    </w:p>
    <w:p w14:paraId="08286DFC">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四）承担全区基层政权建设日常工作。拟定社区建设发展规划，组织协调区直机关和街道、社区开展社区建设工作；指导全区基层政权和基层群众自治组织建设，推动农村开展村民自治活动；负责社区居委会的建设与管理，居委会干部的选举、培训，指导社区共建与管理工作，指导完成社区居委会换届改选工作；协调整合社区服务和社区活动的场地及设施建设工作；指导社区居委会开展社区服务工作，推进社区服务产业化。</w:t>
      </w:r>
    </w:p>
    <w:p w14:paraId="7B54A80E">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（五）负责全区镇（街道）、村（社区）的设立、撤销、调整和行政区域界线变更的审核报批；研究和修订行政区域规划；组织行政区域界线的勘定。</w:t>
      </w:r>
    </w:p>
    <w:p w14:paraId="75E0B4FB">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（六）负责全区的生活无着人员社会救助工作，负责全区孤儿生活救助及资金发放工作。</w:t>
      </w:r>
    </w:p>
    <w:p w14:paraId="2D94E7DC">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（七）负责全区的慈善宣传和慈善捐赠的接收、统计、上报工作。</w:t>
      </w:r>
    </w:p>
    <w:p w14:paraId="3D39AE99">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（八）负责全区临时救助工作，解决暂时性家庭困难。</w:t>
      </w:r>
    </w:p>
    <w:p w14:paraId="752464F7">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（九）负责全区社会团体和民办非企业单位的登记管理和年度检查；指导和监督全区社团和民办非企业单位依法开展活动。</w:t>
      </w:r>
    </w:p>
    <w:p w14:paraId="082DF1D8">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十)负责全区婚姻登记和管理工作，依法实施婚姻登记管理。负责办理结婚登记、离婚登记；补发结、离婚登记；出具婚姻登记记录证明；处理违法婚姻行为；负责婚姻登记材料收集、整理、归档、管理，确保其完整，维护婚姻当事人的合法权益；配合卫生、计生部门做好婚前体检、优生优育等宣传教育活动。</w:t>
      </w:r>
    </w:p>
    <w:p w14:paraId="575B0C15">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(十一)负责全区艾滋病人生活救助金的审批发放工作。</w:t>
      </w:r>
    </w:p>
    <w:p w14:paraId="30E932C0">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(十二)研究拟定全区社区服务业发展规划，建立完善社区服务管理体系及基础设施。</w:t>
      </w:r>
    </w:p>
    <w:p w14:paraId="036413C8">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(十三)负责全区殡葬管理和全区殡葬企事业单位的监督指导工作。</w:t>
      </w:r>
    </w:p>
    <w:p w14:paraId="30F7E10E">
      <w:p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(十四)负责全区民政事业计划财务工作，指导监督民政事业经费的使用和管理，负责编制民政事业经费预算和各类民政统计报表上报工作。</w:t>
      </w:r>
    </w:p>
    <w:p w14:paraId="5911F771">
      <w:pPr>
        <w:ind w:firstLine="628" w:firstLineChars="200"/>
        <w:rPr>
          <w:rFonts w:hint="eastAsia" w:ascii="仿宋_GB2312" w:hAnsi="仿宋" w:cs="Times New Roman"/>
          <w:szCs w:val="32"/>
        </w:rPr>
      </w:pPr>
      <w:r>
        <w:rPr>
          <w:rFonts w:hint="eastAsia" w:ascii="仿宋_GB2312" w:hAnsi="仿宋" w:cs="Times New Roman"/>
          <w:szCs w:val="32"/>
          <w:lang w:val="en-US" w:eastAsia="zh-CN"/>
        </w:rPr>
        <w:t>(十五)认真做好民政信访工作</w:t>
      </w:r>
    </w:p>
    <w:p w14:paraId="5DD1B080">
      <w:pPr>
        <w:ind w:firstLine="628" w:firstLineChars="200"/>
        <w:rPr>
          <w:rFonts w:hint="eastAsia" w:ascii="黑体" w:hAnsi="黑体" w:eastAsia="黑体"/>
          <w:szCs w:val="32"/>
        </w:rPr>
      </w:pPr>
      <w:r>
        <w:rPr>
          <w:rFonts w:hint="eastAsia" w:ascii="黑体" w:hAnsi="黑体" w:eastAsia="黑体"/>
          <w:szCs w:val="32"/>
        </w:rPr>
        <w:t>二、机构设置</w:t>
      </w:r>
    </w:p>
    <w:p w14:paraId="43BAC9D9">
      <w:pPr>
        <w:ind w:firstLine="628" w:firstLineChars="200"/>
        <w:rPr>
          <w:rFonts w:hint="eastAsia" w:ascii="仿宋_GB2312" w:hAnsi="仿宋"/>
          <w:szCs w:val="32"/>
        </w:rPr>
      </w:pPr>
      <w:r>
        <w:rPr>
          <w:rFonts w:hint="eastAsia" w:ascii="仿宋_GB2312" w:hAnsi="仿宋" w:eastAsia="仿宋_GB2312"/>
          <w:sz w:val="32"/>
          <w:szCs w:val="32"/>
        </w:rPr>
        <w:t>从预算单位构成看，淮北市</w:t>
      </w:r>
      <w:r>
        <w:rPr>
          <w:rFonts w:hint="eastAsia" w:ascii="仿宋_GB2312" w:hAnsi="仿宋" w:eastAsia="仿宋_GB2312" w:cs="仿宋"/>
          <w:bCs/>
          <w:sz w:val="32"/>
          <w:szCs w:val="32"/>
        </w:rPr>
        <w:t>相山区民政局</w:t>
      </w:r>
      <w:r>
        <w:rPr>
          <w:rFonts w:hint="eastAsia" w:ascii="仿宋_GB2312" w:hAnsi="仿宋" w:eastAsia="仿宋_GB2312"/>
          <w:sz w:val="32"/>
          <w:szCs w:val="32"/>
        </w:rPr>
        <w:t>202</w:t>
      </w:r>
      <w:r>
        <w:rPr>
          <w:rFonts w:hint="eastAsia" w:ascii="仿宋_GB2312" w:hAnsi="仿宋"/>
          <w:sz w:val="32"/>
          <w:szCs w:val="32"/>
          <w:lang w:val="en-US" w:eastAsia="zh-CN"/>
        </w:rPr>
        <w:t>2</w:t>
      </w:r>
      <w:r>
        <w:rPr>
          <w:rFonts w:hint="eastAsia" w:ascii="仿宋_GB2312" w:hAnsi="仿宋" w:eastAsia="仿宋_GB2312"/>
          <w:sz w:val="32"/>
          <w:szCs w:val="32"/>
        </w:rPr>
        <w:t>年度部门</w:t>
      </w:r>
      <w:r>
        <w:rPr>
          <w:rFonts w:hint="eastAsia" w:ascii="仿宋_GB2312" w:hAnsi="仿宋"/>
          <w:sz w:val="32"/>
          <w:szCs w:val="32"/>
          <w:lang w:eastAsia="zh-CN"/>
        </w:rPr>
        <w:t>决</w:t>
      </w:r>
      <w:r>
        <w:rPr>
          <w:rFonts w:hint="eastAsia" w:ascii="仿宋_GB2312" w:hAnsi="仿宋" w:eastAsia="仿宋_GB2312"/>
          <w:sz w:val="32"/>
          <w:szCs w:val="32"/>
        </w:rPr>
        <w:t>算</w:t>
      </w:r>
      <w:r>
        <w:rPr>
          <w:rFonts w:hint="eastAsia" w:ascii="仿宋_GB2312" w:hAnsi="仿宋"/>
          <w:szCs w:val="32"/>
        </w:rPr>
        <w:t>包括：局本级决算</w:t>
      </w:r>
      <w:r>
        <w:rPr>
          <w:rFonts w:hint="eastAsia" w:ascii="仿宋_GB2312" w:hAnsi="仿宋"/>
          <w:szCs w:val="32"/>
          <w:lang w:eastAsia="zh-CN"/>
        </w:rPr>
        <w:t>，</w:t>
      </w:r>
      <w:r>
        <w:rPr>
          <w:rFonts w:hint="eastAsia" w:ascii="仿宋_GB2312" w:hAnsi="仿宋"/>
          <w:szCs w:val="32"/>
        </w:rPr>
        <w:t>与预算比较</w:t>
      </w:r>
      <w:r>
        <w:rPr>
          <w:rFonts w:hint="eastAsia" w:ascii="仿宋_GB2312" w:hAnsi="仿宋" w:cs="Times New Roman"/>
          <w:szCs w:val="32"/>
          <w:lang w:val="en-US" w:eastAsia="zh-CN"/>
        </w:rPr>
        <w:t>，无变化</w:t>
      </w:r>
      <w:r>
        <w:rPr>
          <w:rFonts w:hint="eastAsia" w:ascii="仿宋_GB2312" w:hAnsi="仿宋"/>
          <w:szCs w:val="32"/>
        </w:rPr>
        <w:t>。</w:t>
      </w:r>
    </w:p>
    <w:p w14:paraId="22E3A9E7">
      <w:pPr>
        <w:ind w:firstLine="628" w:firstLineChars="200"/>
        <w:rPr>
          <w:rFonts w:hint="eastAsia" w:ascii="仿宋_GB2312" w:hAnsi="仿宋" w:eastAsia="仿宋_GB2312"/>
          <w:sz w:val="32"/>
          <w:szCs w:val="32"/>
        </w:rPr>
      </w:pPr>
      <w:r>
        <w:rPr>
          <w:rFonts w:hint="eastAsia" w:ascii="仿宋_GB2312" w:hAnsi="仿宋"/>
          <w:szCs w:val="32"/>
        </w:rPr>
        <w:t>纳入</w:t>
      </w:r>
      <w:r>
        <w:rPr>
          <w:rFonts w:hint="eastAsia" w:ascii="仿宋_GB2312" w:hAnsi="仿宋"/>
          <w:szCs w:val="32"/>
          <w:lang w:eastAsia="zh-CN"/>
        </w:rPr>
        <w:t>淮北市相山区民政</w:t>
      </w:r>
      <w:r>
        <w:rPr>
          <w:rFonts w:hint="eastAsia" w:ascii="仿宋_GB2312" w:hAnsi="仿宋"/>
          <w:szCs w:val="32"/>
        </w:rPr>
        <w:t>局</w:t>
      </w:r>
      <w:r>
        <w:rPr>
          <w:rFonts w:hint="eastAsia" w:ascii="仿宋_GB2312" w:hAnsi="仿宋"/>
          <w:szCs w:val="32"/>
          <w:lang w:eastAsia="zh-CN"/>
        </w:rPr>
        <w:t>2022</w:t>
      </w:r>
      <w:r>
        <w:rPr>
          <w:rFonts w:hint="eastAsia" w:ascii="仿宋_GB2312" w:hAnsi="仿宋"/>
          <w:szCs w:val="32"/>
        </w:rPr>
        <w:t>年度部门决算编制范围的单位共</w:t>
      </w:r>
      <w:r>
        <w:rPr>
          <w:rFonts w:hint="eastAsia" w:ascii="仿宋_GB2312" w:hAnsi="仿宋"/>
          <w:szCs w:val="32"/>
          <w:lang w:val="en-US" w:eastAsia="zh-CN"/>
        </w:rPr>
        <w:t>1</w:t>
      </w:r>
      <w:r>
        <w:rPr>
          <w:rFonts w:hint="eastAsia" w:ascii="仿宋_GB2312" w:hAnsi="仿宋"/>
          <w:szCs w:val="32"/>
        </w:rPr>
        <w:t>个，详细情况见下表：</w:t>
      </w:r>
    </w:p>
    <w:tbl>
      <w:tblPr>
        <w:tblStyle w:val="11"/>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14:paraId="55EC6E98">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6D35F3">
            <w:pPr>
              <w:shd w:val="clear" w:color="auto" w:fill="FFFFFF"/>
              <w:adjustRightInd w:val="0"/>
              <w:snapToGrid w:val="0"/>
              <w:spacing w:line="360" w:lineRule="auto"/>
              <w:jc w:val="center"/>
              <w:rPr>
                <w:rFonts w:hint="eastAsia" w:ascii="仿宋_GB2312" w:hAnsi="宋体"/>
                <w:sz w:val="24"/>
              </w:rPr>
            </w:pPr>
            <w:r>
              <w:rPr>
                <w:rFonts w:hint="eastAsia" w:ascii="仿宋_GB2312" w:hAnsi="宋体"/>
                <w:sz w:val="24"/>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0DD52B5">
            <w:pPr>
              <w:shd w:val="clear" w:color="auto" w:fill="FFFFFF"/>
              <w:adjustRightInd w:val="0"/>
              <w:snapToGrid w:val="0"/>
              <w:spacing w:line="360" w:lineRule="auto"/>
              <w:jc w:val="center"/>
              <w:rPr>
                <w:rFonts w:hint="eastAsia" w:ascii="仿宋_GB2312" w:hAnsi="宋体"/>
                <w:sz w:val="24"/>
              </w:rPr>
            </w:pPr>
            <w:r>
              <w:rPr>
                <w:rFonts w:hint="eastAsia" w:ascii="仿宋_GB2312" w:hAnsi="宋体"/>
                <w:sz w:val="24"/>
              </w:rPr>
              <w:t>单位名称</w:t>
            </w:r>
          </w:p>
        </w:tc>
        <w:tc>
          <w:tcPr>
            <w:tcW w:w="4500" w:type="dxa"/>
            <w:tcBorders>
              <w:top w:val="single" w:color="auto" w:sz="8" w:space="0"/>
              <w:left w:val="nil"/>
              <w:bottom w:val="single" w:color="auto" w:sz="8" w:space="0"/>
              <w:right w:val="single" w:color="auto" w:sz="8" w:space="0"/>
            </w:tcBorders>
            <w:shd w:val="clear" w:color="auto" w:fill="FFFFFF"/>
            <w:noWrap w:val="0"/>
            <w:vAlign w:val="top"/>
          </w:tcPr>
          <w:p w14:paraId="3B3FFE6D">
            <w:pPr>
              <w:shd w:val="clear" w:color="auto" w:fill="FFFFFF"/>
              <w:adjustRightInd w:val="0"/>
              <w:snapToGrid w:val="0"/>
              <w:spacing w:line="360" w:lineRule="auto"/>
              <w:jc w:val="center"/>
              <w:rPr>
                <w:rFonts w:hint="eastAsia" w:ascii="仿宋_GB2312" w:hAnsi="宋体"/>
                <w:sz w:val="24"/>
              </w:rPr>
            </w:pPr>
            <w:r>
              <w:rPr>
                <w:rFonts w:hint="eastAsia" w:ascii="仿宋_GB2312" w:hAnsi="宋体"/>
                <w:sz w:val="24"/>
              </w:rPr>
              <w:t>单位性质</w:t>
            </w:r>
          </w:p>
        </w:tc>
      </w:tr>
      <w:tr w14:paraId="2F1AD4BD">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B2BE5E">
            <w:pPr>
              <w:shd w:val="clear" w:color="auto" w:fill="FFFFFF"/>
              <w:adjustRightInd w:val="0"/>
              <w:snapToGrid w:val="0"/>
              <w:spacing w:line="360" w:lineRule="auto"/>
              <w:jc w:val="center"/>
              <w:rPr>
                <w:rFonts w:hint="eastAsia" w:ascii="仿宋_GB2312" w:hAnsi="宋体" w:cs="宋体"/>
                <w:sz w:val="24"/>
              </w:rPr>
            </w:pPr>
            <w:r>
              <w:rPr>
                <w:rFonts w:hint="eastAsia" w:ascii="仿宋_GB2312" w:hAnsi="宋体"/>
                <w:sz w:val="24"/>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9FC1D9">
            <w:pPr>
              <w:shd w:val="clear" w:color="auto" w:fill="FFFFFF"/>
              <w:adjustRightInd w:val="0"/>
              <w:snapToGrid w:val="0"/>
              <w:spacing w:line="360" w:lineRule="auto"/>
              <w:jc w:val="center"/>
              <w:rPr>
                <w:rFonts w:hint="eastAsia" w:ascii="仿宋_GB2312" w:hAnsi="宋体"/>
                <w:sz w:val="24"/>
                <w:u w:val="single"/>
              </w:rPr>
            </w:pPr>
            <w:r>
              <w:rPr>
                <w:rFonts w:hint="eastAsia" w:ascii="仿宋_GB2312" w:hAnsi="仿宋" w:cs="仿宋"/>
                <w:bCs/>
                <w:sz w:val="24"/>
              </w:rPr>
              <w:t>淮北市相山区民政局本级</w:t>
            </w:r>
          </w:p>
        </w:tc>
        <w:tc>
          <w:tcPr>
            <w:tcW w:w="4500" w:type="dxa"/>
            <w:tcBorders>
              <w:top w:val="nil"/>
              <w:left w:val="nil"/>
              <w:bottom w:val="single" w:color="auto" w:sz="8" w:space="0"/>
              <w:right w:val="single" w:color="auto" w:sz="8" w:space="0"/>
            </w:tcBorders>
            <w:shd w:val="clear" w:color="auto" w:fill="FFFFFF"/>
            <w:noWrap w:val="0"/>
            <w:vAlign w:val="top"/>
          </w:tcPr>
          <w:p w14:paraId="5A486DAF">
            <w:pPr>
              <w:shd w:val="clear" w:color="auto" w:fill="FFFFFF"/>
              <w:adjustRightInd w:val="0"/>
              <w:snapToGrid w:val="0"/>
              <w:spacing w:line="360" w:lineRule="auto"/>
              <w:jc w:val="center"/>
              <w:rPr>
                <w:rFonts w:hint="eastAsia" w:ascii="仿宋_GB2312" w:hAnsi="宋体"/>
                <w:sz w:val="24"/>
                <w:u w:val="single"/>
              </w:rPr>
            </w:pPr>
            <w:r>
              <w:rPr>
                <w:rFonts w:hint="eastAsia" w:ascii="仿宋_GB2312" w:hAnsi="仿宋" w:cs="仿宋"/>
                <w:bCs/>
                <w:sz w:val="24"/>
              </w:rPr>
              <w:t>行政单位</w:t>
            </w:r>
          </w:p>
        </w:tc>
      </w:tr>
    </w:tbl>
    <w:p w14:paraId="177FB96D">
      <w:pPr>
        <w:ind w:firstLine="628" w:firstLineChars="200"/>
        <w:rPr>
          <w:rFonts w:hint="eastAsia" w:ascii="黑体" w:hAnsi="黑体" w:eastAsia="黑体"/>
          <w:szCs w:val="32"/>
        </w:rPr>
      </w:pPr>
      <w:r>
        <w:rPr>
          <w:rFonts w:hint="eastAsia" w:ascii="黑体" w:hAnsi="黑体" w:eastAsia="黑体"/>
          <w:szCs w:val="32"/>
        </w:rPr>
        <w:t>三、</w:t>
      </w:r>
      <w:r>
        <w:rPr>
          <w:rFonts w:hint="eastAsia" w:ascii="仿宋_GB2312" w:hAnsi="仿宋" w:eastAsia="黑体"/>
          <w:szCs w:val="32"/>
          <w:lang w:eastAsia="zh-CN"/>
        </w:rPr>
        <w:t>淮北市相山区</w:t>
      </w:r>
      <w:r>
        <w:rPr>
          <w:rFonts w:hint="eastAsia" w:ascii="黑体" w:hAnsi="黑体" w:eastAsia="黑体" w:cs="Times New Roman"/>
          <w:szCs w:val="32"/>
          <w:lang w:eastAsia="zh-CN"/>
        </w:rPr>
        <w:t>民政</w:t>
      </w:r>
      <w:r>
        <w:rPr>
          <w:rFonts w:hint="eastAsia" w:ascii="黑体" w:hAnsi="黑体" w:eastAsia="黑体" w:cs="Times New Roman"/>
          <w:szCs w:val="32"/>
        </w:rPr>
        <w:t>局</w:t>
      </w:r>
      <w:r>
        <w:rPr>
          <w:rFonts w:hint="eastAsia" w:ascii="黑体" w:hAnsi="黑体" w:eastAsia="黑体" w:cs="Times New Roman"/>
          <w:szCs w:val="32"/>
          <w:lang w:eastAsia="zh-CN"/>
        </w:rPr>
        <w:t>2022</w:t>
      </w:r>
      <w:r>
        <w:rPr>
          <w:rFonts w:hint="eastAsia" w:ascii="黑体" w:hAnsi="黑体" w:eastAsia="黑体"/>
          <w:szCs w:val="32"/>
        </w:rPr>
        <w:t>年度部门决算情况说明</w:t>
      </w:r>
    </w:p>
    <w:p w14:paraId="6F1F1C01">
      <w:pPr>
        <w:ind w:firstLine="628" w:firstLineChars="200"/>
        <w:rPr>
          <w:rFonts w:hint="eastAsia" w:ascii="黑体" w:hAnsi="黑体" w:eastAsia="黑体"/>
          <w:szCs w:val="32"/>
        </w:rPr>
      </w:pPr>
      <w:r>
        <w:rPr>
          <w:rFonts w:hint="eastAsia" w:ascii="黑体" w:hAnsi="黑体" w:eastAsia="黑体"/>
          <w:szCs w:val="32"/>
        </w:rPr>
        <w:t>（一）收入支出决算情况说明</w:t>
      </w:r>
    </w:p>
    <w:p w14:paraId="15BDB4CC">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年度收入总计</w:t>
      </w:r>
      <w:r>
        <w:rPr>
          <w:rFonts w:hint="eastAsia" w:ascii="仿宋_GB2312" w:hAnsi="仿宋"/>
          <w:szCs w:val="32"/>
          <w:lang w:val="en-US" w:eastAsia="zh-CN"/>
        </w:rPr>
        <w:t>8020.26</w:t>
      </w:r>
      <w:r>
        <w:rPr>
          <w:rFonts w:hint="eastAsia" w:ascii="仿宋_GB2312" w:hAnsi="仿宋"/>
          <w:szCs w:val="32"/>
        </w:rPr>
        <w:t>万元（含使用非财政拨款结转结余和年初结转结余）、支出总计</w:t>
      </w:r>
      <w:r>
        <w:rPr>
          <w:rFonts w:hint="eastAsia" w:ascii="仿宋_GB2312" w:hAnsi="仿宋"/>
          <w:szCs w:val="32"/>
          <w:lang w:val="en-US" w:eastAsia="zh-CN"/>
        </w:rPr>
        <w:t>8020.26</w:t>
      </w:r>
      <w:r>
        <w:rPr>
          <w:rFonts w:hint="eastAsia" w:ascii="仿宋_GB2312" w:hAnsi="仿宋"/>
          <w:szCs w:val="32"/>
        </w:rPr>
        <w:t>万元（含结余分配和年末结转结余）。与</w:t>
      </w:r>
      <w:r>
        <w:rPr>
          <w:rFonts w:hint="eastAsia" w:ascii="仿宋_GB2312" w:hAnsi="仿宋"/>
          <w:szCs w:val="32"/>
          <w:lang w:eastAsia="zh-CN"/>
        </w:rPr>
        <w:t>2021</w:t>
      </w:r>
      <w:r>
        <w:rPr>
          <w:rFonts w:hint="eastAsia" w:ascii="仿宋_GB2312" w:hAnsi="仿宋"/>
          <w:szCs w:val="32"/>
        </w:rPr>
        <w:t>年相比，收、支总计各增加</w:t>
      </w:r>
      <w:r>
        <w:rPr>
          <w:rFonts w:hint="eastAsia" w:ascii="仿宋_GB2312" w:hAnsi="仿宋"/>
          <w:szCs w:val="32"/>
          <w:lang w:val="en-US" w:eastAsia="zh-CN"/>
        </w:rPr>
        <w:t>1029.15</w:t>
      </w:r>
      <w:r>
        <w:rPr>
          <w:rFonts w:hint="eastAsia" w:ascii="仿宋_GB2312" w:hAnsi="仿宋"/>
          <w:szCs w:val="32"/>
        </w:rPr>
        <w:t>万元，增长</w:t>
      </w:r>
      <w:r>
        <w:rPr>
          <w:rFonts w:hint="eastAsia" w:ascii="仿宋_GB2312" w:hAnsi="仿宋"/>
          <w:szCs w:val="32"/>
          <w:lang w:val="en-US" w:eastAsia="zh-CN"/>
        </w:rPr>
        <w:t>14.72</w:t>
      </w:r>
      <w:r>
        <w:rPr>
          <w:rFonts w:hint="eastAsia" w:ascii="仿宋_GB2312" w:hAnsi="仿宋"/>
          <w:szCs w:val="32"/>
        </w:rPr>
        <w:t>%，主要原因：</w:t>
      </w:r>
      <w:r>
        <w:rPr>
          <w:rFonts w:hint="eastAsia" w:ascii="仿宋_GB2312" w:hAnsi="仿宋"/>
          <w:szCs w:val="32"/>
          <w:lang w:eastAsia="zh-CN"/>
        </w:rPr>
        <w:t>上级拨付资金增加</w:t>
      </w:r>
      <w:r>
        <w:rPr>
          <w:rFonts w:hint="eastAsia" w:ascii="仿宋_GB2312" w:hAnsi="仿宋"/>
          <w:szCs w:val="32"/>
        </w:rPr>
        <w:t>。</w:t>
      </w:r>
    </w:p>
    <w:p w14:paraId="565E3685">
      <w:pPr>
        <w:ind w:firstLine="628" w:firstLineChars="200"/>
        <w:rPr>
          <w:rFonts w:hint="eastAsia" w:ascii="黑体" w:hAnsi="仿宋" w:eastAsia="黑体"/>
          <w:szCs w:val="32"/>
        </w:rPr>
      </w:pPr>
      <w:r>
        <w:rPr>
          <w:rFonts w:hint="eastAsia" w:ascii="黑体" w:hAnsi="仿宋" w:eastAsia="黑体"/>
          <w:szCs w:val="32"/>
        </w:rPr>
        <w:t>（二）收入决算情况说明</w:t>
      </w:r>
    </w:p>
    <w:p w14:paraId="18D52C47">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年度收入合计</w:t>
      </w:r>
      <w:r>
        <w:rPr>
          <w:rFonts w:hint="eastAsia" w:ascii="仿宋_GB2312" w:hAnsi="仿宋"/>
          <w:szCs w:val="32"/>
          <w:lang w:val="en-US" w:eastAsia="zh-CN"/>
        </w:rPr>
        <w:t>7985.33</w:t>
      </w:r>
      <w:r>
        <w:rPr>
          <w:rFonts w:hint="eastAsia" w:ascii="仿宋_GB2312" w:hAnsi="仿宋"/>
          <w:szCs w:val="32"/>
        </w:rPr>
        <w:t>万元，其中：财政拨款收入</w:t>
      </w:r>
      <w:r>
        <w:rPr>
          <w:rFonts w:hint="eastAsia" w:ascii="仿宋_GB2312" w:hAnsi="仿宋"/>
          <w:szCs w:val="32"/>
          <w:lang w:val="en-US" w:eastAsia="zh-CN"/>
        </w:rPr>
        <w:t>7985.33</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%；事业收入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%；经营收入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%；其他收入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w:t>
      </w:r>
    </w:p>
    <w:p w14:paraId="125829F9">
      <w:pPr>
        <w:ind w:firstLine="628" w:firstLineChars="200"/>
        <w:rPr>
          <w:rFonts w:hint="eastAsia" w:ascii="黑体" w:hAnsi="仿宋" w:eastAsia="黑体"/>
          <w:szCs w:val="32"/>
        </w:rPr>
      </w:pPr>
      <w:r>
        <w:rPr>
          <w:rFonts w:hint="eastAsia" w:ascii="黑体" w:hAnsi="仿宋" w:eastAsia="黑体"/>
          <w:szCs w:val="32"/>
        </w:rPr>
        <w:t>（三）支出决算情况说明</w:t>
      </w:r>
    </w:p>
    <w:p w14:paraId="1C949490">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年度支出合计</w:t>
      </w:r>
      <w:r>
        <w:rPr>
          <w:rFonts w:hint="eastAsia" w:ascii="仿宋_GB2312" w:hAnsi="仿宋"/>
          <w:szCs w:val="32"/>
          <w:lang w:val="en-US" w:eastAsia="zh-CN"/>
        </w:rPr>
        <w:t>7985.33</w:t>
      </w:r>
      <w:r>
        <w:rPr>
          <w:rFonts w:hint="eastAsia" w:ascii="仿宋_GB2312" w:hAnsi="仿宋"/>
          <w:szCs w:val="32"/>
        </w:rPr>
        <w:t>万元，其中：基本支出</w:t>
      </w:r>
      <w:r>
        <w:rPr>
          <w:rFonts w:hint="eastAsia" w:ascii="仿宋_GB2312" w:hAnsi="仿宋"/>
          <w:szCs w:val="32"/>
          <w:lang w:val="en-US" w:eastAsia="zh-CN"/>
        </w:rPr>
        <w:t>427.24</w:t>
      </w:r>
      <w:r>
        <w:rPr>
          <w:rFonts w:hint="eastAsia" w:ascii="仿宋_GB2312" w:hAnsi="仿宋"/>
          <w:szCs w:val="32"/>
        </w:rPr>
        <w:t>万元，占</w:t>
      </w:r>
      <w:r>
        <w:rPr>
          <w:rFonts w:hint="eastAsia" w:ascii="仿宋_GB2312" w:hAnsi="仿宋"/>
          <w:szCs w:val="32"/>
          <w:lang w:val="en-US" w:eastAsia="zh-CN"/>
        </w:rPr>
        <w:t>5.35</w:t>
      </w:r>
      <w:r>
        <w:rPr>
          <w:rFonts w:hint="eastAsia" w:ascii="仿宋_GB2312" w:hAnsi="仿宋"/>
          <w:szCs w:val="32"/>
        </w:rPr>
        <w:t>%；项目支出</w:t>
      </w:r>
      <w:r>
        <w:rPr>
          <w:rFonts w:hint="eastAsia" w:ascii="仿宋_GB2312" w:hAnsi="仿宋"/>
          <w:szCs w:val="32"/>
          <w:lang w:val="en-US" w:eastAsia="zh-CN"/>
        </w:rPr>
        <w:t>7558.09</w:t>
      </w:r>
      <w:r>
        <w:rPr>
          <w:rFonts w:hint="eastAsia" w:ascii="仿宋_GB2312" w:hAnsi="仿宋"/>
          <w:szCs w:val="32"/>
        </w:rPr>
        <w:t>万元，占</w:t>
      </w:r>
      <w:r>
        <w:rPr>
          <w:rFonts w:hint="eastAsia" w:ascii="仿宋_GB2312" w:hAnsi="仿宋"/>
          <w:szCs w:val="32"/>
          <w:lang w:val="en-US" w:eastAsia="zh-CN"/>
        </w:rPr>
        <w:t>94.65</w:t>
      </w:r>
      <w:r>
        <w:rPr>
          <w:rFonts w:hint="eastAsia" w:ascii="仿宋_GB2312" w:hAnsi="仿宋"/>
          <w:szCs w:val="32"/>
        </w:rPr>
        <w:t>%；经营支出</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w:t>
      </w:r>
    </w:p>
    <w:p w14:paraId="6760C3E9">
      <w:pPr>
        <w:ind w:firstLine="628" w:firstLineChars="200"/>
        <w:rPr>
          <w:rFonts w:hint="eastAsia" w:ascii="黑体" w:hAnsi="仿宋" w:eastAsia="黑体"/>
          <w:szCs w:val="32"/>
        </w:rPr>
      </w:pPr>
      <w:r>
        <w:rPr>
          <w:rFonts w:hint="eastAsia" w:ascii="黑体" w:hAnsi="仿宋" w:eastAsia="黑体"/>
          <w:szCs w:val="32"/>
        </w:rPr>
        <w:t>（四）</w:t>
      </w:r>
      <w:r>
        <w:rPr>
          <w:rFonts w:hint="eastAsia" w:ascii="黑体" w:eastAsia="黑体"/>
          <w:szCs w:val="32"/>
        </w:rPr>
        <w:t>财政拨款收入支出决算总体情况说明</w:t>
      </w:r>
    </w:p>
    <w:p w14:paraId="286CE250">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年度财政拨款收入总计</w:t>
      </w:r>
      <w:r>
        <w:rPr>
          <w:rFonts w:hint="eastAsia" w:ascii="仿宋_GB2312" w:hAnsi="仿宋"/>
          <w:szCs w:val="32"/>
          <w:lang w:val="en-US" w:eastAsia="zh-CN"/>
        </w:rPr>
        <w:t>8020.26</w:t>
      </w:r>
      <w:r>
        <w:rPr>
          <w:rFonts w:hint="eastAsia" w:ascii="仿宋_GB2312" w:hAnsi="仿宋"/>
          <w:szCs w:val="32"/>
        </w:rPr>
        <w:t>万元（含年初财政拨款结转结余），支出总计</w:t>
      </w:r>
      <w:r>
        <w:rPr>
          <w:rFonts w:hint="eastAsia" w:ascii="仿宋_GB2312" w:hAnsi="仿宋"/>
          <w:szCs w:val="32"/>
          <w:lang w:val="en-US" w:eastAsia="zh-CN"/>
        </w:rPr>
        <w:t>8020.26</w:t>
      </w:r>
      <w:r>
        <w:rPr>
          <w:rFonts w:hint="eastAsia" w:ascii="仿宋_GB2312" w:hAnsi="仿宋"/>
          <w:szCs w:val="32"/>
        </w:rPr>
        <w:t>万元（含年末财政拨款结转结余）。与</w:t>
      </w:r>
      <w:r>
        <w:rPr>
          <w:rFonts w:hint="eastAsia" w:ascii="仿宋_GB2312" w:hAnsi="仿宋"/>
          <w:szCs w:val="32"/>
          <w:lang w:eastAsia="zh-CN"/>
        </w:rPr>
        <w:t>2021</w:t>
      </w:r>
      <w:r>
        <w:rPr>
          <w:rFonts w:hint="eastAsia" w:ascii="仿宋_GB2312" w:hAnsi="仿宋"/>
          <w:szCs w:val="32"/>
        </w:rPr>
        <w:t>年相比，财政拨款收、支总计各增加</w:t>
      </w:r>
      <w:r>
        <w:rPr>
          <w:rFonts w:hint="eastAsia" w:ascii="仿宋_GB2312" w:hAnsi="仿宋"/>
          <w:szCs w:val="32"/>
          <w:lang w:val="en-US" w:eastAsia="zh-CN"/>
        </w:rPr>
        <w:t>1029.15</w:t>
      </w:r>
      <w:r>
        <w:rPr>
          <w:rFonts w:hint="eastAsia" w:ascii="仿宋_GB2312" w:hAnsi="仿宋"/>
          <w:szCs w:val="32"/>
        </w:rPr>
        <w:t>万元，增长</w:t>
      </w:r>
      <w:r>
        <w:rPr>
          <w:rFonts w:hint="eastAsia" w:ascii="仿宋_GB2312" w:hAnsi="仿宋"/>
          <w:szCs w:val="32"/>
          <w:lang w:val="en-US" w:eastAsia="zh-CN"/>
        </w:rPr>
        <w:t>14.72</w:t>
      </w:r>
      <w:r>
        <w:rPr>
          <w:rFonts w:hint="eastAsia" w:ascii="仿宋_GB2312" w:hAnsi="仿宋"/>
          <w:szCs w:val="32"/>
        </w:rPr>
        <w:t>%，主要原因：</w:t>
      </w:r>
      <w:r>
        <w:rPr>
          <w:rFonts w:hint="eastAsia" w:ascii="仿宋_GB2312" w:hAnsi="仿宋"/>
          <w:szCs w:val="32"/>
          <w:lang w:eastAsia="zh-CN"/>
        </w:rPr>
        <w:t>上级拨付资金增加</w:t>
      </w:r>
      <w:r>
        <w:rPr>
          <w:rFonts w:hint="eastAsia" w:ascii="仿宋_GB2312" w:hAnsi="仿宋"/>
          <w:szCs w:val="32"/>
        </w:rPr>
        <w:t>。</w:t>
      </w:r>
    </w:p>
    <w:p w14:paraId="2C7AAEC9">
      <w:pPr>
        <w:ind w:firstLine="628" w:firstLineChars="200"/>
        <w:rPr>
          <w:rFonts w:hint="eastAsia" w:ascii="黑体" w:hAnsi="仿宋" w:eastAsia="黑体"/>
          <w:szCs w:val="32"/>
        </w:rPr>
      </w:pPr>
      <w:r>
        <w:rPr>
          <w:rFonts w:hint="eastAsia" w:ascii="黑体" w:hAnsi="仿宋" w:eastAsia="黑体"/>
          <w:szCs w:val="32"/>
        </w:rPr>
        <w:t>（五）一般公共预算财政拨款支出决算情况说明</w:t>
      </w:r>
    </w:p>
    <w:p w14:paraId="793A0365">
      <w:pPr>
        <w:ind w:firstLine="628" w:firstLineChars="200"/>
        <w:rPr>
          <w:rFonts w:hint="eastAsia" w:ascii="仿宋_GB2312" w:hAnsi="仿宋"/>
          <w:b/>
          <w:bCs/>
          <w:szCs w:val="32"/>
        </w:rPr>
      </w:pPr>
      <w:r>
        <w:rPr>
          <w:rFonts w:hint="eastAsia" w:ascii="仿宋_GB2312" w:hAnsi="仿宋"/>
          <w:b/>
          <w:bCs/>
          <w:szCs w:val="32"/>
        </w:rPr>
        <w:t>1、一般公共预算财政拨款支出决算总体情况。</w:t>
      </w:r>
    </w:p>
    <w:p w14:paraId="672B6AEE">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年度一般公共预算财政拨款支出</w:t>
      </w:r>
      <w:r>
        <w:rPr>
          <w:rFonts w:hint="eastAsia" w:ascii="仿宋_GB2312" w:hAnsi="仿宋"/>
          <w:szCs w:val="32"/>
          <w:lang w:val="en-US" w:eastAsia="zh-CN"/>
        </w:rPr>
        <w:t>7985.33</w:t>
      </w:r>
      <w:r>
        <w:rPr>
          <w:rFonts w:hint="eastAsia" w:ascii="仿宋_GB2312" w:hAnsi="仿宋"/>
          <w:szCs w:val="32"/>
        </w:rPr>
        <w:t>万元，占本年支出的</w:t>
      </w:r>
      <w:r>
        <w:rPr>
          <w:rFonts w:hint="eastAsia" w:ascii="仿宋_GB2312" w:hAnsi="仿宋"/>
          <w:szCs w:val="32"/>
          <w:lang w:val="en-US" w:eastAsia="zh-CN"/>
        </w:rPr>
        <w:t>99.56</w:t>
      </w:r>
      <w:r>
        <w:rPr>
          <w:rFonts w:hint="eastAsia" w:ascii="仿宋_GB2312" w:hAnsi="仿宋"/>
          <w:szCs w:val="32"/>
        </w:rPr>
        <w:t>%。与</w:t>
      </w:r>
      <w:r>
        <w:rPr>
          <w:rFonts w:hint="eastAsia" w:ascii="仿宋_GB2312" w:hAnsi="仿宋"/>
          <w:szCs w:val="32"/>
          <w:lang w:eastAsia="zh-CN"/>
        </w:rPr>
        <w:t>2021</w:t>
      </w:r>
      <w:r>
        <w:rPr>
          <w:rFonts w:hint="eastAsia" w:ascii="仿宋_GB2312" w:hAnsi="仿宋"/>
          <w:szCs w:val="32"/>
        </w:rPr>
        <w:t>年相比，一般公共预算财政拨款支出增加</w:t>
      </w:r>
      <w:r>
        <w:rPr>
          <w:rFonts w:hint="eastAsia" w:ascii="仿宋_GB2312" w:hAnsi="仿宋"/>
          <w:szCs w:val="32"/>
          <w:lang w:val="en-US" w:eastAsia="zh-CN"/>
        </w:rPr>
        <w:t>1326.5</w:t>
      </w:r>
      <w:r>
        <w:rPr>
          <w:rFonts w:hint="eastAsia" w:ascii="仿宋_GB2312" w:hAnsi="仿宋"/>
          <w:szCs w:val="32"/>
        </w:rPr>
        <w:t>万元，增长</w:t>
      </w:r>
      <w:r>
        <w:rPr>
          <w:rFonts w:hint="eastAsia" w:ascii="仿宋_GB2312" w:hAnsi="仿宋"/>
          <w:szCs w:val="32"/>
          <w:lang w:val="en-US" w:eastAsia="zh-CN"/>
        </w:rPr>
        <w:t>19.92</w:t>
      </w:r>
      <w:r>
        <w:rPr>
          <w:rFonts w:hint="eastAsia" w:ascii="仿宋_GB2312" w:hAnsi="仿宋"/>
          <w:szCs w:val="32"/>
        </w:rPr>
        <w:t>%。主要原因</w:t>
      </w:r>
      <w:r>
        <w:rPr>
          <w:rFonts w:hint="eastAsia" w:ascii="仿宋_GB2312" w:hAnsi="仿宋"/>
          <w:szCs w:val="32"/>
          <w:lang w:eastAsia="zh-CN"/>
        </w:rPr>
        <w:t>是发放社会养老服务机构运营补助、社会服务兜底工程。</w:t>
      </w:r>
    </w:p>
    <w:p w14:paraId="55FD25C6">
      <w:pPr>
        <w:ind w:firstLine="628" w:firstLineChars="200"/>
        <w:rPr>
          <w:rFonts w:hint="eastAsia" w:ascii="仿宋_GB2312" w:hAnsi="仿宋"/>
          <w:b/>
          <w:szCs w:val="32"/>
        </w:rPr>
      </w:pPr>
      <w:r>
        <w:rPr>
          <w:rFonts w:hint="eastAsia" w:ascii="仿宋_GB2312" w:hAnsi="仿宋"/>
          <w:b/>
          <w:szCs w:val="32"/>
        </w:rPr>
        <w:t>2、一般公共预算财政拨款支出决算结构情况。</w:t>
      </w:r>
    </w:p>
    <w:p w14:paraId="7AD9AFA0">
      <w:pPr>
        <w:ind w:firstLine="628" w:firstLineChars="200"/>
        <w:rPr>
          <w:rFonts w:ascii="仿宋_GB2312" w:hAnsi="仿宋"/>
          <w:szCs w:val="32"/>
        </w:rPr>
      </w:pPr>
      <w:r>
        <w:rPr>
          <w:rFonts w:hint="eastAsia" w:ascii="仿宋_GB2312" w:hAnsi="仿宋"/>
          <w:szCs w:val="32"/>
          <w:lang w:eastAsia="zh-CN"/>
        </w:rPr>
        <w:t>2022</w:t>
      </w:r>
      <w:r>
        <w:rPr>
          <w:rFonts w:hint="eastAsia" w:ascii="仿宋_GB2312" w:hAnsi="仿宋"/>
          <w:szCs w:val="32"/>
        </w:rPr>
        <w:t>年度一般公共预算财政拨款支出</w:t>
      </w:r>
      <w:r>
        <w:rPr>
          <w:rFonts w:hint="eastAsia" w:ascii="仿宋_GB2312" w:hAnsi="仿宋"/>
          <w:szCs w:val="32"/>
          <w:lang w:val="en-US" w:eastAsia="zh-CN"/>
        </w:rPr>
        <w:t>7634.17</w:t>
      </w:r>
      <w:r>
        <w:rPr>
          <w:rFonts w:hint="eastAsia" w:ascii="仿宋_GB2312" w:hAnsi="仿宋"/>
          <w:szCs w:val="32"/>
        </w:rPr>
        <w:t>万元，主要用于以下方面：</w:t>
      </w:r>
      <w:r>
        <w:rPr>
          <w:rFonts w:hint="eastAsia" w:ascii="仿宋_GB2312" w:hAnsi="仿宋"/>
          <w:b/>
          <w:szCs w:val="32"/>
        </w:rPr>
        <w:t>社会保障和就业（类）</w:t>
      </w:r>
      <w:r>
        <w:rPr>
          <w:rFonts w:hint="eastAsia" w:ascii="仿宋_GB2312" w:hAnsi="仿宋"/>
          <w:szCs w:val="32"/>
        </w:rPr>
        <w:t>支出</w:t>
      </w:r>
      <w:r>
        <w:rPr>
          <w:rFonts w:hint="eastAsia" w:ascii="仿宋_GB2312" w:hAnsi="仿宋"/>
          <w:szCs w:val="32"/>
          <w:lang w:val="en-US" w:eastAsia="zh-CN"/>
        </w:rPr>
        <w:t>7513.95</w:t>
      </w:r>
      <w:r>
        <w:rPr>
          <w:rFonts w:hint="eastAsia" w:ascii="仿宋_GB2312" w:hAnsi="仿宋"/>
          <w:szCs w:val="32"/>
        </w:rPr>
        <w:t>万元，占</w:t>
      </w:r>
      <w:r>
        <w:rPr>
          <w:rFonts w:hint="eastAsia" w:ascii="仿宋_GB2312" w:hAnsi="仿宋"/>
          <w:szCs w:val="32"/>
          <w:lang w:val="en-US" w:eastAsia="zh-CN"/>
        </w:rPr>
        <w:t>98.43</w:t>
      </w:r>
      <w:r>
        <w:rPr>
          <w:rFonts w:hint="eastAsia" w:ascii="仿宋_GB2312" w:hAnsi="仿宋"/>
          <w:szCs w:val="32"/>
        </w:rPr>
        <w:t>%；</w:t>
      </w:r>
      <w:r>
        <w:rPr>
          <w:rFonts w:hint="eastAsia" w:ascii="仿宋_GB2312" w:hAnsi="仿宋"/>
          <w:b/>
          <w:szCs w:val="32"/>
          <w:lang w:eastAsia="zh-CN"/>
        </w:rPr>
        <w:t>卫生健康</w:t>
      </w:r>
      <w:r>
        <w:rPr>
          <w:rFonts w:hint="eastAsia" w:ascii="仿宋_GB2312" w:hAnsi="仿宋"/>
          <w:b/>
          <w:szCs w:val="32"/>
        </w:rPr>
        <w:t>（类）</w:t>
      </w:r>
      <w:r>
        <w:rPr>
          <w:rFonts w:hint="eastAsia" w:ascii="仿宋_GB2312" w:hAnsi="仿宋"/>
          <w:szCs w:val="32"/>
        </w:rPr>
        <w:t>支出</w:t>
      </w:r>
      <w:r>
        <w:rPr>
          <w:rFonts w:hint="eastAsia" w:ascii="仿宋_GB2312" w:hAnsi="仿宋"/>
          <w:szCs w:val="32"/>
          <w:lang w:val="en-US" w:eastAsia="zh-CN"/>
        </w:rPr>
        <w:t>15.46</w:t>
      </w:r>
      <w:r>
        <w:rPr>
          <w:rFonts w:hint="eastAsia" w:ascii="仿宋_GB2312" w:hAnsi="仿宋"/>
          <w:szCs w:val="32"/>
        </w:rPr>
        <w:t>万元，占</w:t>
      </w:r>
      <w:r>
        <w:rPr>
          <w:rFonts w:hint="eastAsia" w:ascii="仿宋_GB2312" w:hAnsi="仿宋"/>
          <w:szCs w:val="32"/>
          <w:lang w:val="en-US" w:eastAsia="zh-CN"/>
        </w:rPr>
        <w:t>0.2</w:t>
      </w:r>
      <w:r>
        <w:rPr>
          <w:rFonts w:hint="eastAsia" w:ascii="仿宋_GB2312" w:hAnsi="仿宋"/>
          <w:szCs w:val="32"/>
        </w:rPr>
        <w:t>%；</w:t>
      </w:r>
      <w:r>
        <w:rPr>
          <w:rFonts w:hint="eastAsia" w:ascii="仿宋_GB2312" w:hAnsi="仿宋"/>
          <w:b/>
          <w:bCs/>
          <w:szCs w:val="32"/>
          <w:lang w:eastAsia="zh-CN"/>
        </w:rPr>
        <w:t>城乡社区（类）</w:t>
      </w:r>
      <w:r>
        <w:rPr>
          <w:rFonts w:hint="eastAsia" w:ascii="仿宋_GB2312" w:hAnsi="仿宋"/>
          <w:b w:val="0"/>
          <w:bCs w:val="0"/>
          <w:szCs w:val="32"/>
          <w:lang w:eastAsia="zh-CN"/>
        </w:rPr>
        <w:t>支出</w:t>
      </w:r>
      <w:r>
        <w:rPr>
          <w:rFonts w:hint="eastAsia" w:ascii="仿宋_GB2312" w:hAnsi="仿宋"/>
          <w:b w:val="0"/>
          <w:bCs w:val="0"/>
          <w:szCs w:val="32"/>
          <w:lang w:val="en-US" w:eastAsia="zh-CN"/>
        </w:rPr>
        <w:t>53.68万元，</w:t>
      </w:r>
      <w:r>
        <w:rPr>
          <w:rFonts w:hint="eastAsia" w:ascii="仿宋_GB2312" w:hAnsi="仿宋"/>
          <w:szCs w:val="32"/>
        </w:rPr>
        <w:t>占</w:t>
      </w:r>
      <w:r>
        <w:rPr>
          <w:rFonts w:hint="eastAsia" w:ascii="仿宋_GB2312" w:hAnsi="仿宋"/>
          <w:szCs w:val="32"/>
          <w:lang w:val="en-US" w:eastAsia="zh-CN"/>
        </w:rPr>
        <w:t>0.7</w:t>
      </w:r>
      <w:r>
        <w:rPr>
          <w:rFonts w:hint="eastAsia" w:ascii="仿宋_GB2312" w:hAnsi="仿宋"/>
          <w:szCs w:val="32"/>
        </w:rPr>
        <w:t>%；</w:t>
      </w:r>
      <w:r>
        <w:rPr>
          <w:rFonts w:hint="eastAsia" w:ascii="仿宋_GB2312" w:hAnsi="仿宋"/>
          <w:b/>
          <w:szCs w:val="32"/>
          <w:lang w:eastAsia="zh-CN"/>
        </w:rPr>
        <w:t>农林水</w:t>
      </w:r>
      <w:r>
        <w:rPr>
          <w:rFonts w:hint="eastAsia" w:ascii="仿宋_GB2312" w:hAnsi="仿宋"/>
          <w:b/>
          <w:szCs w:val="32"/>
        </w:rPr>
        <w:t>（类）</w:t>
      </w:r>
      <w:r>
        <w:rPr>
          <w:rFonts w:hint="eastAsia" w:ascii="仿宋_GB2312" w:hAnsi="仿宋"/>
          <w:szCs w:val="32"/>
        </w:rPr>
        <w:t>支出</w:t>
      </w:r>
      <w:r>
        <w:rPr>
          <w:rFonts w:hint="eastAsia" w:ascii="仿宋_GB2312" w:hAnsi="仿宋"/>
          <w:szCs w:val="32"/>
          <w:lang w:val="en-US" w:eastAsia="zh-CN"/>
        </w:rPr>
        <w:t>1.98</w:t>
      </w:r>
      <w:r>
        <w:rPr>
          <w:rFonts w:hint="eastAsia" w:ascii="仿宋_GB2312" w:hAnsi="仿宋"/>
          <w:szCs w:val="32"/>
        </w:rPr>
        <w:t>万元，占</w:t>
      </w:r>
      <w:r>
        <w:rPr>
          <w:rFonts w:hint="eastAsia" w:ascii="仿宋_GB2312" w:hAnsi="仿宋"/>
          <w:szCs w:val="32"/>
          <w:lang w:val="en-US" w:eastAsia="zh-CN"/>
        </w:rPr>
        <w:t>0.03</w:t>
      </w:r>
      <w:r>
        <w:rPr>
          <w:rFonts w:hint="eastAsia" w:ascii="仿宋_GB2312" w:hAnsi="仿宋"/>
          <w:szCs w:val="32"/>
        </w:rPr>
        <w:t>%</w:t>
      </w:r>
      <w:r>
        <w:rPr>
          <w:rFonts w:hint="eastAsia" w:ascii="仿宋_GB2312" w:hAnsi="仿宋"/>
          <w:szCs w:val="32"/>
          <w:lang w:eastAsia="zh-CN"/>
        </w:rPr>
        <w:t>；</w:t>
      </w:r>
      <w:r>
        <w:rPr>
          <w:rFonts w:hint="eastAsia" w:ascii="仿宋_GB2312" w:hAnsi="仿宋"/>
          <w:b/>
          <w:szCs w:val="32"/>
        </w:rPr>
        <w:t>住房保障（类）</w:t>
      </w:r>
      <w:r>
        <w:rPr>
          <w:rFonts w:hint="eastAsia" w:ascii="仿宋_GB2312" w:hAnsi="仿宋"/>
          <w:szCs w:val="32"/>
        </w:rPr>
        <w:t>支出</w:t>
      </w:r>
      <w:r>
        <w:rPr>
          <w:rFonts w:hint="eastAsia" w:ascii="仿宋_GB2312" w:hAnsi="仿宋"/>
          <w:szCs w:val="32"/>
          <w:lang w:val="en-US" w:eastAsia="zh-CN"/>
        </w:rPr>
        <w:t>49.1</w:t>
      </w:r>
      <w:r>
        <w:rPr>
          <w:rFonts w:hint="eastAsia" w:ascii="仿宋_GB2312" w:hAnsi="仿宋"/>
          <w:szCs w:val="32"/>
        </w:rPr>
        <w:t>万元，占</w:t>
      </w:r>
      <w:r>
        <w:rPr>
          <w:rFonts w:hint="eastAsia" w:ascii="仿宋_GB2312" w:hAnsi="仿宋"/>
          <w:szCs w:val="32"/>
          <w:lang w:val="en-US" w:eastAsia="zh-CN"/>
        </w:rPr>
        <w:t>0.64</w:t>
      </w:r>
      <w:r>
        <w:rPr>
          <w:rFonts w:hint="eastAsia" w:ascii="仿宋_GB2312" w:hAnsi="仿宋"/>
          <w:szCs w:val="32"/>
        </w:rPr>
        <w:t>%。</w:t>
      </w:r>
    </w:p>
    <w:p w14:paraId="1334CBF0">
      <w:pPr>
        <w:ind w:firstLine="628" w:firstLineChars="200"/>
        <w:rPr>
          <w:rFonts w:hint="eastAsia" w:ascii="仿宋_GB2312" w:hAnsi="仿宋"/>
          <w:b/>
          <w:bCs/>
          <w:szCs w:val="32"/>
        </w:rPr>
      </w:pPr>
      <w:r>
        <w:rPr>
          <w:rFonts w:hint="eastAsia" w:ascii="仿宋_GB2312" w:hAnsi="仿宋"/>
          <w:b/>
          <w:bCs/>
          <w:szCs w:val="32"/>
        </w:rPr>
        <w:t>3、一般公共预算财政拨款支出决算具体情况。</w:t>
      </w:r>
    </w:p>
    <w:p w14:paraId="412C7C52">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年度一般公共预算财政拨款支出年初预算为</w:t>
      </w:r>
      <w:r>
        <w:rPr>
          <w:rFonts w:hint="eastAsia" w:ascii="仿宋_GB2312" w:hAnsi="仿宋"/>
          <w:szCs w:val="32"/>
          <w:lang w:val="en-US" w:eastAsia="zh-CN"/>
        </w:rPr>
        <w:t>1525.26</w:t>
      </w:r>
      <w:r>
        <w:rPr>
          <w:rFonts w:hint="eastAsia" w:ascii="仿宋_GB2312" w:hAnsi="仿宋"/>
          <w:szCs w:val="32"/>
        </w:rPr>
        <w:t>万元，支出决算为</w:t>
      </w:r>
      <w:r>
        <w:rPr>
          <w:rFonts w:hint="eastAsia" w:ascii="仿宋_GB2312" w:hAnsi="仿宋"/>
          <w:szCs w:val="32"/>
          <w:lang w:val="en-US" w:eastAsia="zh-CN"/>
        </w:rPr>
        <w:t>7634.17</w:t>
      </w:r>
      <w:r>
        <w:rPr>
          <w:rFonts w:hint="eastAsia" w:ascii="仿宋_GB2312" w:hAnsi="仿宋"/>
          <w:szCs w:val="32"/>
        </w:rPr>
        <w:t>万元，完成年初预算的</w:t>
      </w:r>
      <w:r>
        <w:rPr>
          <w:rFonts w:hint="eastAsia" w:ascii="仿宋_GB2312" w:hAnsi="仿宋"/>
          <w:szCs w:val="32"/>
          <w:lang w:val="en-US" w:eastAsia="zh-CN"/>
        </w:rPr>
        <w:t>500.52</w:t>
      </w:r>
      <w:r>
        <w:rPr>
          <w:rFonts w:hint="eastAsia" w:ascii="仿宋_GB2312" w:hAnsi="仿宋"/>
          <w:szCs w:val="32"/>
        </w:rPr>
        <w:t>%。决算数大于预算数的主要原因</w:t>
      </w:r>
      <w:r>
        <w:rPr>
          <w:rFonts w:hint="eastAsia" w:ascii="仿宋_GB2312" w:hAnsi="仿宋"/>
          <w:szCs w:val="32"/>
          <w:lang w:eastAsia="zh-CN"/>
        </w:rPr>
        <w:t>预算中不包含中央、省、市上级下拨资金</w:t>
      </w:r>
      <w:r>
        <w:rPr>
          <w:rFonts w:hint="eastAsia" w:ascii="仿宋_GB2312" w:hAnsi="仿宋"/>
          <w:szCs w:val="32"/>
        </w:rPr>
        <w:t>。其中:基本支出</w:t>
      </w:r>
      <w:r>
        <w:rPr>
          <w:rFonts w:hint="eastAsia" w:ascii="仿宋_GB2312" w:hAnsi="仿宋"/>
          <w:szCs w:val="32"/>
          <w:lang w:val="en-US" w:eastAsia="zh-CN"/>
        </w:rPr>
        <w:t>427.24</w:t>
      </w:r>
      <w:r>
        <w:rPr>
          <w:rFonts w:hint="eastAsia" w:ascii="仿宋_GB2312" w:hAnsi="仿宋"/>
          <w:szCs w:val="32"/>
        </w:rPr>
        <w:t>万元，占</w:t>
      </w:r>
      <w:r>
        <w:rPr>
          <w:rFonts w:hint="eastAsia" w:ascii="仿宋_GB2312" w:hAnsi="仿宋"/>
          <w:szCs w:val="32"/>
          <w:lang w:val="en-US" w:eastAsia="zh-CN"/>
        </w:rPr>
        <w:t>5.6</w:t>
      </w:r>
      <w:r>
        <w:rPr>
          <w:rFonts w:hint="eastAsia" w:ascii="仿宋_GB2312" w:hAnsi="仿宋"/>
          <w:szCs w:val="32"/>
        </w:rPr>
        <w:t>%；项目支出</w:t>
      </w:r>
      <w:r>
        <w:rPr>
          <w:rFonts w:hint="eastAsia" w:ascii="仿宋_GB2312" w:hAnsi="仿宋"/>
          <w:szCs w:val="32"/>
          <w:lang w:val="en-US" w:eastAsia="zh-CN"/>
        </w:rPr>
        <w:t>7206.93</w:t>
      </w:r>
      <w:r>
        <w:rPr>
          <w:rFonts w:hint="eastAsia" w:ascii="仿宋_GB2312" w:hAnsi="仿宋"/>
          <w:szCs w:val="32"/>
        </w:rPr>
        <w:t>万元，占</w:t>
      </w:r>
      <w:r>
        <w:rPr>
          <w:rFonts w:hint="eastAsia" w:ascii="仿宋_GB2312" w:hAnsi="仿宋"/>
          <w:szCs w:val="32"/>
          <w:lang w:val="en-US" w:eastAsia="zh-CN"/>
        </w:rPr>
        <w:t>94.4</w:t>
      </w:r>
      <w:r>
        <w:rPr>
          <w:rFonts w:hint="eastAsia" w:ascii="仿宋_GB2312" w:hAnsi="仿宋"/>
          <w:szCs w:val="32"/>
        </w:rPr>
        <w:t>%。具体情况如下：</w:t>
      </w:r>
    </w:p>
    <w:p w14:paraId="745EC416">
      <w:pPr>
        <w:ind w:firstLine="628" w:firstLineChars="200"/>
        <w:rPr>
          <w:rFonts w:hint="eastAsia" w:ascii="仿宋_GB2312" w:hAnsi="仿宋" w:cs="Times New Roman"/>
          <w:szCs w:val="32"/>
        </w:rPr>
      </w:pPr>
      <w:r>
        <w:rPr>
          <w:rFonts w:hint="eastAsia" w:ascii="仿宋_GB2312" w:hAnsi="仿宋"/>
          <w:b/>
          <w:bCs/>
          <w:szCs w:val="32"/>
        </w:rPr>
        <w:t>（</w:t>
      </w:r>
      <w:r>
        <w:rPr>
          <w:rFonts w:hint="eastAsia" w:ascii="仿宋_GB2312" w:hAnsi="仿宋"/>
          <w:b/>
          <w:bCs/>
          <w:szCs w:val="32"/>
          <w:lang w:val="en-US" w:eastAsia="zh-CN"/>
        </w:rPr>
        <w:t>1</w:t>
      </w:r>
      <w:r>
        <w:rPr>
          <w:rFonts w:hint="eastAsia" w:ascii="仿宋_GB2312" w:hAnsi="仿宋"/>
          <w:b/>
          <w:bCs/>
          <w:szCs w:val="32"/>
        </w:rPr>
        <w:t>）</w:t>
      </w:r>
      <w:r>
        <w:rPr>
          <w:rFonts w:hint="eastAsia" w:ascii="仿宋_GB2312" w:hAnsi="仿宋"/>
          <w:b/>
          <w:szCs w:val="32"/>
        </w:rPr>
        <w:t>社会保障和就业支出（类）</w:t>
      </w:r>
      <w:r>
        <w:rPr>
          <w:rFonts w:hint="eastAsia" w:ascii="仿宋_GB2312" w:hAnsi="仿宋"/>
          <w:b/>
          <w:szCs w:val="32"/>
          <w:lang w:eastAsia="zh-CN"/>
        </w:rPr>
        <w:t>民政</w:t>
      </w:r>
      <w:r>
        <w:rPr>
          <w:rFonts w:hint="eastAsia" w:ascii="仿宋_GB2312" w:hAnsi="仿宋"/>
          <w:b/>
          <w:szCs w:val="32"/>
        </w:rPr>
        <w:t>管理事务（款）行政运行（项）</w:t>
      </w:r>
      <w:r>
        <w:rPr>
          <w:rFonts w:hint="eastAsia" w:ascii="仿宋_GB2312" w:hAnsi="仿宋"/>
          <w:szCs w:val="32"/>
        </w:rPr>
        <w:t>。年初预算为</w:t>
      </w:r>
      <w:r>
        <w:rPr>
          <w:rFonts w:hint="eastAsia" w:ascii="仿宋_GB2312" w:hAnsi="仿宋"/>
          <w:szCs w:val="32"/>
          <w:lang w:val="en-US" w:eastAsia="zh-CN"/>
        </w:rPr>
        <w:t>288.56</w:t>
      </w:r>
      <w:r>
        <w:rPr>
          <w:rFonts w:hint="eastAsia" w:ascii="仿宋_GB2312" w:hAnsi="仿宋"/>
          <w:szCs w:val="32"/>
        </w:rPr>
        <w:t>万元，支出决算为</w:t>
      </w:r>
      <w:r>
        <w:rPr>
          <w:rFonts w:hint="eastAsia" w:ascii="仿宋_GB2312" w:hAnsi="仿宋"/>
          <w:szCs w:val="32"/>
          <w:lang w:val="en-US" w:eastAsia="zh-CN"/>
        </w:rPr>
        <w:t>308.37</w:t>
      </w:r>
      <w:r>
        <w:rPr>
          <w:rFonts w:hint="eastAsia" w:ascii="仿宋_GB2312" w:hAnsi="仿宋"/>
          <w:szCs w:val="32"/>
        </w:rPr>
        <w:t>万元，完成年初预算的</w:t>
      </w:r>
      <w:r>
        <w:rPr>
          <w:rFonts w:hint="eastAsia" w:ascii="仿宋_GB2312" w:hAnsi="仿宋"/>
          <w:szCs w:val="32"/>
          <w:lang w:val="en-US" w:eastAsia="zh-CN"/>
        </w:rPr>
        <w:t>100.45</w:t>
      </w:r>
      <w:r>
        <w:rPr>
          <w:rFonts w:hint="eastAsia" w:ascii="仿宋_GB2312" w:hAnsi="仿宋"/>
          <w:szCs w:val="32"/>
        </w:rPr>
        <w:t>%</w:t>
      </w:r>
      <w:r>
        <w:rPr>
          <w:rFonts w:hint="eastAsia" w:ascii="仿宋_GB2312" w:hAnsi="仿宋" w:cs="Times New Roman"/>
          <w:szCs w:val="32"/>
        </w:rPr>
        <w:t>，决算数</w:t>
      </w:r>
      <w:r>
        <w:rPr>
          <w:rFonts w:hint="eastAsia" w:ascii="仿宋_GB2312" w:hAnsi="仿宋" w:cs="Times New Roman"/>
          <w:szCs w:val="32"/>
          <w:lang w:eastAsia="zh-CN"/>
        </w:rPr>
        <w:t>大</w:t>
      </w:r>
      <w:r>
        <w:rPr>
          <w:rFonts w:hint="eastAsia" w:ascii="仿宋_GB2312" w:hAnsi="仿宋" w:cs="Times New Roman"/>
          <w:szCs w:val="32"/>
        </w:rPr>
        <w:t>于预算数的主要原因是</w:t>
      </w:r>
      <w:r>
        <w:rPr>
          <w:rFonts w:hint="eastAsia" w:ascii="仿宋_GB2312" w:hAnsi="仿宋" w:cs="Times New Roman"/>
          <w:szCs w:val="32"/>
          <w:lang w:eastAsia="zh-CN"/>
        </w:rPr>
        <w:t>职工购买意外等保险。</w:t>
      </w:r>
    </w:p>
    <w:p w14:paraId="4654CD03">
      <w:pPr>
        <w:ind w:firstLine="628" w:firstLineChars="200"/>
        <w:rPr>
          <w:rFonts w:hint="eastAsia" w:ascii="仿宋_GB2312" w:hAnsi="仿宋" w:cs="Times New Roman"/>
          <w:szCs w:val="32"/>
        </w:rPr>
      </w:pPr>
      <w:r>
        <w:rPr>
          <w:rFonts w:hint="eastAsia" w:ascii="仿宋_GB2312" w:hAnsi="仿宋"/>
          <w:b/>
          <w:bCs/>
          <w:szCs w:val="32"/>
        </w:rPr>
        <w:t>（</w:t>
      </w:r>
      <w:r>
        <w:rPr>
          <w:rFonts w:hint="eastAsia" w:ascii="仿宋_GB2312" w:hAnsi="仿宋"/>
          <w:b/>
          <w:bCs/>
          <w:szCs w:val="32"/>
          <w:lang w:val="en-US" w:eastAsia="zh-CN"/>
        </w:rPr>
        <w:t>2</w:t>
      </w:r>
      <w:r>
        <w:rPr>
          <w:rFonts w:hint="eastAsia" w:ascii="仿宋_GB2312" w:hAnsi="仿宋"/>
          <w:b/>
          <w:bCs/>
          <w:szCs w:val="32"/>
        </w:rPr>
        <w:t>）</w:t>
      </w:r>
      <w:r>
        <w:rPr>
          <w:rFonts w:hint="eastAsia" w:ascii="仿宋_GB2312" w:hAnsi="仿宋"/>
          <w:b/>
          <w:szCs w:val="32"/>
        </w:rPr>
        <w:t>社会保障和就业支出（类）</w:t>
      </w:r>
      <w:r>
        <w:rPr>
          <w:rFonts w:hint="eastAsia" w:ascii="仿宋_GB2312" w:hAnsi="仿宋"/>
          <w:b/>
          <w:szCs w:val="32"/>
          <w:lang w:eastAsia="zh-CN"/>
        </w:rPr>
        <w:t>民政</w:t>
      </w:r>
      <w:r>
        <w:rPr>
          <w:rFonts w:hint="eastAsia" w:ascii="仿宋_GB2312" w:hAnsi="仿宋"/>
          <w:b/>
          <w:szCs w:val="32"/>
        </w:rPr>
        <w:t>管理事务（款）一般行政管理事务（项）</w:t>
      </w:r>
      <w:r>
        <w:rPr>
          <w:rFonts w:hint="eastAsia" w:ascii="仿宋_GB2312" w:hAnsi="仿宋"/>
          <w:szCs w:val="32"/>
        </w:rPr>
        <w:t>。年初预算为</w:t>
      </w:r>
      <w:r>
        <w:rPr>
          <w:rFonts w:hint="eastAsia" w:ascii="仿宋_GB2312" w:hAnsi="仿宋"/>
          <w:szCs w:val="32"/>
          <w:lang w:val="en-US" w:eastAsia="zh-CN"/>
        </w:rPr>
        <w:t>773.3</w:t>
      </w:r>
      <w:r>
        <w:rPr>
          <w:rFonts w:hint="eastAsia" w:ascii="仿宋_GB2312" w:hAnsi="仿宋"/>
          <w:szCs w:val="32"/>
        </w:rPr>
        <w:t>万元，支出决算为</w:t>
      </w:r>
      <w:r>
        <w:rPr>
          <w:rFonts w:hint="eastAsia" w:ascii="仿宋_GB2312" w:hAnsi="仿宋"/>
          <w:szCs w:val="32"/>
          <w:lang w:val="en-US" w:eastAsia="zh-CN"/>
        </w:rPr>
        <w:t>237.87</w:t>
      </w:r>
      <w:r>
        <w:rPr>
          <w:rFonts w:hint="eastAsia" w:ascii="仿宋_GB2312" w:hAnsi="仿宋"/>
          <w:szCs w:val="32"/>
        </w:rPr>
        <w:t>万元，完成年初预算的</w:t>
      </w:r>
      <w:r>
        <w:rPr>
          <w:rFonts w:hint="eastAsia" w:ascii="仿宋_GB2312" w:hAnsi="仿宋"/>
          <w:szCs w:val="32"/>
          <w:lang w:val="en-US" w:eastAsia="zh-CN"/>
        </w:rPr>
        <w:t>30.76</w:t>
      </w:r>
      <w:r>
        <w:rPr>
          <w:rFonts w:hint="eastAsia" w:ascii="仿宋_GB2312" w:hAnsi="仿宋"/>
          <w:szCs w:val="32"/>
        </w:rPr>
        <w:t>%，</w:t>
      </w:r>
      <w:r>
        <w:rPr>
          <w:rFonts w:hint="eastAsia" w:ascii="仿宋_GB2312" w:hAnsi="仿宋" w:cs="Times New Roman"/>
          <w:szCs w:val="32"/>
        </w:rPr>
        <w:t>决算数小于预算数的主要原因是</w:t>
      </w:r>
      <w:r>
        <w:rPr>
          <w:rFonts w:hint="eastAsia" w:ascii="仿宋_GB2312" w:hAnsi="仿宋" w:cs="Times New Roman"/>
          <w:szCs w:val="32"/>
          <w:lang w:eastAsia="zh-CN"/>
        </w:rPr>
        <w:t>鹰山公墓经费支出减少</w:t>
      </w:r>
      <w:r>
        <w:rPr>
          <w:rFonts w:hint="eastAsia" w:ascii="仿宋_GB2312" w:hAnsi="仿宋" w:cs="Times New Roman"/>
          <w:szCs w:val="32"/>
        </w:rPr>
        <w:t>。</w:t>
      </w:r>
    </w:p>
    <w:p w14:paraId="47E19E00">
      <w:pPr>
        <w:ind w:firstLine="628" w:firstLineChars="200"/>
        <w:rPr>
          <w:rFonts w:hint="eastAsia" w:ascii="仿宋_GB2312" w:hAnsi="仿宋" w:cs="Times New Roman"/>
          <w:szCs w:val="32"/>
        </w:rPr>
      </w:pPr>
      <w:r>
        <w:rPr>
          <w:rFonts w:hint="eastAsia" w:ascii="仿宋_GB2312" w:hAnsi="仿宋"/>
          <w:b/>
          <w:bCs/>
          <w:szCs w:val="32"/>
        </w:rPr>
        <w:t>（</w:t>
      </w:r>
      <w:r>
        <w:rPr>
          <w:rFonts w:hint="eastAsia" w:ascii="仿宋_GB2312" w:hAnsi="仿宋"/>
          <w:b/>
          <w:bCs/>
          <w:szCs w:val="32"/>
          <w:lang w:val="en-US" w:eastAsia="zh-CN"/>
        </w:rPr>
        <w:t>3</w:t>
      </w:r>
      <w:r>
        <w:rPr>
          <w:rFonts w:hint="eastAsia" w:ascii="仿宋_GB2312" w:hAnsi="仿宋"/>
          <w:b/>
          <w:bCs/>
          <w:szCs w:val="32"/>
        </w:rPr>
        <w:t>）</w:t>
      </w:r>
      <w:r>
        <w:rPr>
          <w:rFonts w:hint="eastAsia" w:ascii="仿宋_GB2312" w:hAnsi="仿宋"/>
          <w:b/>
          <w:szCs w:val="32"/>
        </w:rPr>
        <w:t>社会保障和就业支出（类）</w:t>
      </w:r>
      <w:r>
        <w:rPr>
          <w:rFonts w:hint="eastAsia" w:ascii="仿宋_GB2312" w:hAnsi="仿宋"/>
          <w:b/>
          <w:szCs w:val="32"/>
          <w:lang w:eastAsia="zh-CN"/>
        </w:rPr>
        <w:t>民政</w:t>
      </w:r>
      <w:r>
        <w:rPr>
          <w:rFonts w:hint="eastAsia" w:ascii="仿宋_GB2312" w:hAnsi="仿宋"/>
          <w:b/>
          <w:szCs w:val="32"/>
        </w:rPr>
        <w:t>管理事务（款）</w:t>
      </w:r>
      <w:r>
        <w:rPr>
          <w:rFonts w:hint="eastAsia" w:ascii="仿宋_GB2312" w:hAnsi="仿宋"/>
          <w:b/>
          <w:szCs w:val="32"/>
          <w:lang w:eastAsia="zh-CN"/>
        </w:rPr>
        <w:t>其他民政管理事务</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5</w:t>
      </w:r>
      <w:r>
        <w:rPr>
          <w:rFonts w:hint="eastAsia" w:ascii="仿宋_GB2312" w:hAnsi="仿宋"/>
          <w:szCs w:val="32"/>
        </w:rPr>
        <w:t>万元，支出决算为</w:t>
      </w:r>
      <w:r>
        <w:rPr>
          <w:rFonts w:hint="eastAsia" w:ascii="仿宋_GB2312" w:hAnsi="仿宋"/>
          <w:szCs w:val="32"/>
          <w:lang w:val="en-US" w:eastAsia="zh-CN"/>
        </w:rPr>
        <w:t>74.88</w:t>
      </w:r>
      <w:r>
        <w:rPr>
          <w:rFonts w:hint="eastAsia" w:ascii="仿宋_GB2312" w:hAnsi="仿宋"/>
          <w:szCs w:val="32"/>
        </w:rPr>
        <w:t>万元，完成年初预算的</w:t>
      </w:r>
      <w:r>
        <w:rPr>
          <w:rFonts w:hint="eastAsia" w:ascii="仿宋_GB2312" w:hAnsi="仿宋"/>
          <w:szCs w:val="32"/>
          <w:lang w:val="en-US" w:eastAsia="zh-CN"/>
        </w:rPr>
        <w:t>1497.67</w:t>
      </w:r>
      <w:r>
        <w:rPr>
          <w:rFonts w:hint="eastAsia" w:ascii="仿宋_GB2312" w:hAnsi="仿宋"/>
          <w:szCs w:val="32"/>
        </w:rPr>
        <w:t>%，</w:t>
      </w:r>
      <w:r>
        <w:rPr>
          <w:rFonts w:hint="eastAsia" w:ascii="仿宋_GB2312" w:hAnsi="仿宋" w:cs="Times New Roman"/>
          <w:szCs w:val="32"/>
        </w:rPr>
        <w:t>决算数</w:t>
      </w:r>
      <w:r>
        <w:rPr>
          <w:rFonts w:hint="eastAsia" w:ascii="仿宋_GB2312" w:hAnsi="仿宋" w:cs="Times New Roman"/>
          <w:szCs w:val="32"/>
          <w:lang w:eastAsia="zh-CN"/>
        </w:rPr>
        <w:t>大于</w:t>
      </w:r>
      <w:r>
        <w:rPr>
          <w:rFonts w:hint="eastAsia" w:ascii="仿宋_GB2312" w:hAnsi="仿宋" w:cs="Times New Roman"/>
          <w:szCs w:val="32"/>
        </w:rPr>
        <w:t>预算数的主要原因是</w:t>
      </w:r>
      <w:r>
        <w:rPr>
          <w:rFonts w:hint="eastAsia" w:ascii="仿宋_GB2312" w:hAnsi="仿宋" w:cs="Times New Roman"/>
          <w:szCs w:val="32"/>
          <w:lang w:val="en-US" w:eastAsia="zh-CN"/>
        </w:rPr>
        <w:t>区级、街道级社工站建设</w:t>
      </w:r>
      <w:r>
        <w:rPr>
          <w:rFonts w:hint="eastAsia" w:ascii="仿宋_GB2312" w:hAnsi="仿宋" w:cs="Times New Roman"/>
          <w:szCs w:val="32"/>
        </w:rPr>
        <w:t>。</w:t>
      </w:r>
    </w:p>
    <w:p w14:paraId="595349D8">
      <w:pPr>
        <w:ind w:firstLine="628" w:firstLineChars="200"/>
        <w:rPr>
          <w:rFonts w:hint="eastAsia" w:ascii="仿宋_GB2312" w:hAnsi="仿宋"/>
          <w:szCs w:val="32"/>
        </w:rPr>
      </w:pPr>
      <w:r>
        <w:rPr>
          <w:rFonts w:hint="eastAsia" w:ascii="仿宋_GB2312" w:hAnsi="仿宋"/>
          <w:b/>
          <w:bCs/>
          <w:szCs w:val="32"/>
        </w:rPr>
        <w:t>（</w:t>
      </w:r>
      <w:r>
        <w:rPr>
          <w:rFonts w:hint="eastAsia" w:ascii="仿宋_GB2312" w:hAnsi="仿宋"/>
          <w:b/>
          <w:bCs/>
          <w:szCs w:val="32"/>
          <w:lang w:val="en-US" w:eastAsia="zh-CN"/>
        </w:rPr>
        <w:t>4</w:t>
      </w:r>
      <w:r>
        <w:rPr>
          <w:rFonts w:hint="eastAsia" w:ascii="仿宋_GB2312" w:hAnsi="仿宋"/>
          <w:b/>
          <w:bCs/>
          <w:szCs w:val="32"/>
        </w:rPr>
        <w:t>）</w:t>
      </w:r>
      <w:r>
        <w:rPr>
          <w:rFonts w:hint="eastAsia" w:ascii="仿宋_GB2312" w:hAnsi="仿宋"/>
          <w:b/>
          <w:szCs w:val="32"/>
        </w:rPr>
        <w:t>社会保障和就业支出（类）行政事业单位养老支出（款）</w:t>
      </w:r>
      <w:r>
        <w:rPr>
          <w:rFonts w:hint="eastAsia" w:ascii="仿宋_GB2312" w:hAnsi="仿宋"/>
          <w:b/>
          <w:szCs w:val="32"/>
          <w:lang w:eastAsia="zh-CN"/>
        </w:rPr>
        <w:t>行政</w:t>
      </w:r>
      <w:r>
        <w:rPr>
          <w:rFonts w:hint="eastAsia" w:ascii="仿宋_GB2312" w:hAnsi="仿宋"/>
          <w:b/>
          <w:szCs w:val="32"/>
        </w:rPr>
        <w:t>单位离退休（项）。</w:t>
      </w:r>
      <w:r>
        <w:rPr>
          <w:rFonts w:hint="eastAsia" w:ascii="仿宋_GB2312" w:hAnsi="仿宋"/>
          <w:szCs w:val="32"/>
        </w:rPr>
        <w:t>年初预算为</w:t>
      </w:r>
      <w:r>
        <w:rPr>
          <w:rFonts w:hint="eastAsia" w:ascii="仿宋_GB2312" w:hAnsi="仿宋"/>
          <w:szCs w:val="32"/>
          <w:lang w:val="en-US" w:eastAsia="zh-CN"/>
        </w:rPr>
        <w:t>1.62</w:t>
      </w:r>
      <w:r>
        <w:rPr>
          <w:rFonts w:hint="eastAsia" w:ascii="仿宋_GB2312" w:hAnsi="仿宋"/>
          <w:szCs w:val="32"/>
        </w:rPr>
        <w:t>万元，支出决算为1.6</w:t>
      </w:r>
      <w:r>
        <w:rPr>
          <w:rFonts w:hint="eastAsia" w:ascii="仿宋_GB2312" w:hAnsi="仿宋"/>
          <w:szCs w:val="32"/>
          <w:lang w:val="en-US" w:eastAsia="zh-CN"/>
        </w:rPr>
        <w:t>7</w:t>
      </w:r>
      <w:r>
        <w:rPr>
          <w:rFonts w:hint="eastAsia" w:ascii="仿宋_GB2312" w:hAnsi="仿宋"/>
          <w:szCs w:val="32"/>
        </w:rPr>
        <w:t>万元，决算数大于预算数的主要原因</w:t>
      </w:r>
      <w:r>
        <w:rPr>
          <w:rFonts w:hint="eastAsia" w:ascii="仿宋_GB2312" w:hAnsi="仿宋"/>
          <w:color w:val="auto"/>
          <w:szCs w:val="32"/>
        </w:rPr>
        <w:t>是</w:t>
      </w:r>
      <w:r>
        <w:rPr>
          <w:rFonts w:hint="eastAsia" w:ascii="仿宋_GB2312" w:hAnsi="仿宋"/>
          <w:color w:val="auto"/>
          <w:szCs w:val="32"/>
          <w:lang w:eastAsia="zh-CN"/>
        </w:rPr>
        <w:t>遗属补助调整</w:t>
      </w:r>
      <w:r>
        <w:rPr>
          <w:rFonts w:hint="eastAsia" w:ascii="仿宋_GB2312" w:hAnsi="仿宋"/>
          <w:color w:val="auto"/>
          <w:szCs w:val="32"/>
        </w:rPr>
        <w:t>。</w:t>
      </w:r>
    </w:p>
    <w:p w14:paraId="619B934F">
      <w:pPr>
        <w:ind w:firstLine="628" w:firstLineChars="200"/>
        <w:rPr>
          <w:rFonts w:hint="eastAsia" w:ascii="仿宋_GB2312" w:hAnsi="仿宋" w:cs="Times New Roman"/>
          <w:szCs w:val="32"/>
        </w:rPr>
      </w:pPr>
      <w:r>
        <w:rPr>
          <w:rFonts w:hint="eastAsia" w:ascii="仿宋_GB2312" w:hAnsi="仿宋"/>
          <w:b/>
          <w:bCs/>
          <w:szCs w:val="32"/>
        </w:rPr>
        <w:t>（</w:t>
      </w:r>
      <w:r>
        <w:rPr>
          <w:rFonts w:hint="eastAsia" w:ascii="仿宋_GB2312" w:hAnsi="仿宋"/>
          <w:b/>
          <w:bCs/>
          <w:szCs w:val="32"/>
          <w:lang w:val="en-US" w:eastAsia="zh-CN"/>
        </w:rPr>
        <w:t>5</w:t>
      </w:r>
      <w:r>
        <w:rPr>
          <w:rFonts w:hint="eastAsia" w:ascii="仿宋_GB2312" w:hAnsi="仿宋"/>
          <w:b/>
          <w:bCs/>
          <w:szCs w:val="32"/>
        </w:rPr>
        <w:t>）</w:t>
      </w:r>
      <w:r>
        <w:rPr>
          <w:rFonts w:hint="eastAsia" w:ascii="仿宋_GB2312" w:hAnsi="仿宋"/>
          <w:b/>
          <w:szCs w:val="32"/>
        </w:rPr>
        <w:t>社会保障和就业支出（类）行政事业单位养老支出（款）机关事业单位基本养老保险费支出（项）。</w:t>
      </w:r>
      <w:r>
        <w:rPr>
          <w:rFonts w:hint="eastAsia" w:ascii="仿宋_GB2312" w:hAnsi="仿宋"/>
          <w:szCs w:val="32"/>
        </w:rPr>
        <w:t>年初预算为20.49万元，支出决算为</w:t>
      </w:r>
      <w:r>
        <w:rPr>
          <w:rFonts w:hint="eastAsia" w:ascii="仿宋_GB2312" w:hAnsi="仿宋"/>
          <w:szCs w:val="32"/>
          <w:lang w:val="en-US" w:eastAsia="zh-CN"/>
        </w:rPr>
        <w:t>15.2</w:t>
      </w:r>
      <w:r>
        <w:rPr>
          <w:rFonts w:hint="eastAsia" w:ascii="仿宋_GB2312" w:hAnsi="仿宋"/>
          <w:szCs w:val="32"/>
        </w:rPr>
        <w:t>万元，完成年初预算的</w:t>
      </w:r>
      <w:r>
        <w:rPr>
          <w:rFonts w:hint="eastAsia" w:ascii="仿宋_GB2312" w:hAnsi="仿宋"/>
          <w:szCs w:val="32"/>
          <w:lang w:val="en-US" w:eastAsia="zh-CN"/>
        </w:rPr>
        <w:t>74.18</w:t>
      </w:r>
      <w:r>
        <w:rPr>
          <w:rFonts w:hint="eastAsia" w:ascii="仿宋_GB2312" w:hAnsi="仿宋"/>
          <w:szCs w:val="32"/>
        </w:rPr>
        <w:t>%，</w:t>
      </w:r>
      <w:r>
        <w:rPr>
          <w:rFonts w:hint="eastAsia" w:ascii="仿宋_GB2312" w:hAnsi="仿宋" w:cs="Times New Roman"/>
          <w:szCs w:val="32"/>
        </w:rPr>
        <w:t>决算数小于预算数的主要原因是工作人员</w:t>
      </w:r>
      <w:r>
        <w:rPr>
          <w:rFonts w:hint="eastAsia" w:ascii="仿宋_GB2312" w:hAnsi="仿宋" w:cs="Times New Roman"/>
          <w:szCs w:val="32"/>
          <w:lang w:eastAsia="zh-CN"/>
        </w:rPr>
        <w:t>辞职及基数调整</w:t>
      </w:r>
      <w:r>
        <w:rPr>
          <w:rFonts w:hint="eastAsia" w:ascii="仿宋_GB2312" w:hAnsi="仿宋" w:cs="Times New Roman"/>
          <w:szCs w:val="32"/>
        </w:rPr>
        <w:t>。</w:t>
      </w:r>
    </w:p>
    <w:p w14:paraId="2B9CB56E">
      <w:pPr>
        <w:ind w:firstLine="628" w:firstLineChars="200"/>
        <w:rPr>
          <w:rFonts w:hint="eastAsia" w:ascii="仿宋_GB2312" w:hAnsi="仿宋"/>
          <w:szCs w:val="32"/>
          <w:highlight w:val="none"/>
        </w:rPr>
      </w:pPr>
      <w:r>
        <w:rPr>
          <w:rFonts w:hint="eastAsia" w:ascii="仿宋_GB2312" w:hAnsi="仿宋"/>
          <w:b/>
          <w:bCs/>
          <w:szCs w:val="32"/>
        </w:rPr>
        <w:t>（</w:t>
      </w:r>
      <w:r>
        <w:rPr>
          <w:rFonts w:hint="eastAsia" w:ascii="仿宋_GB2312" w:hAnsi="仿宋"/>
          <w:b/>
          <w:bCs/>
          <w:szCs w:val="32"/>
          <w:lang w:val="en-US" w:eastAsia="zh-CN"/>
        </w:rPr>
        <w:t>6</w:t>
      </w:r>
      <w:r>
        <w:rPr>
          <w:rFonts w:hint="eastAsia" w:ascii="仿宋_GB2312" w:hAnsi="仿宋"/>
          <w:b/>
          <w:bCs/>
          <w:szCs w:val="32"/>
        </w:rPr>
        <w:t>）</w:t>
      </w:r>
      <w:r>
        <w:rPr>
          <w:rFonts w:hint="eastAsia" w:ascii="仿宋_GB2312" w:hAnsi="仿宋"/>
          <w:b/>
          <w:szCs w:val="32"/>
        </w:rPr>
        <w:t>社会保障和就业支出（类）行政事业单位养老支出（款）机关事业单位职业年金缴费支出（项）。</w:t>
      </w:r>
      <w:r>
        <w:rPr>
          <w:rFonts w:hint="eastAsia" w:ascii="仿宋_GB2312" w:hAnsi="仿宋"/>
          <w:szCs w:val="32"/>
        </w:rPr>
        <w:t>年</w:t>
      </w:r>
      <w:r>
        <w:rPr>
          <w:rFonts w:hint="eastAsia" w:ascii="仿宋_GB2312" w:hAnsi="仿宋" w:cs="Times New Roman"/>
          <w:szCs w:val="32"/>
        </w:rPr>
        <w:t>初预算为10.</w:t>
      </w:r>
      <w:r>
        <w:rPr>
          <w:rFonts w:hint="eastAsia" w:ascii="仿宋_GB2312" w:hAnsi="仿宋" w:cs="Times New Roman"/>
          <w:szCs w:val="32"/>
          <w:lang w:val="en-US" w:eastAsia="zh-CN"/>
        </w:rPr>
        <w:t>7</w:t>
      </w:r>
      <w:r>
        <w:rPr>
          <w:rFonts w:hint="eastAsia" w:ascii="仿宋_GB2312" w:hAnsi="仿宋" w:cs="Times New Roman"/>
          <w:szCs w:val="32"/>
        </w:rPr>
        <w:t>万元，支出决算为</w:t>
      </w:r>
      <w:r>
        <w:rPr>
          <w:rFonts w:hint="eastAsia" w:ascii="仿宋_GB2312" w:hAnsi="仿宋" w:cs="Times New Roman"/>
          <w:szCs w:val="32"/>
          <w:lang w:val="en-US" w:eastAsia="zh-CN"/>
        </w:rPr>
        <w:t>9.58</w:t>
      </w:r>
      <w:r>
        <w:rPr>
          <w:rFonts w:hint="eastAsia" w:ascii="仿宋_GB2312" w:hAnsi="仿宋" w:cs="Times New Roman"/>
          <w:szCs w:val="32"/>
        </w:rPr>
        <w:t>万元，完成年初预算的</w:t>
      </w:r>
      <w:r>
        <w:rPr>
          <w:rFonts w:hint="eastAsia" w:ascii="仿宋_GB2312" w:hAnsi="仿宋" w:cs="Times New Roman"/>
          <w:szCs w:val="32"/>
          <w:lang w:val="en-US" w:eastAsia="zh-CN"/>
        </w:rPr>
        <w:t>89.53</w:t>
      </w:r>
      <w:r>
        <w:rPr>
          <w:rFonts w:hint="eastAsia" w:ascii="仿宋_GB2312" w:hAnsi="仿宋" w:cs="Times New Roman"/>
          <w:szCs w:val="32"/>
        </w:rPr>
        <w:t>%，决算数小于预算数的主要原因是工作人员</w:t>
      </w:r>
      <w:r>
        <w:rPr>
          <w:rFonts w:hint="eastAsia" w:ascii="仿宋_GB2312" w:hAnsi="仿宋" w:cs="Times New Roman"/>
          <w:szCs w:val="32"/>
          <w:lang w:eastAsia="zh-CN"/>
        </w:rPr>
        <w:t>辞职及基数调整</w:t>
      </w:r>
      <w:r>
        <w:rPr>
          <w:rFonts w:hint="eastAsia" w:ascii="仿宋_GB2312" w:hAnsi="仿宋" w:cs="Times New Roman"/>
          <w:szCs w:val="32"/>
        </w:rPr>
        <w:t>。</w:t>
      </w:r>
    </w:p>
    <w:p w14:paraId="6CB4CFA6">
      <w:pPr>
        <w:ind w:firstLine="628" w:firstLineChars="200"/>
        <w:rPr>
          <w:rFonts w:hint="eastAsia" w:ascii="仿宋_GB2312" w:hAnsi="仿宋" w:cs="Times New Roman"/>
          <w:szCs w:val="32"/>
        </w:rPr>
      </w:pPr>
      <w:r>
        <w:rPr>
          <w:rFonts w:hint="eastAsia" w:ascii="仿宋_GB2312" w:hAnsi="仿宋"/>
          <w:b/>
          <w:bCs/>
          <w:szCs w:val="32"/>
        </w:rPr>
        <w:t>（</w:t>
      </w:r>
      <w:r>
        <w:rPr>
          <w:rFonts w:hint="eastAsia" w:ascii="仿宋_GB2312" w:hAnsi="仿宋"/>
          <w:b/>
          <w:bCs/>
          <w:szCs w:val="32"/>
          <w:lang w:val="en-US" w:eastAsia="zh-CN"/>
        </w:rPr>
        <w:t>7</w:t>
      </w:r>
      <w:r>
        <w:rPr>
          <w:rFonts w:hint="eastAsia" w:ascii="仿宋_GB2312" w:hAnsi="仿宋"/>
          <w:b/>
          <w:bCs/>
          <w:szCs w:val="32"/>
        </w:rPr>
        <w:t>）</w:t>
      </w:r>
      <w:r>
        <w:rPr>
          <w:rFonts w:hint="eastAsia" w:ascii="仿宋_GB2312" w:hAnsi="仿宋"/>
          <w:b/>
          <w:szCs w:val="32"/>
        </w:rPr>
        <w:t>社会保障和就业支出（类）社会福利（款）儿童福利（项）。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53.48</w:t>
      </w:r>
      <w:r>
        <w:rPr>
          <w:rFonts w:hint="eastAsia" w:ascii="仿宋_GB2312" w:hAnsi="仿宋"/>
          <w:szCs w:val="32"/>
        </w:rPr>
        <w:t>万元，决</w:t>
      </w:r>
      <w:r>
        <w:rPr>
          <w:rFonts w:hint="eastAsia" w:ascii="仿宋_GB2312" w:hAnsi="仿宋" w:cs="Times New Roman"/>
          <w:szCs w:val="32"/>
        </w:rPr>
        <w:t>算数大于预算数的主要原因是年初预算中不含中央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市上级孤儿生活补助资金。</w:t>
      </w:r>
    </w:p>
    <w:p w14:paraId="0ED61C97">
      <w:pPr>
        <w:ind w:firstLine="628" w:firstLineChars="200"/>
        <w:rPr>
          <w:rFonts w:hint="eastAsia" w:ascii="仿宋_GB2312" w:hAnsi="仿宋" w:cs="Times New Roman"/>
          <w:color w:val="auto"/>
          <w:szCs w:val="32"/>
        </w:rPr>
      </w:pPr>
      <w:r>
        <w:rPr>
          <w:rFonts w:hint="eastAsia" w:ascii="仿宋_GB2312" w:hAnsi="仿宋"/>
          <w:b/>
          <w:bCs/>
          <w:szCs w:val="32"/>
        </w:rPr>
        <w:t>（</w:t>
      </w:r>
      <w:r>
        <w:rPr>
          <w:rFonts w:hint="eastAsia" w:ascii="仿宋_GB2312" w:hAnsi="仿宋"/>
          <w:b/>
          <w:bCs/>
          <w:szCs w:val="32"/>
          <w:lang w:val="en-US" w:eastAsia="zh-CN"/>
        </w:rPr>
        <w:t>8</w:t>
      </w:r>
      <w:r>
        <w:rPr>
          <w:rFonts w:hint="eastAsia" w:ascii="仿宋_GB2312" w:hAnsi="仿宋"/>
          <w:b/>
          <w:bCs/>
          <w:szCs w:val="32"/>
        </w:rPr>
        <w:t>）</w:t>
      </w:r>
      <w:r>
        <w:rPr>
          <w:rFonts w:hint="eastAsia" w:ascii="仿宋_GB2312" w:hAnsi="仿宋"/>
          <w:b/>
          <w:szCs w:val="32"/>
        </w:rPr>
        <w:t>社会保障和就业支出（类）社会福利（款）老年福利（项）。</w:t>
      </w:r>
      <w:r>
        <w:rPr>
          <w:rFonts w:hint="eastAsia" w:ascii="仿宋_GB2312" w:hAnsi="仿宋"/>
          <w:szCs w:val="32"/>
        </w:rPr>
        <w:t>年初预算</w:t>
      </w:r>
      <w:r>
        <w:rPr>
          <w:rFonts w:hint="eastAsia" w:ascii="仿宋_GB2312" w:hAnsi="仿宋"/>
          <w:color w:val="auto"/>
          <w:szCs w:val="32"/>
        </w:rPr>
        <w:t>为0万元，支</w:t>
      </w:r>
      <w:r>
        <w:rPr>
          <w:rFonts w:hint="eastAsia" w:ascii="仿宋_GB2312" w:hAnsi="仿宋"/>
          <w:szCs w:val="32"/>
        </w:rPr>
        <w:t>出决算为</w:t>
      </w:r>
      <w:r>
        <w:rPr>
          <w:rFonts w:hint="eastAsia" w:ascii="仿宋_GB2312" w:hAnsi="仿宋"/>
          <w:szCs w:val="32"/>
          <w:lang w:val="en-US" w:eastAsia="zh-CN"/>
        </w:rPr>
        <w:t>533.87</w:t>
      </w:r>
      <w:r>
        <w:rPr>
          <w:rFonts w:hint="eastAsia" w:ascii="仿宋_GB2312" w:hAnsi="仿宋"/>
          <w:szCs w:val="32"/>
        </w:rPr>
        <w:t>万元，决算数大于预算数的主要原</w:t>
      </w:r>
      <w:r>
        <w:rPr>
          <w:rFonts w:hint="eastAsia" w:ascii="仿宋_GB2312" w:hAnsi="仿宋" w:cs="Times New Roman"/>
          <w:color w:val="auto"/>
          <w:szCs w:val="32"/>
        </w:rPr>
        <w:t>因是年初预算中不含中央</w:t>
      </w:r>
      <w:r>
        <w:rPr>
          <w:rFonts w:hint="eastAsia" w:ascii="仿宋_GB2312" w:hAnsi="仿宋" w:cs="Times New Roman"/>
          <w:color w:val="auto"/>
          <w:szCs w:val="32"/>
          <w:lang w:eastAsia="zh-CN"/>
        </w:rPr>
        <w:t>、</w:t>
      </w:r>
      <w:r>
        <w:rPr>
          <w:rFonts w:hint="eastAsia" w:ascii="仿宋_GB2312" w:hAnsi="仿宋" w:cs="Times New Roman"/>
          <w:color w:val="auto"/>
          <w:szCs w:val="32"/>
        </w:rPr>
        <w:t>省</w:t>
      </w:r>
      <w:r>
        <w:rPr>
          <w:rFonts w:hint="eastAsia" w:ascii="仿宋_GB2312" w:hAnsi="仿宋" w:cs="Times New Roman"/>
          <w:color w:val="auto"/>
          <w:szCs w:val="32"/>
          <w:lang w:eastAsia="zh-CN"/>
        </w:rPr>
        <w:t>、</w:t>
      </w:r>
      <w:r>
        <w:rPr>
          <w:rFonts w:hint="eastAsia" w:ascii="仿宋_GB2312" w:hAnsi="仿宋" w:cs="Times New Roman"/>
          <w:color w:val="auto"/>
          <w:szCs w:val="32"/>
        </w:rPr>
        <w:t>市上级</w:t>
      </w:r>
      <w:r>
        <w:rPr>
          <w:rFonts w:hint="eastAsia" w:ascii="仿宋_GB2312" w:hAnsi="仿宋" w:cs="Times New Roman"/>
          <w:color w:val="auto"/>
          <w:szCs w:val="32"/>
          <w:lang w:eastAsia="zh-CN"/>
        </w:rPr>
        <w:t>及区民生办拨付高龄津贴</w:t>
      </w:r>
      <w:r>
        <w:rPr>
          <w:rFonts w:hint="eastAsia" w:ascii="仿宋_GB2312" w:hAnsi="仿宋" w:cs="Times New Roman"/>
          <w:color w:val="auto"/>
          <w:szCs w:val="32"/>
        </w:rPr>
        <w:t>补助资金。</w:t>
      </w:r>
    </w:p>
    <w:p w14:paraId="11B2998B">
      <w:pPr>
        <w:ind w:firstLine="628" w:firstLineChars="200"/>
        <w:rPr>
          <w:rFonts w:hint="eastAsia" w:ascii="仿宋_GB2312" w:hAnsi="仿宋" w:cs="Times New Roman"/>
          <w:color w:val="auto"/>
          <w:szCs w:val="32"/>
        </w:rPr>
      </w:pPr>
      <w:r>
        <w:rPr>
          <w:rFonts w:hint="eastAsia" w:ascii="仿宋_GB2312" w:hAnsi="仿宋"/>
          <w:b/>
          <w:bCs/>
          <w:szCs w:val="32"/>
        </w:rPr>
        <w:t>（</w:t>
      </w:r>
      <w:r>
        <w:rPr>
          <w:rFonts w:hint="eastAsia" w:ascii="仿宋_GB2312" w:hAnsi="仿宋"/>
          <w:b/>
          <w:bCs/>
          <w:szCs w:val="32"/>
          <w:lang w:val="en-US" w:eastAsia="zh-CN"/>
        </w:rPr>
        <w:t>9</w:t>
      </w:r>
      <w:r>
        <w:rPr>
          <w:rFonts w:hint="eastAsia" w:ascii="仿宋_GB2312" w:hAnsi="仿宋"/>
          <w:b/>
          <w:bCs/>
          <w:szCs w:val="32"/>
        </w:rPr>
        <w:t>）</w:t>
      </w:r>
      <w:r>
        <w:rPr>
          <w:rFonts w:hint="eastAsia" w:ascii="仿宋_GB2312" w:hAnsi="仿宋"/>
          <w:b/>
          <w:szCs w:val="32"/>
        </w:rPr>
        <w:t>社会保障和就业支出（类）社会福利（款）养老服务（项）。</w:t>
      </w:r>
      <w:r>
        <w:rPr>
          <w:rFonts w:hint="eastAsia" w:ascii="仿宋_GB2312" w:hAnsi="仿宋"/>
          <w:szCs w:val="32"/>
        </w:rPr>
        <w:t>年初预</w:t>
      </w:r>
      <w:r>
        <w:rPr>
          <w:rFonts w:hint="eastAsia" w:ascii="仿宋_GB2312" w:hAnsi="仿宋"/>
          <w:color w:val="auto"/>
          <w:szCs w:val="32"/>
        </w:rPr>
        <w:t>算为0万元，支</w:t>
      </w:r>
      <w:r>
        <w:rPr>
          <w:rFonts w:hint="eastAsia" w:ascii="仿宋_GB2312" w:hAnsi="仿宋"/>
          <w:szCs w:val="32"/>
        </w:rPr>
        <w:t>出决算为</w:t>
      </w:r>
      <w:r>
        <w:rPr>
          <w:rFonts w:hint="eastAsia" w:ascii="仿宋_GB2312" w:hAnsi="仿宋"/>
          <w:szCs w:val="32"/>
          <w:lang w:val="en-US" w:eastAsia="zh-CN"/>
        </w:rPr>
        <w:t>84.9</w:t>
      </w:r>
      <w:r>
        <w:rPr>
          <w:rFonts w:hint="eastAsia" w:ascii="仿宋_GB2312" w:hAnsi="仿宋"/>
          <w:szCs w:val="32"/>
        </w:rPr>
        <w:t>万元，决算数大于预算数的主要原因是年初预算</w:t>
      </w:r>
      <w:r>
        <w:rPr>
          <w:rFonts w:hint="eastAsia" w:ascii="仿宋_GB2312" w:hAnsi="仿宋" w:cs="Times New Roman"/>
          <w:color w:val="auto"/>
          <w:szCs w:val="32"/>
        </w:rPr>
        <w:t>中不含中央</w:t>
      </w:r>
      <w:r>
        <w:rPr>
          <w:rFonts w:hint="eastAsia" w:ascii="仿宋_GB2312" w:hAnsi="仿宋" w:cs="Times New Roman"/>
          <w:color w:val="auto"/>
          <w:szCs w:val="32"/>
          <w:lang w:eastAsia="zh-CN"/>
        </w:rPr>
        <w:t>、</w:t>
      </w:r>
      <w:r>
        <w:rPr>
          <w:rFonts w:hint="eastAsia" w:ascii="仿宋_GB2312" w:hAnsi="仿宋" w:cs="Times New Roman"/>
          <w:color w:val="auto"/>
          <w:szCs w:val="32"/>
        </w:rPr>
        <w:t>省</w:t>
      </w:r>
      <w:r>
        <w:rPr>
          <w:rFonts w:hint="eastAsia" w:ascii="仿宋_GB2312" w:hAnsi="仿宋" w:cs="Times New Roman"/>
          <w:color w:val="auto"/>
          <w:szCs w:val="32"/>
          <w:lang w:eastAsia="zh-CN"/>
        </w:rPr>
        <w:t>、</w:t>
      </w:r>
      <w:r>
        <w:rPr>
          <w:rFonts w:hint="eastAsia" w:ascii="仿宋_GB2312" w:hAnsi="仿宋" w:cs="Times New Roman"/>
          <w:color w:val="auto"/>
          <w:szCs w:val="32"/>
        </w:rPr>
        <w:t>市上级社会养老机构运营补助资金、三级养老中心建设补助资金。</w:t>
      </w:r>
    </w:p>
    <w:p w14:paraId="74532382">
      <w:pPr>
        <w:ind w:firstLine="628" w:firstLineChars="200"/>
        <w:rPr>
          <w:rFonts w:hint="eastAsia" w:ascii="仿宋_GB2312" w:hAnsi="仿宋"/>
          <w:szCs w:val="32"/>
        </w:rPr>
      </w:pPr>
      <w:r>
        <w:rPr>
          <w:rFonts w:hint="eastAsia" w:ascii="仿宋_GB2312" w:hAnsi="仿宋"/>
          <w:b/>
          <w:bCs/>
          <w:szCs w:val="32"/>
        </w:rPr>
        <w:t>（1</w:t>
      </w:r>
      <w:r>
        <w:rPr>
          <w:rFonts w:hint="eastAsia" w:ascii="仿宋_GB2312" w:hAnsi="仿宋"/>
          <w:b/>
          <w:bCs/>
          <w:szCs w:val="32"/>
          <w:lang w:val="en-US" w:eastAsia="zh-CN"/>
        </w:rPr>
        <w:t>0</w:t>
      </w:r>
      <w:r>
        <w:rPr>
          <w:rFonts w:hint="eastAsia" w:ascii="仿宋_GB2312" w:hAnsi="仿宋"/>
          <w:b/>
          <w:bCs/>
          <w:szCs w:val="32"/>
        </w:rPr>
        <w:t>）</w:t>
      </w:r>
      <w:r>
        <w:rPr>
          <w:rFonts w:hint="eastAsia" w:ascii="仿宋_GB2312" w:hAnsi="仿宋"/>
          <w:b/>
          <w:szCs w:val="32"/>
        </w:rPr>
        <w:t>社会保障和就业支出（类）社会福利（款）其他社会福利支出（项）。</w:t>
      </w:r>
      <w:r>
        <w:rPr>
          <w:rFonts w:hint="eastAsia" w:ascii="仿宋_GB2312" w:hAnsi="仿宋"/>
          <w:szCs w:val="32"/>
        </w:rPr>
        <w:t>年初预算为3万元，支出决算为23.</w:t>
      </w:r>
      <w:r>
        <w:rPr>
          <w:rFonts w:hint="eastAsia" w:ascii="仿宋_GB2312" w:hAnsi="仿宋"/>
          <w:szCs w:val="32"/>
          <w:lang w:val="en-US" w:eastAsia="zh-CN"/>
        </w:rPr>
        <w:t>86</w:t>
      </w:r>
      <w:r>
        <w:rPr>
          <w:rFonts w:hint="eastAsia" w:ascii="仿宋_GB2312" w:hAnsi="仿宋"/>
          <w:szCs w:val="32"/>
        </w:rPr>
        <w:t>万元，完成年初预算的</w:t>
      </w:r>
      <w:r>
        <w:rPr>
          <w:rFonts w:hint="eastAsia" w:ascii="仿宋_GB2312" w:hAnsi="仿宋"/>
          <w:szCs w:val="32"/>
          <w:lang w:val="en-US" w:eastAsia="zh-CN"/>
        </w:rPr>
        <w:t>795.33</w:t>
      </w:r>
      <w:r>
        <w:rPr>
          <w:rFonts w:hint="eastAsia" w:ascii="仿宋_GB2312" w:hAnsi="仿宋"/>
          <w:szCs w:val="32"/>
        </w:rPr>
        <w:t>%，决算数大于预算数的主要原</w:t>
      </w:r>
      <w:r>
        <w:rPr>
          <w:rFonts w:hint="eastAsia" w:ascii="仿宋_GB2312" w:hAnsi="仿宋" w:cs="Times New Roman"/>
          <w:szCs w:val="32"/>
        </w:rPr>
        <w:t>因是年初预算中不含中央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w:t>
      </w:r>
      <w:r>
        <w:rPr>
          <w:rFonts w:hint="eastAsia" w:ascii="仿宋_GB2312" w:hAnsi="仿宋" w:cs="Times New Roman"/>
          <w:szCs w:val="32"/>
          <w:lang w:eastAsia="zh-CN"/>
        </w:rPr>
        <w:t>艾滋病人生活补助资金</w:t>
      </w:r>
      <w:r>
        <w:rPr>
          <w:rFonts w:hint="eastAsia" w:ascii="仿宋_GB2312" w:hAnsi="仿宋" w:cs="Times New Roman"/>
          <w:szCs w:val="32"/>
        </w:rPr>
        <w:t>。</w:t>
      </w:r>
    </w:p>
    <w:p w14:paraId="6A07DBA2">
      <w:pPr>
        <w:ind w:firstLine="628" w:firstLineChars="200"/>
        <w:rPr>
          <w:rFonts w:hint="eastAsia" w:ascii="仿宋_GB2312" w:hAnsi="仿宋" w:cs="Times New Roman"/>
          <w:szCs w:val="32"/>
          <w:lang w:val="en-US" w:eastAsia="zh-CN"/>
        </w:rPr>
      </w:pPr>
      <w:r>
        <w:rPr>
          <w:rFonts w:hint="eastAsia" w:ascii="仿宋_GB2312" w:hAnsi="仿宋"/>
          <w:b/>
          <w:bCs/>
          <w:szCs w:val="32"/>
        </w:rPr>
        <w:t>（1</w:t>
      </w:r>
      <w:r>
        <w:rPr>
          <w:rFonts w:hint="eastAsia" w:ascii="仿宋_GB2312" w:hAnsi="仿宋"/>
          <w:b/>
          <w:bCs/>
          <w:szCs w:val="32"/>
          <w:lang w:val="en-US" w:eastAsia="zh-CN"/>
        </w:rPr>
        <w:t>1</w:t>
      </w:r>
      <w:r>
        <w:rPr>
          <w:rFonts w:hint="eastAsia" w:ascii="仿宋_GB2312" w:hAnsi="仿宋"/>
          <w:b/>
          <w:bCs/>
          <w:szCs w:val="32"/>
        </w:rPr>
        <w:t>）</w:t>
      </w:r>
      <w:r>
        <w:rPr>
          <w:rFonts w:hint="eastAsia" w:ascii="仿宋_GB2312" w:hAnsi="仿宋"/>
          <w:b/>
          <w:szCs w:val="32"/>
        </w:rPr>
        <w:t>社会保障和就业支出（类）残疾人事业（款）残疾人生活和护理补贴（项）。</w:t>
      </w:r>
      <w:r>
        <w:rPr>
          <w:rFonts w:hint="eastAsia" w:ascii="仿宋_GB2312" w:hAnsi="仿宋"/>
          <w:szCs w:val="32"/>
        </w:rPr>
        <w:t>年初预算为</w:t>
      </w:r>
      <w:r>
        <w:rPr>
          <w:rFonts w:hint="eastAsia" w:ascii="仿宋_GB2312" w:hAnsi="仿宋"/>
          <w:szCs w:val="32"/>
          <w:lang w:val="en-US" w:eastAsia="zh-CN"/>
        </w:rPr>
        <w:t>57.6</w:t>
      </w:r>
      <w:r>
        <w:rPr>
          <w:rFonts w:hint="eastAsia" w:ascii="仿宋_GB2312" w:hAnsi="仿宋"/>
          <w:szCs w:val="32"/>
        </w:rPr>
        <w:t>万元，支出决算为</w:t>
      </w:r>
      <w:r>
        <w:rPr>
          <w:rFonts w:hint="eastAsia" w:ascii="仿宋_GB2312" w:hAnsi="仿宋"/>
          <w:szCs w:val="32"/>
          <w:lang w:val="en-US" w:eastAsia="zh-CN"/>
        </w:rPr>
        <w:t>449.6</w:t>
      </w:r>
      <w:r>
        <w:rPr>
          <w:rFonts w:hint="eastAsia" w:ascii="仿宋_GB2312" w:hAnsi="仿宋"/>
          <w:szCs w:val="32"/>
        </w:rPr>
        <w:t>万元，完成年初预算的</w:t>
      </w:r>
      <w:r>
        <w:rPr>
          <w:rFonts w:hint="eastAsia" w:ascii="仿宋_GB2312" w:hAnsi="仿宋"/>
          <w:szCs w:val="32"/>
          <w:lang w:val="en-US" w:eastAsia="zh-CN"/>
        </w:rPr>
        <w:t>780.56</w:t>
      </w:r>
      <w:r>
        <w:rPr>
          <w:rFonts w:hint="eastAsia" w:ascii="仿宋_GB2312" w:hAnsi="仿宋"/>
          <w:szCs w:val="32"/>
        </w:rPr>
        <w:t>%，决算数大于预算数的</w:t>
      </w:r>
      <w:r>
        <w:rPr>
          <w:rFonts w:hint="eastAsia" w:ascii="仿宋_GB2312" w:hAnsi="仿宋" w:cs="Times New Roman"/>
          <w:szCs w:val="32"/>
        </w:rPr>
        <w:t>主要原因是年初预算中不含中央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w:t>
      </w:r>
      <w:r>
        <w:rPr>
          <w:rFonts w:hint="eastAsia" w:ascii="仿宋_GB2312" w:hAnsi="仿宋" w:cs="Times New Roman"/>
          <w:szCs w:val="32"/>
          <w:lang w:eastAsia="zh-CN"/>
        </w:rPr>
        <w:t>及区民生办拨付困难和重度</w:t>
      </w:r>
      <w:r>
        <w:rPr>
          <w:rFonts w:hint="eastAsia" w:ascii="仿宋_GB2312" w:hAnsi="仿宋" w:cs="Times New Roman"/>
          <w:szCs w:val="32"/>
        </w:rPr>
        <w:t>残疾人生活和护理补贴资金</w:t>
      </w:r>
      <w:r>
        <w:rPr>
          <w:rFonts w:hint="eastAsia" w:ascii="仿宋_GB2312" w:hAnsi="仿宋" w:cs="Times New Roman"/>
          <w:szCs w:val="32"/>
          <w:lang w:eastAsia="zh-CN"/>
        </w:rPr>
        <w:t>。</w:t>
      </w:r>
      <w:r>
        <w:rPr>
          <w:rFonts w:hint="eastAsia" w:ascii="仿宋_GB2312" w:hAnsi="仿宋" w:cs="Times New Roman"/>
          <w:szCs w:val="32"/>
          <w:lang w:val="en-US" w:eastAsia="zh-CN"/>
        </w:rPr>
        <w:t xml:space="preserve"> </w:t>
      </w:r>
    </w:p>
    <w:p w14:paraId="79DE8905">
      <w:pPr>
        <w:ind w:firstLine="628" w:firstLineChars="200"/>
        <w:rPr>
          <w:rFonts w:hint="eastAsia" w:ascii="仿宋_GB2312" w:hAnsi="仿宋" w:cs="Times New Roman"/>
          <w:szCs w:val="32"/>
        </w:rPr>
      </w:pPr>
      <w:r>
        <w:rPr>
          <w:rFonts w:hint="eastAsia" w:ascii="仿宋_GB2312" w:hAnsi="仿宋"/>
          <w:b/>
          <w:bCs/>
          <w:szCs w:val="32"/>
        </w:rPr>
        <w:t>（1</w:t>
      </w:r>
      <w:r>
        <w:rPr>
          <w:rFonts w:hint="eastAsia" w:ascii="仿宋_GB2312" w:hAnsi="仿宋"/>
          <w:b/>
          <w:bCs/>
          <w:szCs w:val="32"/>
          <w:lang w:val="en-US" w:eastAsia="zh-CN"/>
        </w:rPr>
        <w:t>2</w:t>
      </w:r>
      <w:r>
        <w:rPr>
          <w:rFonts w:hint="eastAsia" w:ascii="仿宋_GB2312" w:hAnsi="仿宋"/>
          <w:b/>
          <w:bCs/>
          <w:szCs w:val="32"/>
        </w:rPr>
        <w:t>）</w:t>
      </w:r>
      <w:r>
        <w:rPr>
          <w:rFonts w:hint="eastAsia" w:ascii="仿宋_GB2312" w:hAnsi="仿宋"/>
          <w:b/>
          <w:szCs w:val="32"/>
        </w:rPr>
        <w:t>社会保障和就业支出（类）最低生活保障（款）城市最低生活保障支出（项）。</w:t>
      </w:r>
      <w:r>
        <w:rPr>
          <w:rFonts w:hint="eastAsia" w:ascii="仿宋_GB2312" w:hAnsi="仿宋"/>
          <w:szCs w:val="32"/>
        </w:rPr>
        <w:t>年初预算为</w:t>
      </w:r>
      <w:r>
        <w:rPr>
          <w:rFonts w:hint="eastAsia" w:ascii="仿宋_GB2312" w:hAnsi="仿宋"/>
          <w:szCs w:val="32"/>
          <w:lang w:val="en-US" w:eastAsia="zh-CN"/>
        </w:rPr>
        <w:t>253.3</w:t>
      </w:r>
      <w:r>
        <w:rPr>
          <w:rFonts w:hint="eastAsia" w:ascii="仿宋_GB2312" w:hAnsi="仿宋"/>
          <w:szCs w:val="32"/>
        </w:rPr>
        <w:t>万元，支出决算为</w:t>
      </w:r>
      <w:r>
        <w:rPr>
          <w:rFonts w:hint="eastAsia" w:ascii="仿宋_GB2312" w:hAnsi="仿宋"/>
          <w:szCs w:val="32"/>
          <w:lang w:val="en-US" w:eastAsia="zh-CN"/>
        </w:rPr>
        <w:t>4150.18</w:t>
      </w:r>
      <w:r>
        <w:rPr>
          <w:rFonts w:hint="eastAsia" w:ascii="仿宋_GB2312" w:hAnsi="仿宋"/>
          <w:szCs w:val="32"/>
        </w:rPr>
        <w:t>万元，完成年初预算的</w:t>
      </w:r>
      <w:r>
        <w:rPr>
          <w:rFonts w:hint="eastAsia" w:ascii="仿宋_GB2312" w:hAnsi="仿宋"/>
          <w:szCs w:val="32"/>
          <w:lang w:val="en-US" w:eastAsia="zh-CN"/>
        </w:rPr>
        <w:t>1638.44</w:t>
      </w:r>
      <w:r>
        <w:rPr>
          <w:rFonts w:hint="eastAsia" w:ascii="仿宋_GB2312" w:hAnsi="仿宋"/>
          <w:szCs w:val="32"/>
        </w:rPr>
        <w:t>%，决</w:t>
      </w:r>
      <w:r>
        <w:rPr>
          <w:rFonts w:hint="eastAsia" w:ascii="仿宋_GB2312" w:hAnsi="仿宋" w:cs="Times New Roman"/>
          <w:szCs w:val="32"/>
        </w:rPr>
        <w:t>算数大于预算数的主要原因是年初预算中不含中央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市上级城市最低生活保障资金。</w:t>
      </w:r>
    </w:p>
    <w:p w14:paraId="2C7CD334">
      <w:pPr>
        <w:ind w:firstLine="628" w:firstLineChars="200"/>
        <w:rPr>
          <w:rFonts w:hint="eastAsia" w:ascii="仿宋_GB2312" w:hAnsi="仿宋" w:cs="Times New Roman"/>
          <w:szCs w:val="32"/>
          <w:lang w:eastAsia="zh-CN"/>
        </w:rPr>
      </w:pPr>
      <w:r>
        <w:rPr>
          <w:rFonts w:hint="eastAsia" w:ascii="仿宋_GB2312" w:hAnsi="仿宋"/>
          <w:b/>
          <w:bCs/>
          <w:szCs w:val="32"/>
        </w:rPr>
        <w:t>（1</w:t>
      </w:r>
      <w:r>
        <w:rPr>
          <w:rFonts w:hint="eastAsia" w:ascii="仿宋_GB2312" w:hAnsi="仿宋"/>
          <w:b/>
          <w:bCs/>
          <w:szCs w:val="32"/>
          <w:lang w:val="en-US" w:eastAsia="zh-CN"/>
        </w:rPr>
        <w:t>3</w:t>
      </w:r>
      <w:r>
        <w:rPr>
          <w:rFonts w:hint="eastAsia" w:ascii="仿宋_GB2312" w:hAnsi="仿宋"/>
          <w:b/>
          <w:bCs/>
          <w:szCs w:val="32"/>
        </w:rPr>
        <w:t>）</w:t>
      </w:r>
      <w:r>
        <w:rPr>
          <w:rFonts w:hint="eastAsia" w:ascii="仿宋_GB2312" w:hAnsi="仿宋"/>
          <w:b/>
          <w:szCs w:val="32"/>
        </w:rPr>
        <w:t>社会保障和就业支出（类）最低生活保障（款）农村最低生活保障支出（项）。</w:t>
      </w:r>
      <w:r>
        <w:rPr>
          <w:rFonts w:hint="eastAsia" w:ascii="仿宋_GB2312" w:hAnsi="仿宋"/>
          <w:szCs w:val="32"/>
        </w:rPr>
        <w:t>年初预算</w:t>
      </w:r>
      <w:r>
        <w:rPr>
          <w:rFonts w:hint="eastAsia" w:ascii="仿宋_GB2312" w:hAnsi="仿宋"/>
          <w:color w:val="auto"/>
          <w:szCs w:val="32"/>
        </w:rPr>
        <w:t>为0万元，支出</w:t>
      </w:r>
      <w:r>
        <w:rPr>
          <w:rFonts w:hint="eastAsia" w:ascii="仿宋_GB2312" w:hAnsi="仿宋"/>
          <w:szCs w:val="32"/>
        </w:rPr>
        <w:t>决算为</w:t>
      </w:r>
      <w:r>
        <w:rPr>
          <w:rFonts w:hint="eastAsia" w:ascii="仿宋_GB2312" w:hAnsi="仿宋"/>
          <w:szCs w:val="32"/>
          <w:lang w:val="en-US" w:eastAsia="zh-CN"/>
        </w:rPr>
        <w:t>1101.71</w:t>
      </w:r>
      <w:r>
        <w:rPr>
          <w:rFonts w:hint="eastAsia" w:ascii="仿宋_GB2312" w:hAnsi="仿宋"/>
          <w:szCs w:val="32"/>
        </w:rPr>
        <w:t>万元，决算数大于预算数的主要原因</w:t>
      </w:r>
      <w:r>
        <w:rPr>
          <w:rFonts w:hint="eastAsia" w:ascii="仿宋_GB2312" w:hAnsi="仿宋" w:cs="Times New Roman"/>
          <w:szCs w:val="32"/>
        </w:rPr>
        <w:t>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w:t>
      </w:r>
      <w:r>
        <w:rPr>
          <w:rFonts w:hint="eastAsia" w:ascii="仿宋_GB2312" w:hAnsi="仿宋" w:cs="Times New Roman"/>
          <w:szCs w:val="32"/>
          <w:lang w:eastAsia="zh-CN"/>
        </w:rPr>
        <w:t>及区民生办拨付</w:t>
      </w:r>
      <w:r>
        <w:rPr>
          <w:rFonts w:hint="eastAsia" w:ascii="仿宋_GB2312" w:hAnsi="仿宋" w:cs="Times New Roman"/>
          <w:szCs w:val="32"/>
        </w:rPr>
        <w:t>农村最低生活保障资</w:t>
      </w:r>
      <w:r>
        <w:rPr>
          <w:rFonts w:hint="eastAsia" w:ascii="仿宋_GB2312" w:hAnsi="仿宋" w:cs="Times New Roman"/>
          <w:szCs w:val="32"/>
          <w:lang w:eastAsia="zh-CN"/>
        </w:rPr>
        <w:t>金。</w:t>
      </w:r>
    </w:p>
    <w:p w14:paraId="1D6393A9">
      <w:pPr>
        <w:ind w:firstLine="616" w:firstLineChars="196"/>
        <w:rPr>
          <w:rFonts w:hint="eastAsia" w:ascii="仿宋_GB2312" w:hAnsi="仿宋" w:cs="Times New Roman"/>
          <w:szCs w:val="32"/>
        </w:rPr>
      </w:pPr>
      <w:r>
        <w:rPr>
          <w:rFonts w:hint="eastAsia" w:ascii="仿宋_GB2312" w:hAnsi="仿宋"/>
          <w:b/>
          <w:bCs/>
          <w:szCs w:val="32"/>
        </w:rPr>
        <w:t>（1</w:t>
      </w:r>
      <w:r>
        <w:rPr>
          <w:rFonts w:hint="eastAsia" w:ascii="仿宋_GB2312" w:hAnsi="仿宋"/>
          <w:b/>
          <w:bCs/>
          <w:szCs w:val="32"/>
          <w:lang w:val="en-US" w:eastAsia="zh-CN"/>
        </w:rPr>
        <w:t>4</w:t>
      </w:r>
      <w:r>
        <w:rPr>
          <w:rFonts w:hint="eastAsia" w:ascii="仿宋_GB2312" w:hAnsi="仿宋"/>
          <w:b/>
          <w:bCs/>
          <w:szCs w:val="32"/>
        </w:rPr>
        <w:t>）</w:t>
      </w:r>
      <w:r>
        <w:rPr>
          <w:rFonts w:hint="eastAsia" w:ascii="仿宋_GB2312" w:hAnsi="仿宋"/>
          <w:b/>
          <w:szCs w:val="32"/>
        </w:rPr>
        <w:t>社会保障和就业支出（类）临时救助（款）临时救助支出（项）。</w:t>
      </w:r>
      <w:r>
        <w:rPr>
          <w:rFonts w:hint="eastAsia" w:ascii="仿宋_GB2312" w:hAnsi="仿宋"/>
          <w:szCs w:val="32"/>
        </w:rPr>
        <w:t>年初预算为</w:t>
      </w:r>
      <w:r>
        <w:rPr>
          <w:rFonts w:hint="eastAsia" w:ascii="仿宋_GB2312" w:hAnsi="仿宋"/>
          <w:szCs w:val="32"/>
          <w:lang w:val="en-US" w:eastAsia="zh-CN"/>
        </w:rPr>
        <w:t>5</w:t>
      </w:r>
      <w:r>
        <w:rPr>
          <w:rFonts w:hint="eastAsia" w:ascii="仿宋_GB2312" w:hAnsi="仿宋"/>
          <w:szCs w:val="32"/>
        </w:rPr>
        <w:t>万元，支出决算为</w:t>
      </w:r>
      <w:r>
        <w:rPr>
          <w:rFonts w:hint="eastAsia" w:ascii="仿宋_GB2312" w:hAnsi="仿宋"/>
          <w:szCs w:val="32"/>
          <w:lang w:val="en-US" w:eastAsia="zh-CN"/>
        </w:rPr>
        <w:t>52.39</w:t>
      </w:r>
      <w:r>
        <w:rPr>
          <w:rFonts w:hint="eastAsia" w:ascii="仿宋_GB2312" w:hAnsi="仿宋"/>
          <w:szCs w:val="32"/>
        </w:rPr>
        <w:t>万元，完成年初预算的</w:t>
      </w:r>
      <w:r>
        <w:rPr>
          <w:rFonts w:hint="eastAsia" w:ascii="仿宋_GB2312" w:hAnsi="仿宋"/>
          <w:szCs w:val="32"/>
          <w:lang w:val="en-US" w:eastAsia="zh-CN"/>
        </w:rPr>
        <w:t>1047.8</w:t>
      </w:r>
      <w:r>
        <w:rPr>
          <w:rFonts w:hint="eastAsia" w:ascii="仿宋_GB2312" w:hAnsi="仿宋"/>
          <w:szCs w:val="32"/>
        </w:rPr>
        <w:t>%，</w:t>
      </w:r>
      <w:r>
        <w:rPr>
          <w:rFonts w:hint="eastAsia" w:ascii="仿宋_GB2312" w:hAnsi="仿宋" w:cs="Times New Roman"/>
          <w:szCs w:val="32"/>
        </w:rPr>
        <w:t>决算数大于预算数的主要原因是年初预算中不含中央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市上级临时救助资金。</w:t>
      </w:r>
    </w:p>
    <w:p w14:paraId="3A8B5C25">
      <w:pPr>
        <w:ind w:firstLine="628" w:firstLineChars="200"/>
        <w:rPr>
          <w:rFonts w:hint="eastAsia" w:ascii="仿宋_GB2312" w:hAnsi="仿宋" w:cs="Times New Roman"/>
          <w:szCs w:val="32"/>
        </w:rPr>
      </w:pPr>
      <w:r>
        <w:rPr>
          <w:rFonts w:hint="eastAsia" w:ascii="仿宋_GB2312" w:hAnsi="仿宋"/>
          <w:b/>
          <w:bCs/>
          <w:szCs w:val="32"/>
        </w:rPr>
        <w:t>（1</w:t>
      </w:r>
      <w:r>
        <w:rPr>
          <w:rFonts w:hint="eastAsia" w:ascii="仿宋_GB2312" w:hAnsi="仿宋"/>
          <w:b/>
          <w:bCs/>
          <w:szCs w:val="32"/>
          <w:lang w:val="en-US" w:eastAsia="zh-CN"/>
        </w:rPr>
        <w:t>5</w:t>
      </w:r>
      <w:r>
        <w:rPr>
          <w:rFonts w:hint="eastAsia" w:ascii="仿宋_GB2312" w:hAnsi="仿宋"/>
          <w:b/>
          <w:bCs/>
          <w:szCs w:val="32"/>
        </w:rPr>
        <w:t>）</w:t>
      </w:r>
      <w:r>
        <w:rPr>
          <w:rFonts w:hint="eastAsia" w:ascii="仿宋_GB2312" w:hAnsi="仿宋"/>
          <w:b/>
          <w:szCs w:val="32"/>
        </w:rPr>
        <w:t>社会保障和就业支出（类）临时救助（款）流浪乞讨人员救助支出（项）。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0.33</w:t>
      </w:r>
      <w:r>
        <w:rPr>
          <w:rFonts w:hint="eastAsia" w:ascii="仿宋_GB2312" w:hAnsi="仿宋"/>
          <w:szCs w:val="32"/>
        </w:rPr>
        <w:t>万元，决算数</w:t>
      </w:r>
      <w:r>
        <w:rPr>
          <w:rFonts w:hint="eastAsia" w:ascii="仿宋_GB2312" w:hAnsi="仿宋"/>
          <w:szCs w:val="32"/>
          <w:lang w:eastAsia="zh-CN"/>
        </w:rPr>
        <w:t>大于</w:t>
      </w:r>
      <w:r>
        <w:rPr>
          <w:rFonts w:hint="eastAsia" w:ascii="仿宋_GB2312" w:hAnsi="仿宋"/>
          <w:szCs w:val="32"/>
        </w:rPr>
        <w:t>预算数的</w:t>
      </w:r>
      <w:r>
        <w:rPr>
          <w:rFonts w:hint="eastAsia" w:ascii="仿宋_GB2312" w:hAnsi="仿宋"/>
          <w:color w:val="auto"/>
          <w:szCs w:val="32"/>
        </w:rPr>
        <w:t>主要原因是</w:t>
      </w:r>
      <w:r>
        <w:rPr>
          <w:rFonts w:hint="eastAsia" w:ascii="仿宋_GB2312" w:hAnsi="仿宋" w:cs="Times New Roman"/>
          <w:szCs w:val="32"/>
        </w:rPr>
        <w:t>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w:t>
      </w:r>
      <w:r>
        <w:rPr>
          <w:rFonts w:hint="eastAsia" w:ascii="仿宋_GB2312" w:hAnsi="仿宋" w:cs="Times New Roman"/>
          <w:szCs w:val="32"/>
          <w:lang w:eastAsia="zh-CN"/>
        </w:rPr>
        <w:t>流浪乞讨人员救助</w:t>
      </w:r>
      <w:r>
        <w:rPr>
          <w:rFonts w:hint="eastAsia" w:ascii="仿宋_GB2312" w:hAnsi="仿宋" w:cs="Times New Roman"/>
          <w:szCs w:val="32"/>
        </w:rPr>
        <w:t>资</w:t>
      </w:r>
      <w:r>
        <w:rPr>
          <w:rFonts w:hint="eastAsia" w:ascii="仿宋_GB2312" w:hAnsi="仿宋" w:cs="Times New Roman"/>
          <w:szCs w:val="32"/>
          <w:lang w:eastAsia="zh-CN"/>
        </w:rPr>
        <w:t>金。</w:t>
      </w:r>
    </w:p>
    <w:p w14:paraId="69368397">
      <w:pPr>
        <w:ind w:firstLine="628" w:firstLineChars="200"/>
        <w:rPr>
          <w:rFonts w:hint="eastAsia" w:ascii="仿宋_GB2312" w:hAnsi="仿宋" w:cs="Times New Roman"/>
          <w:szCs w:val="32"/>
        </w:rPr>
      </w:pPr>
      <w:r>
        <w:rPr>
          <w:rFonts w:hint="eastAsia" w:ascii="仿宋_GB2312" w:hAnsi="仿宋"/>
          <w:b/>
          <w:bCs/>
          <w:szCs w:val="32"/>
        </w:rPr>
        <w:t>（1</w:t>
      </w:r>
      <w:r>
        <w:rPr>
          <w:rFonts w:hint="eastAsia" w:ascii="仿宋_GB2312" w:hAnsi="仿宋"/>
          <w:b/>
          <w:bCs/>
          <w:szCs w:val="32"/>
          <w:lang w:val="en-US" w:eastAsia="zh-CN"/>
        </w:rPr>
        <w:t>6</w:t>
      </w:r>
      <w:r>
        <w:rPr>
          <w:rFonts w:hint="eastAsia" w:ascii="仿宋_GB2312" w:hAnsi="仿宋"/>
          <w:b/>
          <w:bCs/>
          <w:szCs w:val="32"/>
        </w:rPr>
        <w:t>）</w:t>
      </w:r>
      <w:r>
        <w:rPr>
          <w:rFonts w:hint="eastAsia" w:ascii="仿宋_GB2312" w:hAnsi="仿宋"/>
          <w:b/>
          <w:szCs w:val="32"/>
        </w:rPr>
        <w:t>社会保障和就业支出（类）特困人员救助供养（款）农村特困人员救助供养支出（项）。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398.08</w:t>
      </w:r>
      <w:r>
        <w:rPr>
          <w:rFonts w:hint="eastAsia" w:ascii="仿宋_GB2312" w:hAnsi="仿宋"/>
          <w:szCs w:val="32"/>
        </w:rPr>
        <w:t>万元，决算数大于预算数的主要原因</w:t>
      </w:r>
      <w:r>
        <w:rPr>
          <w:rFonts w:hint="eastAsia" w:ascii="仿宋_GB2312" w:hAnsi="仿宋" w:cs="Times New Roman"/>
          <w:szCs w:val="32"/>
        </w:rPr>
        <w:t>是年初预算中不含中央</w:t>
      </w:r>
      <w:r>
        <w:rPr>
          <w:rFonts w:hint="eastAsia" w:ascii="仿宋_GB2312" w:hAnsi="仿宋" w:cs="Times New Roman"/>
          <w:szCs w:val="32"/>
          <w:lang w:eastAsia="zh-CN"/>
        </w:rPr>
        <w:t>、</w:t>
      </w:r>
      <w:r>
        <w:rPr>
          <w:rFonts w:hint="eastAsia" w:ascii="仿宋_GB2312" w:hAnsi="仿宋" w:cs="Times New Roman"/>
          <w:szCs w:val="32"/>
        </w:rPr>
        <w:t>省</w:t>
      </w:r>
      <w:r>
        <w:rPr>
          <w:rFonts w:hint="eastAsia" w:ascii="仿宋_GB2312" w:hAnsi="仿宋" w:cs="Times New Roman"/>
          <w:szCs w:val="32"/>
          <w:lang w:eastAsia="zh-CN"/>
        </w:rPr>
        <w:t>、</w:t>
      </w:r>
      <w:r>
        <w:rPr>
          <w:rFonts w:hint="eastAsia" w:ascii="仿宋_GB2312" w:hAnsi="仿宋" w:cs="Times New Roman"/>
          <w:szCs w:val="32"/>
        </w:rPr>
        <w:t>市上级</w:t>
      </w:r>
      <w:r>
        <w:rPr>
          <w:rFonts w:hint="eastAsia" w:ascii="仿宋_GB2312" w:hAnsi="仿宋" w:cs="Times New Roman"/>
          <w:szCs w:val="32"/>
          <w:lang w:eastAsia="zh-CN"/>
        </w:rPr>
        <w:t>及区民生办拨付</w:t>
      </w:r>
      <w:r>
        <w:rPr>
          <w:rFonts w:hint="eastAsia" w:ascii="仿宋_GB2312" w:hAnsi="仿宋" w:cs="Times New Roman"/>
          <w:szCs w:val="32"/>
        </w:rPr>
        <w:t>农村特困人员救助供养资金。</w:t>
      </w:r>
    </w:p>
    <w:p w14:paraId="2186DF96">
      <w:pPr>
        <w:ind w:firstLine="628" w:firstLineChars="200"/>
        <w:rPr>
          <w:rFonts w:hint="eastAsia" w:ascii="仿宋_GB2312" w:hAnsi="仿宋"/>
          <w:szCs w:val="32"/>
        </w:rPr>
      </w:pPr>
      <w:r>
        <w:rPr>
          <w:rFonts w:hint="eastAsia" w:ascii="仿宋_GB2312" w:hAnsi="仿宋"/>
          <w:b/>
          <w:bCs/>
          <w:szCs w:val="32"/>
        </w:rPr>
        <w:t>（</w:t>
      </w:r>
      <w:r>
        <w:rPr>
          <w:rFonts w:hint="eastAsia" w:ascii="仿宋_GB2312" w:hAnsi="仿宋"/>
          <w:b/>
          <w:bCs/>
          <w:szCs w:val="32"/>
          <w:lang w:val="en-US" w:eastAsia="zh-CN"/>
        </w:rPr>
        <w:t>17</w:t>
      </w:r>
      <w:r>
        <w:rPr>
          <w:rFonts w:hint="eastAsia" w:ascii="仿宋_GB2312" w:hAnsi="仿宋"/>
          <w:b/>
          <w:bCs/>
          <w:szCs w:val="32"/>
        </w:rPr>
        <w:t>）</w:t>
      </w:r>
      <w:r>
        <w:rPr>
          <w:rFonts w:hint="eastAsia" w:ascii="仿宋_GB2312" w:hAnsi="仿宋"/>
          <w:b/>
          <w:szCs w:val="32"/>
        </w:rPr>
        <w:t>社会保障和就业支出（类）其他生活救助（款）其他</w:t>
      </w:r>
      <w:r>
        <w:rPr>
          <w:rFonts w:hint="eastAsia" w:ascii="仿宋_GB2312" w:hAnsi="仿宋"/>
          <w:b/>
          <w:szCs w:val="32"/>
          <w:lang w:eastAsia="zh-CN"/>
        </w:rPr>
        <w:t>城市</w:t>
      </w:r>
      <w:r>
        <w:rPr>
          <w:rFonts w:hint="eastAsia" w:ascii="仿宋_GB2312" w:hAnsi="仿宋"/>
          <w:b/>
          <w:szCs w:val="32"/>
        </w:rPr>
        <w:t>生活救助（项）。</w:t>
      </w:r>
      <w:r>
        <w:rPr>
          <w:rFonts w:hint="eastAsia" w:ascii="仿宋_GB2312" w:hAnsi="仿宋"/>
          <w:szCs w:val="32"/>
        </w:rPr>
        <w:t>年初预算为0.18万元，支出决算为0.18万元，完成年初预算的100%。</w:t>
      </w:r>
    </w:p>
    <w:p w14:paraId="5E70BCC8">
      <w:pPr>
        <w:ind w:firstLine="628" w:firstLineChars="200"/>
        <w:rPr>
          <w:rFonts w:hint="eastAsia" w:ascii="仿宋_GB2312" w:hAnsi="仿宋" w:cs="Times New Roman"/>
          <w:szCs w:val="32"/>
        </w:rPr>
      </w:pPr>
      <w:r>
        <w:rPr>
          <w:rFonts w:hint="eastAsia" w:ascii="仿宋_GB2312" w:hAnsi="仿宋"/>
          <w:b/>
          <w:bCs/>
          <w:szCs w:val="32"/>
        </w:rPr>
        <w:t>（</w:t>
      </w:r>
      <w:r>
        <w:rPr>
          <w:rFonts w:hint="eastAsia" w:ascii="仿宋_GB2312" w:hAnsi="仿宋"/>
          <w:b/>
          <w:bCs/>
          <w:szCs w:val="32"/>
          <w:lang w:val="en-US" w:eastAsia="zh-CN"/>
        </w:rPr>
        <w:t>18</w:t>
      </w:r>
      <w:r>
        <w:rPr>
          <w:rFonts w:hint="eastAsia" w:ascii="仿宋_GB2312" w:hAnsi="仿宋"/>
          <w:b/>
          <w:bCs/>
          <w:szCs w:val="32"/>
        </w:rPr>
        <w:t>）</w:t>
      </w:r>
      <w:r>
        <w:rPr>
          <w:rFonts w:hint="eastAsia" w:ascii="仿宋_GB2312" w:hAnsi="仿宋"/>
          <w:b/>
          <w:szCs w:val="32"/>
        </w:rPr>
        <w:t>社会保障和就业支出（类）</w:t>
      </w:r>
      <w:r>
        <w:rPr>
          <w:rFonts w:hint="eastAsia" w:ascii="仿宋_GB2312" w:hAnsi="仿宋"/>
          <w:b/>
          <w:szCs w:val="32"/>
          <w:lang w:eastAsia="zh-CN"/>
        </w:rPr>
        <w:t>退役军人管理事务</w:t>
      </w:r>
      <w:r>
        <w:rPr>
          <w:rFonts w:hint="eastAsia" w:ascii="仿宋_GB2312" w:hAnsi="仿宋"/>
          <w:b/>
          <w:szCs w:val="32"/>
        </w:rPr>
        <w:t>（款）</w:t>
      </w:r>
      <w:r>
        <w:rPr>
          <w:rFonts w:hint="eastAsia" w:ascii="仿宋_GB2312" w:hAnsi="仿宋"/>
          <w:b/>
          <w:szCs w:val="32"/>
          <w:lang w:eastAsia="zh-CN"/>
        </w:rPr>
        <w:t>行政运行</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5.4</w:t>
      </w:r>
      <w:r>
        <w:rPr>
          <w:rFonts w:hint="eastAsia" w:ascii="仿宋_GB2312" w:hAnsi="仿宋"/>
          <w:szCs w:val="32"/>
        </w:rPr>
        <w:t>万元，决算数</w:t>
      </w:r>
      <w:r>
        <w:rPr>
          <w:rFonts w:hint="eastAsia" w:ascii="仿宋_GB2312" w:hAnsi="仿宋"/>
          <w:szCs w:val="32"/>
          <w:lang w:eastAsia="zh-CN"/>
        </w:rPr>
        <w:t>大于</w:t>
      </w:r>
      <w:r>
        <w:rPr>
          <w:rFonts w:hint="eastAsia" w:ascii="仿宋_GB2312" w:hAnsi="仿宋"/>
          <w:szCs w:val="32"/>
        </w:rPr>
        <w:t>预算数的</w:t>
      </w:r>
      <w:r>
        <w:rPr>
          <w:rFonts w:hint="eastAsia" w:ascii="仿宋_GB2312" w:hAnsi="仿宋"/>
          <w:color w:val="auto"/>
          <w:szCs w:val="32"/>
        </w:rPr>
        <w:t>主要原因是</w:t>
      </w:r>
      <w:r>
        <w:rPr>
          <w:rFonts w:hint="eastAsia" w:ascii="仿宋_GB2312" w:hAnsi="仿宋" w:cs="Times New Roman"/>
          <w:szCs w:val="32"/>
        </w:rPr>
        <w:t>年初预算中不含</w:t>
      </w:r>
      <w:r>
        <w:rPr>
          <w:rFonts w:hint="eastAsia" w:ascii="仿宋_GB2312" w:hAnsi="仿宋" w:cs="Times New Roman"/>
          <w:szCs w:val="32"/>
          <w:lang w:eastAsia="zh-CN"/>
        </w:rPr>
        <w:t>退役军人基础绩效</w:t>
      </w:r>
      <w:r>
        <w:rPr>
          <w:rFonts w:hint="eastAsia" w:ascii="仿宋_GB2312" w:hAnsi="仿宋" w:cs="Times New Roman"/>
          <w:szCs w:val="32"/>
        </w:rPr>
        <w:t>。</w:t>
      </w:r>
    </w:p>
    <w:p w14:paraId="54A5CE93">
      <w:pPr>
        <w:ind w:firstLine="628" w:firstLineChars="200"/>
        <w:rPr>
          <w:rFonts w:hint="eastAsia" w:ascii="仿宋_GB2312" w:hAnsi="仿宋"/>
          <w:szCs w:val="32"/>
          <w:lang w:eastAsia="zh-CN"/>
        </w:rPr>
      </w:pPr>
      <w:r>
        <w:rPr>
          <w:rFonts w:hint="eastAsia" w:ascii="仿宋_GB2312" w:hAnsi="仿宋"/>
          <w:b/>
          <w:bCs/>
          <w:szCs w:val="32"/>
        </w:rPr>
        <w:t>（</w:t>
      </w:r>
      <w:r>
        <w:rPr>
          <w:rFonts w:hint="eastAsia" w:ascii="仿宋_GB2312" w:hAnsi="仿宋"/>
          <w:b/>
          <w:bCs/>
          <w:szCs w:val="32"/>
          <w:lang w:val="en-US" w:eastAsia="zh-CN"/>
        </w:rPr>
        <w:t>19</w:t>
      </w:r>
      <w:r>
        <w:rPr>
          <w:rFonts w:hint="eastAsia" w:ascii="仿宋_GB2312" w:hAnsi="仿宋"/>
          <w:b/>
          <w:bCs/>
          <w:szCs w:val="32"/>
        </w:rPr>
        <w:t>）</w:t>
      </w:r>
      <w:r>
        <w:rPr>
          <w:rFonts w:hint="eastAsia" w:ascii="仿宋_GB2312" w:hAnsi="仿宋"/>
          <w:b/>
          <w:szCs w:val="32"/>
        </w:rPr>
        <w:t>社会保障和就业支出（类）其他社会保障和就业支出（款）</w:t>
      </w:r>
      <w:r>
        <w:rPr>
          <w:rFonts w:hint="eastAsia" w:ascii="仿宋_GB2312" w:hAnsi="仿宋"/>
          <w:b/>
          <w:szCs w:val="32"/>
          <w:lang w:eastAsia="zh-CN"/>
        </w:rPr>
        <w:t>其他社会保障和就业</w:t>
      </w:r>
      <w:r>
        <w:rPr>
          <w:rFonts w:hint="eastAsia" w:ascii="仿宋_GB2312" w:hAnsi="仿宋"/>
          <w:b/>
          <w:szCs w:val="32"/>
        </w:rPr>
        <w:t>支出（项）。</w:t>
      </w:r>
      <w:r>
        <w:rPr>
          <w:rFonts w:hint="eastAsia" w:ascii="仿宋_GB2312" w:hAnsi="仿宋"/>
          <w:szCs w:val="32"/>
        </w:rPr>
        <w:t>年初预算为</w:t>
      </w:r>
      <w:r>
        <w:rPr>
          <w:rFonts w:hint="eastAsia" w:ascii="仿宋_GB2312" w:hAnsi="仿宋"/>
          <w:szCs w:val="32"/>
          <w:lang w:val="en-US" w:eastAsia="zh-CN"/>
        </w:rPr>
        <w:t>12.37</w:t>
      </w:r>
      <w:r>
        <w:rPr>
          <w:rFonts w:hint="eastAsia" w:ascii="仿宋_GB2312" w:hAnsi="仿宋"/>
          <w:szCs w:val="32"/>
        </w:rPr>
        <w:t>万元，支出决算为</w:t>
      </w:r>
      <w:r>
        <w:rPr>
          <w:rFonts w:hint="eastAsia" w:ascii="仿宋_GB2312" w:hAnsi="仿宋"/>
          <w:szCs w:val="32"/>
          <w:lang w:val="en-US" w:eastAsia="zh-CN"/>
        </w:rPr>
        <w:t>12.37</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szCs w:val="32"/>
          <w:lang w:eastAsia="zh-CN"/>
        </w:rPr>
        <w:t>。</w:t>
      </w:r>
    </w:p>
    <w:p w14:paraId="34D5691F">
      <w:pPr>
        <w:ind w:firstLine="628" w:firstLineChars="200"/>
        <w:rPr>
          <w:rFonts w:hint="eastAsia" w:ascii="仿宋_GB2312" w:hAnsi="仿宋" w:cs="Times New Roman"/>
          <w:szCs w:val="32"/>
        </w:rPr>
      </w:pPr>
      <w:r>
        <w:rPr>
          <w:rFonts w:hint="eastAsia" w:ascii="仿宋_GB2312" w:hAnsi="仿宋"/>
          <w:b/>
          <w:bCs/>
          <w:szCs w:val="32"/>
        </w:rPr>
        <w:t>（2</w:t>
      </w:r>
      <w:r>
        <w:rPr>
          <w:rFonts w:hint="eastAsia" w:ascii="仿宋_GB2312" w:hAnsi="仿宋"/>
          <w:b/>
          <w:bCs/>
          <w:szCs w:val="32"/>
          <w:lang w:val="en-US" w:eastAsia="zh-CN"/>
        </w:rPr>
        <w:t>0</w:t>
      </w:r>
      <w:r>
        <w:rPr>
          <w:rFonts w:hint="eastAsia" w:ascii="仿宋_GB2312" w:hAnsi="仿宋"/>
          <w:b/>
          <w:bCs/>
          <w:szCs w:val="32"/>
        </w:rPr>
        <w:t>）</w:t>
      </w:r>
      <w:r>
        <w:rPr>
          <w:rFonts w:hint="eastAsia" w:ascii="仿宋_GB2312" w:hAnsi="仿宋"/>
          <w:b/>
          <w:szCs w:val="32"/>
        </w:rPr>
        <w:t>卫生健康支出（类）行政事业单位医疗（款）行政单位医疗（项）。</w:t>
      </w:r>
      <w:r>
        <w:rPr>
          <w:rFonts w:hint="eastAsia" w:ascii="仿宋_GB2312" w:hAnsi="仿宋"/>
          <w:szCs w:val="32"/>
        </w:rPr>
        <w:t>年初预算为</w:t>
      </w:r>
      <w:r>
        <w:rPr>
          <w:rFonts w:hint="eastAsia" w:ascii="仿宋_GB2312" w:hAnsi="仿宋"/>
          <w:szCs w:val="32"/>
          <w:lang w:val="en-US" w:eastAsia="zh-CN"/>
        </w:rPr>
        <w:t>13.48</w:t>
      </w:r>
      <w:r>
        <w:rPr>
          <w:rFonts w:hint="eastAsia" w:ascii="仿宋_GB2312" w:hAnsi="仿宋"/>
          <w:szCs w:val="32"/>
        </w:rPr>
        <w:t>万元，支出决算为</w:t>
      </w:r>
      <w:r>
        <w:rPr>
          <w:rFonts w:hint="eastAsia" w:ascii="仿宋_GB2312" w:hAnsi="仿宋"/>
          <w:szCs w:val="32"/>
          <w:lang w:val="en-US" w:eastAsia="zh-CN"/>
        </w:rPr>
        <w:t>11.45</w:t>
      </w:r>
      <w:r>
        <w:rPr>
          <w:rFonts w:hint="eastAsia" w:ascii="仿宋_GB2312" w:hAnsi="仿宋"/>
          <w:szCs w:val="32"/>
        </w:rPr>
        <w:t>万元，完成年初预算的</w:t>
      </w:r>
      <w:r>
        <w:rPr>
          <w:rFonts w:hint="eastAsia" w:ascii="仿宋_GB2312" w:hAnsi="仿宋"/>
          <w:szCs w:val="32"/>
          <w:lang w:val="en-US" w:eastAsia="zh-CN"/>
        </w:rPr>
        <w:t>84.94</w:t>
      </w:r>
      <w:r>
        <w:rPr>
          <w:rFonts w:hint="eastAsia" w:ascii="仿宋_GB2312" w:hAnsi="仿宋"/>
          <w:szCs w:val="32"/>
        </w:rPr>
        <w:t>%，决算数</w:t>
      </w:r>
      <w:r>
        <w:rPr>
          <w:rFonts w:hint="eastAsia" w:ascii="仿宋_GB2312" w:hAnsi="仿宋"/>
          <w:szCs w:val="32"/>
          <w:lang w:eastAsia="zh-CN"/>
        </w:rPr>
        <w:t>小于</w:t>
      </w:r>
      <w:r>
        <w:rPr>
          <w:rFonts w:hint="eastAsia" w:ascii="仿宋_GB2312" w:hAnsi="仿宋"/>
          <w:szCs w:val="32"/>
        </w:rPr>
        <w:t>预算数的主要原因</w:t>
      </w:r>
      <w:r>
        <w:rPr>
          <w:rFonts w:hint="eastAsia" w:ascii="仿宋_GB2312" w:hAnsi="仿宋" w:cs="Times New Roman"/>
          <w:szCs w:val="32"/>
        </w:rPr>
        <w:t>是</w:t>
      </w:r>
      <w:r>
        <w:rPr>
          <w:rFonts w:hint="eastAsia" w:ascii="仿宋_GB2312" w:hAnsi="仿宋" w:cs="Times New Roman"/>
          <w:szCs w:val="32"/>
          <w:lang w:eastAsia="zh-CN"/>
        </w:rPr>
        <w:t>工作人员辞职，减少支出</w:t>
      </w:r>
      <w:r>
        <w:rPr>
          <w:rFonts w:hint="eastAsia" w:ascii="仿宋_GB2312" w:hAnsi="仿宋" w:cs="Times New Roman"/>
          <w:szCs w:val="32"/>
        </w:rPr>
        <w:t>。</w:t>
      </w:r>
    </w:p>
    <w:p w14:paraId="770C600B">
      <w:pPr>
        <w:ind w:firstLine="628" w:firstLineChars="200"/>
        <w:rPr>
          <w:rFonts w:hint="eastAsia" w:ascii="仿宋_GB2312" w:hAnsi="仿宋" w:cs="Times New Roman"/>
          <w:szCs w:val="32"/>
        </w:rPr>
      </w:pPr>
      <w:r>
        <w:rPr>
          <w:rFonts w:hint="eastAsia" w:ascii="仿宋_GB2312" w:hAnsi="仿宋"/>
          <w:b/>
          <w:bCs/>
          <w:szCs w:val="32"/>
        </w:rPr>
        <w:t>（2</w:t>
      </w:r>
      <w:r>
        <w:rPr>
          <w:rFonts w:hint="eastAsia" w:ascii="仿宋_GB2312" w:hAnsi="仿宋"/>
          <w:b/>
          <w:bCs/>
          <w:szCs w:val="32"/>
          <w:lang w:val="en-US" w:eastAsia="zh-CN"/>
        </w:rPr>
        <w:t>1</w:t>
      </w:r>
      <w:r>
        <w:rPr>
          <w:rFonts w:hint="eastAsia" w:ascii="仿宋_GB2312" w:hAnsi="仿宋"/>
          <w:b/>
          <w:bCs/>
          <w:szCs w:val="32"/>
        </w:rPr>
        <w:t>）</w:t>
      </w:r>
      <w:r>
        <w:rPr>
          <w:rFonts w:hint="eastAsia" w:ascii="仿宋_GB2312" w:hAnsi="仿宋"/>
          <w:b/>
          <w:szCs w:val="32"/>
        </w:rPr>
        <w:t>卫生健康支出（类）行政事业单位医疗（款）公务员医疗补助（项）。</w:t>
      </w:r>
      <w:r>
        <w:rPr>
          <w:rFonts w:hint="eastAsia" w:ascii="仿宋_GB2312" w:hAnsi="仿宋"/>
          <w:szCs w:val="32"/>
        </w:rPr>
        <w:t>年初预算为</w:t>
      </w:r>
      <w:r>
        <w:rPr>
          <w:rFonts w:hint="eastAsia" w:ascii="仿宋_GB2312" w:hAnsi="仿宋"/>
          <w:szCs w:val="32"/>
          <w:lang w:val="en-US" w:eastAsia="zh-CN"/>
        </w:rPr>
        <w:t>4.01</w:t>
      </w:r>
      <w:r>
        <w:rPr>
          <w:rFonts w:hint="eastAsia" w:ascii="仿宋_GB2312" w:hAnsi="仿宋"/>
          <w:szCs w:val="32"/>
        </w:rPr>
        <w:t>万元，支出决算为</w:t>
      </w:r>
      <w:r>
        <w:rPr>
          <w:rFonts w:hint="eastAsia" w:ascii="仿宋_GB2312" w:hAnsi="仿宋"/>
          <w:szCs w:val="32"/>
          <w:lang w:val="en-US" w:eastAsia="zh-CN"/>
        </w:rPr>
        <w:t>4.01</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cs="Times New Roman"/>
          <w:szCs w:val="32"/>
        </w:rPr>
        <w:t>。</w:t>
      </w:r>
    </w:p>
    <w:p w14:paraId="606CDBEA">
      <w:pPr>
        <w:ind w:firstLine="628" w:firstLineChars="200"/>
        <w:rPr>
          <w:rFonts w:hint="eastAsia" w:ascii="仿宋_GB2312" w:hAnsi="仿宋"/>
          <w:szCs w:val="32"/>
        </w:rPr>
      </w:pPr>
      <w:r>
        <w:rPr>
          <w:rFonts w:hint="eastAsia" w:ascii="仿宋_GB2312" w:hAnsi="仿宋"/>
          <w:b/>
          <w:bCs/>
          <w:szCs w:val="32"/>
        </w:rPr>
        <w:t>（2</w:t>
      </w:r>
      <w:r>
        <w:rPr>
          <w:rFonts w:hint="eastAsia" w:ascii="仿宋_GB2312" w:hAnsi="仿宋"/>
          <w:b/>
          <w:bCs/>
          <w:szCs w:val="32"/>
          <w:lang w:val="en-US" w:eastAsia="zh-CN"/>
        </w:rPr>
        <w:t>2</w:t>
      </w:r>
      <w:r>
        <w:rPr>
          <w:rFonts w:hint="eastAsia" w:ascii="仿宋_GB2312" w:hAnsi="仿宋"/>
          <w:b/>
          <w:bCs/>
          <w:szCs w:val="32"/>
        </w:rPr>
        <w:t>）</w:t>
      </w:r>
      <w:r>
        <w:rPr>
          <w:rFonts w:hint="eastAsia" w:ascii="仿宋_GB2312" w:hAnsi="仿宋"/>
          <w:b/>
          <w:szCs w:val="32"/>
        </w:rPr>
        <w:t>城乡社区支出（类）城乡社区</w:t>
      </w:r>
      <w:r>
        <w:rPr>
          <w:rFonts w:hint="eastAsia" w:ascii="仿宋_GB2312" w:hAnsi="仿宋"/>
          <w:b/>
          <w:szCs w:val="32"/>
          <w:lang w:eastAsia="zh-CN"/>
        </w:rPr>
        <w:t>管理事务</w:t>
      </w:r>
      <w:r>
        <w:rPr>
          <w:rFonts w:hint="eastAsia" w:ascii="仿宋_GB2312" w:hAnsi="仿宋"/>
          <w:b/>
          <w:szCs w:val="32"/>
        </w:rPr>
        <w:t>（款）</w:t>
      </w:r>
      <w:r>
        <w:rPr>
          <w:rFonts w:hint="eastAsia" w:ascii="仿宋_GB2312" w:hAnsi="仿宋"/>
          <w:b/>
          <w:szCs w:val="32"/>
          <w:lang w:eastAsia="zh-CN"/>
        </w:rPr>
        <w:t>行政运行</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10.08</w:t>
      </w:r>
      <w:r>
        <w:rPr>
          <w:rFonts w:hint="eastAsia" w:ascii="仿宋_GB2312" w:hAnsi="仿宋"/>
          <w:szCs w:val="32"/>
        </w:rPr>
        <w:t>万元，决算数大于预算数的主要原因是</w:t>
      </w:r>
      <w:r>
        <w:rPr>
          <w:rFonts w:hint="eastAsia" w:ascii="仿宋_GB2312" w:hAnsi="仿宋"/>
          <w:szCs w:val="32"/>
          <w:lang w:eastAsia="zh-CN"/>
        </w:rPr>
        <w:t>发放一次性工作奖励金</w:t>
      </w:r>
      <w:r>
        <w:rPr>
          <w:rFonts w:hint="eastAsia" w:ascii="仿宋_GB2312" w:hAnsi="仿宋"/>
          <w:szCs w:val="32"/>
        </w:rPr>
        <w:t>。</w:t>
      </w:r>
    </w:p>
    <w:p w14:paraId="56E59C9B">
      <w:pPr>
        <w:ind w:firstLine="628" w:firstLineChars="200"/>
        <w:rPr>
          <w:rFonts w:hint="eastAsia" w:ascii="仿宋_GB2312" w:hAnsi="仿宋"/>
          <w:szCs w:val="32"/>
        </w:rPr>
      </w:pPr>
      <w:r>
        <w:rPr>
          <w:rFonts w:hint="eastAsia" w:ascii="仿宋_GB2312" w:hAnsi="仿宋"/>
          <w:b/>
          <w:bCs/>
          <w:szCs w:val="32"/>
        </w:rPr>
        <w:t>（2</w:t>
      </w:r>
      <w:r>
        <w:rPr>
          <w:rFonts w:hint="eastAsia" w:ascii="仿宋_GB2312" w:hAnsi="仿宋"/>
          <w:b/>
          <w:bCs/>
          <w:szCs w:val="32"/>
          <w:lang w:val="en-US" w:eastAsia="zh-CN"/>
        </w:rPr>
        <w:t>3</w:t>
      </w:r>
      <w:r>
        <w:rPr>
          <w:rFonts w:hint="eastAsia" w:ascii="仿宋_GB2312" w:hAnsi="仿宋"/>
          <w:b/>
          <w:bCs/>
          <w:szCs w:val="32"/>
        </w:rPr>
        <w:t>）</w:t>
      </w:r>
      <w:r>
        <w:rPr>
          <w:rFonts w:hint="eastAsia" w:ascii="仿宋_GB2312" w:hAnsi="仿宋"/>
          <w:b/>
          <w:szCs w:val="32"/>
        </w:rPr>
        <w:t>城乡社区支出（类）城乡社区</w:t>
      </w:r>
      <w:r>
        <w:rPr>
          <w:rFonts w:hint="eastAsia" w:ascii="仿宋_GB2312" w:hAnsi="仿宋"/>
          <w:b/>
          <w:szCs w:val="32"/>
          <w:lang w:eastAsia="zh-CN"/>
        </w:rPr>
        <w:t>规划与管理</w:t>
      </w:r>
      <w:r>
        <w:rPr>
          <w:rFonts w:hint="eastAsia" w:ascii="仿宋_GB2312" w:hAnsi="仿宋"/>
          <w:b/>
          <w:szCs w:val="32"/>
        </w:rPr>
        <w:t>（款）城乡社区</w:t>
      </w:r>
      <w:r>
        <w:rPr>
          <w:rFonts w:hint="eastAsia" w:ascii="仿宋_GB2312" w:hAnsi="仿宋"/>
          <w:b/>
          <w:szCs w:val="32"/>
          <w:lang w:eastAsia="zh-CN"/>
        </w:rPr>
        <w:t>规划与管理</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43.6</w:t>
      </w:r>
      <w:r>
        <w:rPr>
          <w:rFonts w:hint="eastAsia" w:ascii="仿宋_GB2312" w:hAnsi="仿宋"/>
          <w:szCs w:val="32"/>
        </w:rPr>
        <w:t>万元，决算数大于预算数的主要原因是</w:t>
      </w:r>
      <w:r>
        <w:rPr>
          <w:rFonts w:hint="eastAsia" w:ascii="仿宋_GB2312" w:hAnsi="仿宋"/>
          <w:szCs w:val="32"/>
          <w:lang w:eastAsia="zh-CN"/>
        </w:rPr>
        <w:t>新增社区覆盖小微权力一体化项目</w:t>
      </w:r>
      <w:r>
        <w:rPr>
          <w:rFonts w:hint="eastAsia" w:ascii="仿宋_GB2312" w:hAnsi="仿宋"/>
          <w:szCs w:val="32"/>
        </w:rPr>
        <w:t>。</w:t>
      </w:r>
    </w:p>
    <w:p w14:paraId="67C964C8">
      <w:pPr>
        <w:ind w:firstLine="628" w:firstLineChars="200"/>
        <w:rPr>
          <w:rFonts w:hint="eastAsia" w:ascii="仿宋_GB2312" w:hAnsi="仿宋"/>
          <w:szCs w:val="32"/>
        </w:rPr>
      </w:pPr>
      <w:r>
        <w:rPr>
          <w:rFonts w:hint="eastAsia" w:ascii="仿宋_GB2312" w:hAnsi="仿宋"/>
          <w:b/>
          <w:bCs/>
          <w:szCs w:val="32"/>
        </w:rPr>
        <w:t>（2</w:t>
      </w:r>
      <w:r>
        <w:rPr>
          <w:rFonts w:hint="eastAsia" w:ascii="仿宋_GB2312" w:hAnsi="仿宋"/>
          <w:b/>
          <w:bCs/>
          <w:szCs w:val="32"/>
          <w:lang w:val="en-US" w:eastAsia="zh-CN"/>
        </w:rPr>
        <w:t>4</w:t>
      </w:r>
      <w:r>
        <w:rPr>
          <w:rFonts w:hint="eastAsia" w:ascii="仿宋_GB2312" w:hAnsi="仿宋"/>
          <w:b/>
          <w:bCs/>
          <w:szCs w:val="32"/>
        </w:rPr>
        <w:t>）</w:t>
      </w:r>
      <w:r>
        <w:rPr>
          <w:rFonts w:hint="eastAsia" w:ascii="仿宋_GB2312" w:hAnsi="仿宋"/>
          <w:b/>
          <w:szCs w:val="32"/>
          <w:lang w:eastAsia="zh-CN"/>
        </w:rPr>
        <w:t>农林水</w:t>
      </w:r>
      <w:r>
        <w:rPr>
          <w:rFonts w:hint="eastAsia" w:ascii="仿宋_GB2312" w:hAnsi="仿宋"/>
          <w:b/>
          <w:szCs w:val="32"/>
        </w:rPr>
        <w:t>支出（类）</w:t>
      </w:r>
      <w:r>
        <w:rPr>
          <w:rFonts w:hint="eastAsia" w:ascii="仿宋_GB2312" w:hAnsi="仿宋"/>
          <w:b/>
          <w:szCs w:val="32"/>
          <w:lang w:eastAsia="zh-CN"/>
        </w:rPr>
        <w:t>巩固脱贫衔接乡村振兴</w:t>
      </w:r>
      <w:r>
        <w:rPr>
          <w:rFonts w:hint="eastAsia" w:ascii="仿宋_GB2312" w:hAnsi="仿宋"/>
          <w:b/>
          <w:szCs w:val="32"/>
        </w:rPr>
        <w:t>（款）</w:t>
      </w:r>
      <w:r>
        <w:rPr>
          <w:rFonts w:hint="eastAsia" w:ascii="仿宋_GB2312" w:hAnsi="仿宋"/>
          <w:b/>
          <w:szCs w:val="32"/>
          <w:lang w:eastAsia="zh-CN"/>
        </w:rPr>
        <w:t>其他巩固脱贫衔接乡村振兴</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1.98</w:t>
      </w:r>
      <w:r>
        <w:rPr>
          <w:rFonts w:hint="eastAsia" w:ascii="仿宋_GB2312" w:hAnsi="仿宋"/>
          <w:szCs w:val="32"/>
        </w:rPr>
        <w:t>万元，决算数大于预算数的主要原因是</w:t>
      </w:r>
      <w:r>
        <w:rPr>
          <w:rFonts w:hint="eastAsia" w:ascii="仿宋_GB2312" w:hAnsi="仿宋"/>
          <w:szCs w:val="32"/>
          <w:lang w:eastAsia="zh-CN"/>
        </w:rPr>
        <w:t>我单位一名乡村振兴下派干部补助</w:t>
      </w:r>
      <w:r>
        <w:rPr>
          <w:rFonts w:hint="eastAsia" w:ascii="仿宋_GB2312" w:hAnsi="仿宋"/>
          <w:szCs w:val="32"/>
        </w:rPr>
        <w:t>。</w:t>
      </w:r>
    </w:p>
    <w:p w14:paraId="139903A5">
      <w:pPr>
        <w:ind w:firstLine="628" w:firstLineChars="200"/>
        <w:rPr>
          <w:rFonts w:hint="eastAsia" w:ascii="仿宋_GB2312" w:hAnsi="仿宋"/>
          <w:color w:val="auto"/>
          <w:szCs w:val="32"/>
        </w:rPr>
      </w:pPr>
      <w:r>
        <w:rPr>
          <w:rFonts w:hint="eastAsia" w:ascii="仿宋_GB2312" w:hAnsi="仿宋"/>
          <w:b/>
          <w:bCs/>
          <w:szCs w:val="32"/>
        </w:rPr>
        <w:t>（2</w:t>
      </w:r>
      <w:r>
        <w:rPr>
          <w:rFonts w:hint="eastAsia" w:ascii="仿宋_GB2312" w:hAnsi="仿宋"/>
          <w:b/>
          <w:bCs/>
          <w:szCs w:val="32"/>
          <w:lang w:val="en-US" w:eastAsia="zh-CN"/>
        </w:rPr>
        <w:t>5</w:t>
      </w:r>
      <w:r>
        <w:rPr>
          <w:rFonts w:hint="eastAsia" w:ascii="仿宋_GB2312" w:hAnsi="仿宋"/>
          <w:b/>
          <w:bCs/>
          <w:szCs w:val="32"/>
        </w:rPr>
        <w:t>）</w:t>
      </w:r>
      <w:r>
        <w:rPr>
          <w:rFonts w:hint="eastAsia" w:ascii="仿宋_GB2312" w:hAnsi="仿宋"/>
          <w:b/>
          <w:szCs w:val="32"/>
        </w:rPr>
        <w:t>住房保障支出（类）住房改革支出（款）住房公积金（项）。</w:t>
      </w:r>
      <w:r>
        <w:rPr>
          <w:rFonts w:hint="eastAsia" w:ascii="仿宋_GB2312" w:hAnsi="仿宋"/>
          <w:szCs w:val="32"/>
        </w:rPr>
        <w:t>年初预算为</w:t>
      </w:r>
      <w:r>
        <w:rPr>
          <w:rFonts w:hint="eastAsia" w:ascii="仿宋_GB2312" w:hAnsi="仿宋"/>
          <w:szCs w:val="32"/>
          <w:lang w:val="en-US" w:eastAsia="zh-CN"/>
        </w:rPr>
        <w:t>24.95</w:t>
      </w:r>
      <w:r>
        <w:rPr>
          <w:rFonts w:hint="eastAsia" w:ascii="仿宋_GB2312" w:hAnsi="仿宋"/>
          <w:szCs w:val="32"/>
        </w:rPr>
        <w:t>万元，支出决算为</w:t>
      </w:r>
      <w:r>
        <w:rPr>
          <w:rFonts w:hint="eastAsia" w:ascii="仿宋_GB2312" w:hAnsi="仿宋"/>
          <w:szCs w:val="32"/>
          <w:lang w:val="en-US" w:eastAsia="zh-CN"/>
        </w:rPr>
        <w:t>40.06</w:t>
      </w:r>
      <w:r>
        <w:rPr>
          <w:rFonts w:hint="eastAsia" w:ascii="仿宋_GB2312" w:hAnsi="仿宋"/>
          <w:szCs w:val="32"/>
        </w:rPr>
        <w:t>万元，完成年初预算的</w:t>
      </w:r>
      <w:r>
        <w:rPr>
          <w:rFonts w:hint="eastAsia" w:ascii="仿宋_GB2312" w:hAnsi="仿宋"/>
          <w:szCs w:val="32"/>
          <w:lang w:val="en-US" w:eastAsia="zh-CN"/>
        </w:rPr>
        <w:t>160.56</w:t>
      </w:r>
      <w:r>
        <w:rPr>
          <w:rFonts w:hint="eastAsia" w:ascii="仿宋_GB2312" w:hAnsi="仿宋"/>
          <w:szCs w:val="32"/>
        </w:rPr>
        <w:t>%，决算数大于预算数的主要</w:t>
      </w:r>
      <w:r>
        <w:rPr>
          <w:rFonts w:hint="eastAsia" w:ascii="仿宋_GB2312" w:hAnsi="仿宋"/>
          <w:color w:val="auto"/>
          <w:szCs w:val="32"/>
        </w:rPr>
        <w:t>原因是</w:t>
      </w:r>
      <w:r>
        <w:rPr>
          <w:rFonts w:hint="eastAsia" w:ascii="仿宋_GB2312" w:hAnsi="仿宋"/>
          <w:color w:val="auto"/>
          <w:szCs w:val="32"/>
          <w:lang w:eastAsia="zh-CN"/>
        </w:rPr>
        <w:t>住房公积金调整基数及人员调整</w:t>
      </w:r>
      <w:r>
        <w:rPr>
          <w:rFonts w:hint="eastAsia" w:ascii="仿宋_GB2312" w:hAnsi="仿宋"/>
          <w:color w:val="auto"/>
          <w:szCs w:val="32"/>
        </w:rPr>
        <w:t>。</w:t>
      </w:r>
    </w:p>
    <w:p w14:paraId="5B88ECC6">
      <w:pPr>
        <w:ind w:firstLine="628" w:firstLineChars="200"/>
        <w:rPr>
          <w:rFonts w:hint="eastAsia" w:ascii="仿宋_GB2312" w:hAnsi="仿宋"/>
          <w:color w:val="auto"/>
          <w:szCs w:val="32"/>
        </w:rPr>
      </w:pPr>
      <w:r>
        <w:rPr>
          <w:rFonts w:hint="eastAsia" w:ascii="仿宋_GB2312" w:hAnsi="仿宋"/>
          <w:b/>
          <w:bCs/>
          <w:szCs w:val="32"/>
        </w:rPr>
        <w:t>（2</w:t>
      </w:r>
      <w:r>
        <w:rPr>
          <w:rFonts w:hint="eastAsia" w:ascii="仿宋_GB2312" w:hAnsi="仿宋"/>
          <w:b/>
          <w:bCs/>
          <w:szCs w:val="32"/>
          <w:lang w:val="en-US" w:eastAsia="zh-CN"/>
        </w:rPr>
        <w:t>6</w:t>
      </w:r>
      <w:r>
        <w:rPr>
          <w:rFonts w:hint="eastAsia" w:ascii="仿宋_GB2312" w:hAnsi="仿宋"/>
          <w:b/>
          <w:bCs/>
          <w:szCs w:val="32"/>
        </w:rPr>
        <w:t>）</w:t>
      </w:r>
      <w:r>
        <w:rPr>
          <w:rFonts w:hint="eastAsia" w:ascii="仿宋_GB2312" w:hAnsi="仿宋"/>
          <w:b/>
          <w:szCs w:val="32"/>
        </w:rPr>
        <w:t>住房保障支出（类）住房改革支出（款）</w:t>
      </w:r>
      <w:r>
        <w:rPr>
          <w:rFonts w:hint="eastAsia" w:ascii="仿宋_GB2312" w:hAnsi="仿宋"/>
          <w:b/>
          <w:szCs w:val="32"/>
          <w:lang w:eastAsia="zh-CN"/>
        </w:rPr>
        <w:t>提租补贴</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10.4</w:t>
      </w:r>
      <w:r>
        <w:rPr>
          <w:rFonts w:hint="eastAsia" w:ascii="仿宋_GB2312" w:hAnsi="仿宋"/>
          <w:szCs w:val="32"/>
        </w:rPr>
        <w:t>万元，支出决算为</w:t>
      </w:r>
      <w:r>
        <w:rPr>
          <w:rFonts w:hint="eastAsia" w:ascii="仿宋_GB2312" w:hAnsi="仿宋"/>
          <w:szCs w:val="32"/>
          <w:lang w:val="en-US" w:eastAsia="zh-CN"/>
        </w:rPr>
        <w:t>9.04</w:t>
      </w:r>
      <w:r>
        <w:rPr>
          <w:rFonts w:hint="eastAsia" w:ascii="仿宋_GB2312" w:hAnsi="仿宋"/>
          <w:szCs w:val="32"/>
        </w:rPr>
        <w:t>万元，完成年初预算的</w:t>
      </w:r>
      <w:r>
        <w:rPr>
          <w:rFonts w:hint="eastAsia" w:ascii="仿宋_GB2312" w:hAnsi="仿宋"/>
          <w:szCs w:val="32"/>
          <w:lang w:val="en-US" w:eastAsia="zh-CN"/>
        </w:rPr>
        <w:t>86.92</w:t>
      </w:r>
      <w:r>
        <w:rPr>
          <w:rFonts w:hint="eastAsia" w:ascii="仿宋_GB2312" w:hAnsi="仿宋"/>
          <w:szCs w:val="32"/>
        </w:rPr>
        <w:t>%，决算数大于预算数的主要</w:t>
      </w:r>
      <w:r>
        <w:rPr>
          <w:rFonts w:hint="eastAsia" w:ascii="仿宋_GB2312" w:hAnsi="仿宋"/>
          <w:color w:val="auto"/>
          <w:szCs w:val="32"/>
        </w:rPr>
        <w:t>原因是</w:t>
      </w:r>
      <w:r>
        <w:rPr>
          <w:rFonts w:hint="eastAsia" w:ascii="仿宋_GB2312" w:hAnsi="仿宋"/>
          <w:color w:val="auto"/>
          <w:szCs w:val="32"/>
          <w:lang w:eastAsia="zh-CN"/>
        </w:rPr>
        <w:t>住房公积金调整基数及人员调整</w:t>
      </w:r>
      <w:r>
        <w:rPr>
          <w:rFonts w:hint="eastAsia" w:ascii="仿宋_GB2312" w:hAnsi="仿宋"/>
          <w:color w:val="auto"/>
          <w:szCs w:val="32"/>
        </w:rPr>
        <w:t>。</w:t>
      </w:r>
    </w:p>
    <w:p w14:paraId="2614FFD4">
      <w:pPr>
        <w:ind w:firstLine="628" w:firstLineChars="200"/>
        <w:rPr>
          <w:rFonts w:hint="eastAsia" w:ascii="黑体" w:hAnsi="仿宋" w:eastAsia="黑体"/>
          <w:szCs w:val="32"/>
        </w:rPr>
      </w:pPr>
      <w:r>
        <w:rPr>
          <w:rFonts w:hint="eastAsia" w:ascii="黑体" w:hAnsi="仿宋" w:eastAsia="黑体"/>
          <w:szCs w:val="32"/>
        </w:rPr>
        <w:t>（六）一般公共预算财政拨款基本支出决算情况说明</w:t>
      </w:r>
    </w:p>
    <w:p w14:paraId="47EDEF55">
      <w:pPr>
        <w:ind w:firstLine="628" w:firstLineChars="200"/>
        <w:rPr>
          <w:rFonts w:hint="eastAsia" w:ascii="仿宋_GB2312" w:hAnsi="仿宋" w:cs="Times New Roman"/>
          <w:color w:val="0000FF"/>
          <w:szCs w:val="32"/>
          <w:lang w:eastAsia="zh-CN"/>
        </w:rPr>
      </w:pPr>
      <w:r>
        <w:rPr>
          <w:rFonts w:hint="eastAsia" w:ascii="仿宋_GB2312" w:hAnsi="仿宋"/>
          <w:szCs w:val="32"/>
          <w:lang w:eastAsia="zh-CN"/>
        </w:rPr>
        <w:t>2022</w:t>
      </w:r>
      <w:r>
        <w:rPr>
          <w:rFonts w:hint="eastAsia" w:ascii="仿宋_GB2312" w:hAnsi="仿宋"/>
          <w:szCs w:val="32"/>
        </w:rPr>
        <w:t>年度财政拨款基本支出</w:t>
      </w:r>
      <w:r>
        <w:rPr>
          <w:rFonts w:hint="eastAsia" w:ascii="仿宋_GB2312" w:hAnsi="仿宋"/>
          <w:szCs w:val="32"/>
          <w:lang w:val="en-US" w:eastAsia="zh-CN"/>
        </w:rPr>
        <w:t>427.24</w:t>
      </w:r>
      <w:r>
        <w:rPr>
          <w:rFonts w:hint="eastAsia" w:ascii="仿宋_GB2312" w:hAnsi="仿宋"/>
          <w:szCs w:val="32"/>
        </w:rPr>
        <w:t>万元，其中：人员经费</w:t>
      </w:r>
      <w:r>
        <w:rPr>
          <w:rFonts w:hint="eastAsia" w:ascii="仿宋_GB2312" w:hAnsi="仿宋"/>
          <w:szCs w:val="32"/>
          <w:lang w:val="en-US" w:eastAsia="zh-CN"/>
        </w:rPr>
        <w:t>357.8</w:t>
      </w:r>
      <w:r>
        <w:rPr>
          <w:rFonts w:hint="eastAsia" w:ascii="仿宋_GB2312" w:hAnsi="仿宋"/>
          <w:szCs w:val="32"/>
        </w:rPr>
        <w:t>万元，主要包括:基本工资、津贴补贴、奖金、绩效工资、机关事业单位基本养老保险费、职业年金缴费、职工基本医疗保险缴费、公务员医疗补助缴费、其他社会保障缴费、住房公积金、医疗费、其他工资福利支出、对其他个人和家庭的补助</w:t>
      </w:r>
      <w:r>
        <w:rPr>
          <w:rFonts w:hint="eastAsia" w:ascii="仿宋_GB2312" w:hAnsi="仿宋"/>
          <w:szCs w:val="32"/>
          <w:lang w:eastAsia="zh-CN"/>
        </w:rPr>
        <w:t>、生活补助</w:t>
      </w:r>
      <w:r>
        <w:rPr>
          <w:rFonts w:hint="eastAsia" w:ascii="仿宋_GB2312" w:hAnsi="仿宋"/>
          <w:szCs w:val="32"/>
        </w:rPr>
        <w:t>；公用经费</w:t>
      </w:r>
      <w:r>
        <w:rPr>
          <w:rFonts w:hint="eastAsia" w:ascii="仿宋_GB2312" w:hAnsi="仿宋"/>
          <w:szCs w:val="32"/>
          <w:lang w:val="en-US" w:eastAsia="zh-CN"/>
        </w:rPr>
        <w:t>69.44</w:t>
      </w:r>
      <w:r>
        <w:rPr>
          <w:rFonts w:hint="eastAsia" w:ascii="仿宋_GB2312" w:hAnsi="仿宋"/>
          <w:szCs w:val="32"/>
        </w:rPr>
        <w:t>万元，主要包括：办公费、印刷费、邮电费、差旅费、公务接待费、劳务费、委托业务费、工会经费、其他交通费用、其他商品服务支出、 办公设备购置、信息网络及软件购置更新。</w:t>
      </w:r>
    </w:p>
    <w:p w14:paraId="7E44D2EA">
      <w:pPr>
        <w:ind w:firstLine="628" w:firstLineChars="200"/>
        <w:rPr>
          <w:rFonts w:hint="eastAsia" w:ascii="黑体" w:hAnsi="黑体" w:eastAsia="黑体"/>
          <w:szCs w:val="32"/>
        </w:rPr>
      </w:pPr>
      <w:r>
        <w:rPr>
          <w:rFonts w:hint="eastAsia" w:ascii="黑体" w:hAnsi="仿宋" w:eastAsia="黑体"/>
          <w:szCs w:val="32"/>
        </w:rPr>
        <w:t>（七）</w:t>
      </w:r>
      <w:r>
        <w:rPr>
          <w:rFonts w:hint="eastAsia" w:ascii="黑体" w:hAnsi="黑体" w:eastAsia="黑体"/>
          <w:szCs w:val="32"/>
        </w:rPr>
        <w:t>政府性基金财政拨款收入支出决算情况说明</w:t>
      </w:r>
    </w:p>
    <w:p w14:paraId="08F9E39B">
      <w:pPr>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年度政府性基金预算财政拨款年初结转和结余</w:t>
      </w:r>
      <w:r>
        <w:rPr>
          <w:rFonts w:hint="eastAsia" w:ascii="仿宋_GB2312" w:hAnsi="仿宋"/>
          <w:szCs w:val="32"/>
          <w:lang w:val="en-US" w:eastAsia="zh-CN"/>
        </w:rPr>
        <w:t>351.16</w:t>
      </w:r>
      <w:r>
        <w:rPr>
          <w:rFonts w:hint="eastAsia" w:ascii="仿宋_GB2312" w:hAnsi="仿宋"/>
          <w:szCs w:val="32"/>
        </w:rPr>
        <w:t>万元，本年收入</w:t>
      </w:r>
      <w:r>
        <w:rPr>
          <w:rFonts w:hint="eastAsia" w:ascii="仿宋_GB2312" w:hAnsi="仿宋"/>
          <w:szCs w:val="32"/>
          <w:lang w:val="en-US" w:eastAsia="zh-CN"/>
        </w:rPr>
        <w:t>351.16</w:t>
      </w:r>
      <w:r>
        <w:rPr>
          <w:rFonts w:hint="eastAsia" w:ascii="仿宋_GB2312" w:hAnsi="仿宋"/>
          <w:szCs w:val="32"/>
        </w:rPr>
        <w:t>万元，本年支出</w:t>
      </w:r>
      <w:r>
        <w:rPr>
          <w:rFonts w:hint="eastAsia" w:ascii="仿宋_GB2312" w:hAnsi="仿宋"/>
          <w:szCs w:val="32"/>
          <w:lang w:val="en-US" w:eastAsia="zh-CN"/>
        </w:rPr>
        <w:t>351.16</w:t>
      </w:r>
      <w:r>
        <w:rPr>
          <w:rFonts w:hint="eastAsia" w:ascii="仿宋_GB2312" w:hAnsi="仿宋"/>
          <w:szCs w:val="32"/>
        </w:rPr>
        <w:t>万元，年末结转和结余</w:t>
      </w:r>
      <w:r>
        <w:rPr>
          <w:rFonts w:hint="eastAsia" w:ascii="仿宋_GB2312" w:hAnsi="仿宋"/>
          <w:szCs w:val="32"/>
          <w:lang w:val="en-US" w:eastAsia="zh-CN"/>
        </w:rPr>
        <w:t>0</w:t>
      </w:r>
      <w:r>
        <w:rPr>
          <w:rFonts w:hint="eastAsia" w:ascii="仿宋_GB2312" w:hAnsi="仿宋"/>
          <w:szCs w:val="32"/>
        </w:rPr>
        <w:t>万元。具体情况说明如下：</w:t>
      </w:r>
    </w:p>
    <w:p w14:paraId="702B1AE2">
      <w:pPr>
        <w:ind w:firstLine="628" w:firstLineChars="200"/>
        <w:rPr>
          <w:rFonts w:ascii="仿宋" w:hAnsi="仿宋" w:eastAsia="仿宋" w:cs="宋体"/>
          <w:kern w:val="0"/>
          <w:szCs w:val="32"/>
        </w:rPr>
      </w:pPr>
      <w:r>
        <w:rPr>
          <w:rFonts w:hint="eastAsia" w:ascii="仿宋_GB2312" w:hAnsi="仿宋"/>
          <w:b/>
          <w:bCs/>
          <w:szCs w:val="32"/>
        </w:rPr>
        <w:t>1.</w:t>
      </w:r>
      <w:r>
        <w:rPr>
          <w:rFonts w:hint="eastAsia" w:ascii="仿宋_GB2312" w:hAnsi="仿宋"/>
          <w:b/>
          <w:szCs w:val="32"/>
        </w:rPr>
        <w:t>其他支出（类）彩票公益金安排的支出（款）用于社会福利的彩票公益金支出（项）。</w:t>
      </w:r>
      <w:r>
        <w:rPr>
          <w:rFonts w:hint="eastAsia" w:ascii="仿宋_GB2312" w:hAnsi="仿宋"/>
          <w:szCs w:val="32"/>
        </w:rPr>
        <w:t>年初预算为0万元，支出决算为296.94万元，决算数大于预算数的主要原因是</w:t>
      </w:r>
      <w:r>
        <w:rPr>
          <w:rFonts w:hint="eastAsia" w:ascii="仿宋" w:hAnsi="仿宋" w:eastAsia="仿宋" w:cs="宋体"/>
          <w:kern w:val="0"/>
          <w:szCs w:val="32"/>
        </w:rPr>
        <w:t>年初预算中不含中央</w:t>
      </w:r>
      <w:r>
        <w:rPr>
          <w:rFonts w:hint="eastAsia" w:ascii="仿宋" w:hAnsi="仿宋" w:eastAsia="仿宋" w:cs="宋体"/>
          <w:kern w:val="0"/>
          <w:szCs w:val="32"/>
          <w:lang w:eastAsia="zh-CN"/>
        </w:rPr>
        <w:t>、</w:t>
      </w:r>
      <w:r>
        <w:rPr>
          <w:rFonts w:hint="eastAsia" w:ascii="仿宋" w:hAnsi="仿宋" w:eastAsia="仿宋" w:cs="宋体"/>
          <w:kern w:val="0"/>
          <w:szCs w:val="32"/>
        </w:rPr>
        <w:t>省</w:t>
      </w:r>
      <w:r>
        <w:rPr>
          <w:rFonts w:hint="eastAsia" w:ascii="仿宋" w:hAnsi="仿宋" w:eastAsia="仿宋" w:cs="宋体"/>
          <w:kern w:val="0"/>
          <w:szCs w:val="32"/>
          <w:lang w:eastAsia="zh-CN"/>
        </w:rPr>
        <w:t>、</w:t>
      </w:r>
      <w:r>
        <w:rPr>
          <w:rFonts w:hint="eastAsia" w:ascii="仿宋" w:hAnsi="仿宋" w:eastAsia="仿宋" w:cs="宋体"/>
          <w:kern w:val="0"/>
          <w:szCs w:val="32"/>
        </w:rPr>
        <w:t>市上级拨付养老服务中心建设、残疾人福利、五保供养照料护理补贴、孤儿生活补助等</w:t>
      </w:r>
      <w:r>
        <w:rPr>
          <w:rFonts w:hint="eastAsia" w:ascii="仿宋" w:hAnsi="仿宋" w:eastAsia="仿宋" w:cs="宋体"/>
          <w:kern w:val="0"/>
          <w:szCs w:val="32"/>
          <w:lang w:eastAsia="zh-CN"/>
        </w:rPr>
        <w:t>彩票公益</w:t>
      </w:r>
      <w:r>
        <w:rPr>
          <w:rFonts w:hint="eastAsia" w:ascii="仿宋" w:hAnsi="仿宋" w:eastAsia="仿宋" w:cs="宋体"/>
          <w:kern w:val="0"/>
          <w:szCs w:val="32"/>
        </w:rPr>
        <w:t>金。</w:t>
      </w:r>
    </w:p>
    <w:p w14:paraId="1C8DEE13">
      <w:pPr>
        <w:ind w:firstLine="628" w:firstLineChars="200"/>
        <w:rPr>
          <w:rFonts w:hint="eastAsia" w:ascii="黑体" w:hAnsi="仿宋" w:eastAsia="黑体"/>
          <w:szCs w:val="32"/>
        </w:rPr>
      </w:pPr>
      <w:r>
        <w:rPr>
          <w:rFonts w:hint="eastAsia" w:ascii="黑体" w:hAnsi="仿宋" w:eastAsia="黑体"/>
          <w:szCs w:val="32"/>
        </w:rPr>
        <w:t>（八）国有资本经营预算财政拨款支出情况说明</w:t>
      </w:r>
    </w:p>
    <w:p w14:paraId="7C937E0C">
      <w:pPr>
        <w:adjustRightInd w:val="0"/>
        <w:snapToGrid w:val="0"/>
        <w:spacing w:line="600" w:lineRule="exact"/>
        <w:ind w:firstLine="628" w:firstLineChars="200"/>
        <w:rPr>
          <w:rFonts w:hint="eastAsia" w:ascii="仿宋_GB2312" w:hAnsi="仿宋" w:eastAsia="仿宋_GB2312"/>
          <w:szCs w:val="32"/>
          <w:lang w:eastAsia="zh-CN"/>
        </w:rPr>
      </w:pPr>
      <w:r>
        <w:rPr>
          <w:rFonts w:hint="eastAsia" w:ascii="仿宋_GB2312" w:hAnsi="仿宋"/>
          <w:szCs w:val="32"/>
          <w:lang w:eastAsia="zh-CN"/>
        </w:rPr>
        <w:t>2022</w:t>
      </w:r>
      <w:r>
        <w:rPr>
          <w:rFonts w:hint="eastAsia" w:ascii="仿宋_GB2312" w:hAnsi="仿宋"/>
          <w:szCs w:val="32"/>
        </w:rPr>
        <w:t>年度</w:t>
      </w:r>
      <w:r>
        <w:rPr>
          <w:rFonts w:hint="eastAsia" w:ascii="仿宋_GB2312" w:hAnsi="仿宋"/>
          <w:szCs w:val="32"/>
          <w:lang w:eastAsia="zh-CN"/>
        </w:rPr>
        <w:t>淮北市相山区民政局没有使用</w:t>
      </w:r>
      <w:r>
        <w:rPr>
          <w:rFonts w:hint="eastAsia" w:ascii="仿宋_GB2312" w:hAnsi="仿宋"/>
          <w:szCs w:val="32"/>
        </w:rPr>
        <w:t>国有资本经营预算财政拨款</w:t>
      </w:r>
      <w:r>
        <w:rPr>
          <w:rFonts w:hint="eastAsia" w:ascii="仿宋_GB2312" w:hAnsi="仿宋"/>
          <w:szCs w:val="32"/>
          <w:lang w:eastAsia="zh-CN"/>
        </w:rPr>
        <w:t>收入，</w:t>
      </w:r>
      <w:r>
        <w:rPr>
          <w:rFonts w:hint="eastAsia" w:ascii="仿宋_GB2312" w:hAnsi="仿宋"/>
          <w:szCs w:val="32"/>
        </w:rPr>
        <w:t>也没有使用国有资本经营预算财政拨款安排的支出</w:t>
      </w:r>
      <w:r>
        <w:rPr>
          <w:rFonts w:hint="eastAsia" w:ascii="仿宋_GB2312" w:hAnsi="仿宋"/>
          <w:szCs w:val="32"/>
          <w:lang w:eastAsia="zh-CN"/>
        </w:rPr>
        <w:t>。</w:t>
      </w:r>
    </w:p>
    <w:p w14:paraId="2853DA1C">
      <w:pPr>
        <w:adjustRightInd w:val="0"/>
        <w:snapToGrid w:val="0"/>
        <w:spacing w:line="600" w:lineRule="exact"/>
        <w:ind w:firstLine="628" w:firstLineChars="200"/>
        <w:rPr>
          <w:rFonts w:hint="eastAsia" w:ascii="黑体" w:hAnsi="黑体" w:eastAsia="黑体"/>
          <w:szCs w:val="32"/>
        </w:rPr>
      </w:pPr>
      <w:r>
        <w:rPr>
          <w:rFonts w:hint="eastAsia" w:ascii="黑体" w:hAnsi="黑体" w:eastAsia="黑体"/>
          <w:szCs w:val="32"/>
        </w:rPr>
        <w:t>（九）其他重要事项情况说明</w:t>
      </w:r>
    </w:p>
    <w:p w14:paraId="68A3CEE0">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1、机关运行经费支出情况。</w:t>
      </w:r>
    </w:p>
    <w:p w14:paraId="09C2CD37">
      <w:pPr>
        <w:adjustRightInd w:val="0"/>
        <w:snapToGrid w:val="0"/>
        <w:spacing w:line="600" w:lineRule="exact"/>
        <w:ind w:firstLine="628" w:firstLineChars="200"/>
        <w:rPr>
          <w:rFonts w:hint="eastAsia" w:ascii="仿宋_GB2312" w:hAnsi="仿宋"/>
          <w:szCs w:val="32"/>
        </w:rPr>
      </w:pPr>
      <w:r>
        <w:rPr>
          <w:rFonts w:hint="eastAsia" w:ascii="仿宋_GB2312" w:hAnsi="仿宋"/>
          <w:szCs w:val="32"/>
          <w:lang w:eastAsia="zh-CN"/>
        </w:rPr>
        <w:t>2022</w:t>
      </w:r>
      <w:r>
        <w:rPr>
          <w:rFonts w:hint="eastAsia" w:ascii="仿宋_GB2312" w:hAnsi="仿宋"/>
          <w:szCs w:val="32"/>
        </w:rPr>
        <w:t>年度，</w:t>
      </w:r>
      <w:r>
        <w:rPr>
          <w:rFonts w:hint="eastAsia" w:ascii="仿宋_GB2312" w:hAnsi="仿宋"/>
          <w:szCs w:val="32"/>
          <w:lang w:eastAsia="zh-CN"/>
        </w:rPr>
        <w:t>淮北市相山区民政</w:t>
      </w:r>
      <w:r>
        <w:rPr>
          <w:rFonts w:hint="eastAsia" w:ascii="仿宋_GB2312" w:hAnsi="仿宋"/>
          <w:szCs w:val="32"/>
        </w:rPr>
        <w:t>局机关运行经费支出</w:t>
      </w:r>
      <w:r>
        <w:rPr>
          <w:rFonts w:hint="eastAsia" w:ascii="仿宋_GB2312" w:hAnsi="仿宋"/>
          <w:szCs w:val="32"/>
          <w:lang w:val="en-US" w:eastAsia="zh-CN"/>
        </w:rPr>
        <w:t>69.44</w:t>
      </w:r>
      <w:r>
        <w:rPr>
          <w:rFonts w:hint="eastAsia" w:ascii="仿宋_GB2312" w:hAnsi="仿宋"/>
          <w:szCs w:val="32"/>
        </w:rPr>
        <w:t>万元，比</w:t>
      </w:r>
      <w:r>
        <w:rPr>
          <w:rFonts w:hint="eastAsia" w:ascii="仿宋_GB2312" w:hAnsi="仿宋"/>
          <w:szCs w:val="32"/>
          <w:lang w:eastAsia="zh-CN"/>
        </w:rPr>
        <w:t>2021</w:t>
      </w:r>
      <w:r>
        <w:rPr>
          <w:rFonts w:hint="eastAsia" w:ascii="仿宋_GB2312" w:hAnsi="仿宋"/>
          <w:szCs w:val="32"/>
        </w:rPr>
        <w:t>年减少</w:t>
      </w:r>
      <w:r>
        <w:rPr>
          <w:rFonts w:hint="eastAsia" w:ascii="仿宋_GB2312" w:hAnsi="仿宋"/>
          <w:szCs w:val="32"/>
          <w:lang w:val="en-US" w:eastAsia="zh-CN"/>
        </w:rPr>
        <w:t>17.4</w:t>
      </w:r>
      <w:r>
        <w:rPr>
          <w:rFonts w:hint="eastAsia" w:ascii="仿宋_GB2312" w:hAnsi="仿宋"/>
          <w:szCs w:val="32"/>
        </w:rPr>
        <w:t>万元下降</w:t>
      </w:r>
      <w:r>
        <w:rPr>
          <w:rFonts w:hint="eastAsia" w:ascii="仿宋_GB2312" w:hAnsi="仿宋"/>
          <w:szCs w:val="32"/>
          <w:lang w:val="en-US" w:eastAsia="zh-CN"/>
        </w:rPr>
        <w:t>20</w:t>
      </w:r>
      <w:r>
        <w:rPr>
          <w:rFonts w:hint="eastAsia" w:ascii="仿宋_GB2312" w:hAnsi="仿宋"/>
          <w:szCs w:val="32"/>
        </w:rPr>
        <w:t>%，主要原因是</w:t>
      </w:r>
      <w:r>
        <w:rPr>
          <w:rFonts w:hint="eastAsia" w:ascii="仿宋_GB2312" w:hAnsi="仿宋"/>
          <w:szCs w:val="32"/>
          <w:lang w:eastAsia="zh-CN"/>
        </w:rPr>
        <w:t>工作人员调离其他单位</w:t>
      </w:r>
      <w:r>
        <w:rPr>
          <w:rFonts w:hint="eastAsia" w:ascii="仿宋_GB2312" w:hAnsi="仿宋"/>
          <w:szCs w:val="32"/>
        </w:rPr>
        <w:t>。</w:t>
      </w:r>
    </w:p>
    <w:p w14:paraId="6E2BC3A5">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2、政府采购支出情况。</w:t>
      </w:r>
    </w:p>
    <w:p w14:paraId="49A9593B">
      <w:pPr>
        <w:adjustRightInd w:val="0"/>
        <w:snapToGrid w:val="0"/>
        <w:spacing w:line="600" w:lineRule="exact"/>
        <w:ind w:firstLine="628" w:firstLineChars="200"/>
        <w:rPr>
          <w:rFonts w:hint="eastAsia" w:ascii="仿宋_GB2312" w:hAnsi="仿宋" w:eastAsia="仿宋_GB2312"/>
          <w:color w:val="0000FF"/>
          <w:szCs w:val="32"/>
          <w:lang w:eastAsia="zh-CN"/>
        </w:rPr>
      </w:pPr>
      <w:r>
        <w:rPr>
          <w:rFonts w:hint="eastAsia" w:ascii="仿宋_GB2312" w:hAnsi="仿宋"/>
          <w:szCs w:val="32"/>
          <w:lang w:eastAsia="zh-CN"/>
        </w:rPr>
        <w:t>2022</w:t>
      </w:r>
      <w:r>
        <w:rPr>
          <w:rFonts w:hint="eastAsia" w:ascii="仿宋_GB2312" w:hAnsi="仿宋"/>
          <w:szCs w:val="32"/>
        </w:rPr>
        <w:t>年度，</w:t>
      </w:r>
      <w:r>
        <w:rPr>
          <w:rFonts w:hint="eastAsia" w:ascii="仿宋_GB2312" w:hAnsi="仿宋"/>
          <w:szCs w:val="32"/>
          <w:lang w:eastAsia="zh-CN"/>
        </w:rPr>
        <w:t>淮北市相山区民政</w:t>
      </w:r>
      <w:r>
        <w:rPr>
          <w:rFonts w:hint="eastAsia" w:ascii="仿宋_GB2312" w:hAnsi="仿宋"/>
          <w:szCs w:val="32"/>
        </w:rPr>
        <w:t>局政府采购支出总额</w:t>
      </w:r>
      <w:r>
        <w:rPr>
          <w:rFonts w:hint="eastAsia" w:ascii="仿宋_GB2312" w:hAnsi="仿宋"/>
          <w:szCs w:val="32"/>
          <w:lang w:val="en-US" w:eastAsia="zh-CN"/>
        </w:rPr>
        <w:t>3.18</w:t>
      </w:r>
      <w:r>
        <w:rPr>
          <w:rFonts w:hint="eastAsia" w:ascii="仿宋_GB2312" w:hAnsi="仿宋"/>
          <w:szCs w:val="32"/>
        </w:rPr>
        <w:t>万元，其中：政府采购货物支出</w:t>
      </w:r>
      <w:r>
        <w:rPr>
          <w:rFonts w:hint="eastAsia" w:ascii="仿宋_GB2312" w:hAnsi="仿宋"/>
          <w:szCs w:val="32"/>
          <w:lang w:val="en-US" w:eastAsia="zh-CN"/>
        </w:rPr>
        <w:t>3.18</w:t>
      </w:r>
      <w:r>
        <w:rPr>
          <w:rFonts w:hint="eastAsia" w:ascii="仿宋_GB2312" w:hAnsi="仿宋"/>
          <w:szCs w:val="32"/>
        </w:rPr>
        <w:t>万元、政府采购工程支出</w:t>
      </w:r>
      <w:r>
        <w:rPr>
          <w:rFonts w:hint="eastAsia" w:ascii="仿宋_GB2312" w:hAnsi="仿宋"/>
          <w:szCs w:val="32"/>
          <w:lang w:val="en-US" w:eastAsia="zh-CN"/>
        </w:rPr>
        <w:t>0</w:t>
      </w:r>
      <w:r>
        <w:rPr>
          <w:rFonts w:hint="eastAsia" w:ascii="仿宋_GB2312" w:hAnsi="仿宋"/>
          <w:szCs w:val="32"/>
        </w:rPr>
        <w:t>万元、政府采购服务支出</w:t>
      </w:r>
      <w:r>
        <w:rPr>
          <w:rFonts w:hint="eastAsia" w:ascii="仿宋_GB2312" w:hAnsi="仿宋"/>
          <w:szCs w:val="32"/>
          <w:lang w:val="en-US" w:eastAsia="zh-CN"/>
        </w:rPr>
        <w:t>0</w:t>
      </w:r>
      <w:r>
        <w:rPr>
          <w:rFonts w:hint="eastAsia" w:ascii="仿宋_GB2312" w:hAnsi="仿宋"/>
          <w:szCs w:val="32"/>
        </w:rPr>
        <w:t>万元。授予中小企业合同金额</w:t>
      </w:r>
      <w:r>
        <w:rPr>
          <w:rFonts w:hint="eastAsia" w:ascii="仿宋_GB2312" w:hAnsi="仿宋"/>
          <w:szCs w:val="32"/>
          <w:lang w:val="en-US" w:eastAsia="zh-CN"/>
        </w:rPr>
        <w:t>0</w:t>
      </w:r>
      <w:r>
        <w:rPr>
          <w:rFonts w:hint="eastAsia" w:ascii="仿宋_GB2312" w:hAnsi="仿宋"/>
          <w:szCs w:val="32"/>
        </w:rPr>
        <w:t>万元，占政府采购支出总额的</w:t>
      </w:r>
      <w:r>
        <w:rPr>
          <w:rFonts w:hint="eastAsia" w:ascii="仿宋_GB2312" w:hAnsi="仿宋"/>
          <w:szCs w:val="32"/>
          <w:lang w:val="en-US" w:eastAsia="zh-CN"/>
        </w:rPr>
        <w:t>0</w:t>
      </w:r>
      <w:r>
        <w:rPr>
          <w:rFonts w:hint="eastAsia" w:ascii="仿宋_GB2312" w:hAnsi="仿宋"/>
          <w:szCs w:val="32"/>
        </w:rPr>
        <w:t>%，其中：授予小微企业合同金额</w:t>
      </w:r>
      <w:r>
        <w:rPr>
          <w:rFonts w:hint="eastAsia" w:ascii="仿宋_GB2312" w:hAnsi="仿宋"/>
          <w:szCs w:val="32"/>
          <w:lang w:val="en-US" w:eastAsia="zh-CN"/>
        </w:rPr>
        <w:t>0</w:t>
      </w:r>
      <w:r>
        <w:rPr>
          <w:rFonts w:hint="eastAsia" w:ascii="仿宋_GB2312" w:hAnsi="仿宋"/>
          <w:szCs w:val="32"/>
        </w:rPr>
        <w:t>万元，占政府采购支出总额的</w:t>
      </w:r>
      <w:r>
        <w:rPr>
          <w:rFonts w:hint="eastAsia" w:ascii="仿宋_GB2312" w:hAnsi="仿宋"/>
          <w:szCs w:val="32"/>
          <w:lang w:val="en-US" w:eastAsia="zh-CN"/>
        </w:rPr>
        <w:t>0</w:t>
      </w:r>
      <w:r>
        <w:rPr>
          <w:rFonts w:hint="eastAsia" w:ascii="仿宋_GB2312" w:hAnsi="仿宋"/>
          <w:szCs w:val="32"/>
        </w:rPr>
        <w:t>%。</w:t>
      </w:r>
    </w:p>
    <w:p w14:paraId="54985835">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3、国有资产占有使用情况。</w:t>
      </w:r>
    </w:p>
    <w:p w14:paraId="74CDDA0A">
      <w:pPr>
        <w:adjustRightInd w:val="0"/>
        <w:snapToGrid w:val="0"/>
        <w:spacing w:line="600" w:lineRule="exact"/>
        <w:ind w:firstLine="628" w:firstLineChars="200"/>
        <w:rPr>
          <w:rFonts w:hint="eastAsia" w:ascii="仿宋_GB2312" w:hAnsi="仿宋"/>
          <w:szCs w:val="32"/>
        </w:rPr>
      </w:pPr>
      <w:r>
        <w:rPr>
          <w:rFonts w:hint="eastAsia" w:ascii="仿宋_GB2312" w:hAnsi="楷体"/>
          <w:szCs w:val="32"/>
        </w:rPr>
        <w:t>截至</w:t>
      </w:r>
      <w:r>
        <w:rPr>
          <w:rFonts w:hint="eastAsia" w:ascii="仿宋_GB2312" w:hAnsi="楷体"/>
          <w:szCs w:val="32"/>
          <w:lang w:eastAsia="zh-CN"/>
        </w:rPr>
        <w:t>2022</w:t>
      </w:r>
      <w:r>
        <w:rPr>
          <w:rFonts w:hint="eastAsia" w:ascii="仿宋_GB2312" w:hAnsi="楷体"/>
          <w:szCs w:val="32"/>
        </w:rPr>
        <w:t>年12月31日，</w:t>
      </w:r>
      <w:r>
        <w:rPr>
          <w:rFonts w:hint="eastAsia" w:ascii="仿宋_GB2312" w:hAnsi="仿宋"/>
          <w:szCs w:val="32"/>
          <w:lang w:eastAsia="zh-CN"/>
        </w:rPr>
        <w:t>淮北市相山区民政</w:t>
      </w:r>
      <w:r>
        <w:rPr>
          <w:rFonts w:hint="eastAsia" w:ascii="仿宋_GB2312" w:hAnsi="仿宋"/>
          <w:szCs w:val="32"/>
        </w:rPr>
        <w:t>局共有车辆</w:t>
      </w:r>
      <w:r>
        <w:rPr>
          <w:rFonts w:hint="eastAsia" w:ascii="仿宋_GB2312" w:hAnsi="仿宋"/>
          <w:szCs w:val="32"/>
          <w:lang w:val="en-US" w:eastAsia="zh-CN"/>
        </w:rPr>
        <w:t>0</w:t>
      </w:r>
      <w:r>
        <w:rPr>
          <w:rFonts w:hint="eastAsia" w:ascii="仿宋_GB2312" w:hAnsi="仿宋"/>
          <w:szCs w:val="32"/>
        </w:rPr>
        <w:t>辆，</w:t>
      </w:r>
      <w:bookmarkStart w:id="0" w:name="_GoBack"/>
      <w:bookmarkEnd w:id="0"/>
      <w:r>
        <w:rPr>
          <w:rFonts w:hint="eastAsia" w:ascii="仿宋_GB2312" w:hAnsi="仿宋"/>
          <w:szCs w:val="32"/>
        </w:rPr>
        <w:t>单价100万元以上专用设备</w:t>
      </w:r>
      <w:r>
        <w:rPr>
          <w:rFonts w:hint="eastAsia" w:ascii="仿宋_GB2312" w:hAnsi="仿宋"/>
          <w:szCs w:val="32"/>
          <w:lang w:val="en-US" w:eastAsia="zh-CN"/>
        </w:rPr>
        <w:t>0</w:t>
      </w:r>
      <w:r>
        <w:rPr>
          <w:rFonts w:hint="eastAsia" w:ascii="仿宋_GB2312" w:hAnsi="仿宋"/>
          <w:szCs w:val="32"/>
        </w:rPr>
        <w:t>台（套）。</w:t>
      </w:r>
    </w:p>
    <w:p w14:paraId="77E29F12">
      <w:pPr>
        <w:adjustRightInd w:val="0"/>
        <w:snapToGrid w:val="0"/>
        <w:spacing w:line="600" w:lineRule="exact"/>
        <w:ind w:firstLine="628" w:firstLineChars="200"/>
        <w:rPr>
          <w:rFonts w:hint="eastAsia" w:ascii="仿宋_GB2312" w:hAnsi="仿宋"/>
          <w:b/>
          <w:bCs/>
          <w:szCs w:val="32"/>
        </w:rPr>
      </w:pPr>
      <w:r>
        <w:rPr>
          <w:rFonts w:hint="eastAsia" w:ascii="仿宋_GB2312" w:hAnsi="仿宋"/>
          <w:szCs w:val="32"/>
        </w:rPr>
        <w:t xml:space="preserve"> </w:t>
      </w:r>
      <w:r>
        <w:rPr>
          <w:rFonts w:hint="eastAsia" w:ascii="仿宋_GB2312" w:hAnsi="仿宋"/>
          <w:b/>
          <w:bCs/>
          <w:i/>
          <w:iCs/>
          <w:szCs w:val="32"/>
        </w:rPr>
        <w:t xml:space="preserve"> </w:t>
      </w:r>
      <w:r>
        <w:rPr>
          <w:rFonts w:hint="eastAsia" w:ascii="仿宋_GB2312" w:hAnsi="仿宋"/>
          <w:szCs w:val="32"/>
        </w:rPr>
        <w:t xml:space="preserve">  </w:t>
      </w:r>
      <w:r>
        <w:rPr>
          <w:rFonts w:hint="eastAsia" w:ascii="仿宋_GB2312" w:hAnsi="仿宋"/>
          <w:b/>
          <w:bCs/>
          <w:szCs w:val="32"/>
        </w:rPr>
        <w:t>4、关于</w:t>
      </w:r>
      <w:r>
        <w:rPr>
          <w:rFonts w:hint="eastAsia" w:ascii="仿宋_GB2312" w:hAnsi="仿宋"/>
          <w:b/>
          <w:bCs/>
          <w:szCs w:val="32"/>
          <w:lang w:eastAsia="zh-CN"/>
        </w:rPr>
        <w:t>2022</w:t>
      </w:r>
      <w:r>
        <w:rPr>
          <w:rFonts w:hint="eastAsia" w:ascii="仿宋_GB2312" w:hAnsi="仿宋"/>
          <w:b/>
          <w:bCs/>
          <w:szCs w:val="32"/>
        </w:rPr>
        <w:t>年度预算绩效情况说明</w:t>
      </w:r>
    </w:p>
    <w:p w14:paraId="7D1A5504">
      <w:pPr>
        <w:ind w:firstLine="314" w:firstLineChars="100"/>
        <w:rPr>
          <w:rFonts w:ascii="仿宋_GB2312" w:hAnsi="仿宋_GB2312" w:cs="仿宋_GB2312"/>
          <w:b/>
          <w:bCs/>
          <w:szCs w:val="32"/>
        </w:rPr>
      </w:pPr>
      <w:r>
        <w:rPr>
          <w:rFonts w:hint="eastAsia" w:ascii="仿宋_GB2312" w:hAnsi="仿宋_GB2312" w:cs="仿宋_GB2312"/>
          <w:b/>
          <w:bCs/>
          <w:szCs w:val="32"/>
        </w:rPr>
        <w:t>（1）预算绩效管理工作开展情况</w:t>
      </w:r>
    </w:p>
    <w:p w14:paraId="5CC2D93A">
      <w:pPr>
        <w:ind w:firstLine="628" w:firstLineChars="200"/>
        <w:rPr>
          <w:rFonts w:ascii="仿宋_GB2312" w:hAnsi="仿宋_GB2312" w:cs="仿宋_GB2312"/>
          <w:szCs w:val="32"/>
        </w:rPr>
      </w:pPr>
      <w:r>
        <w:rPr>
          <w:rFonts w:hint="eastAsia" w:ascii="仿宋_GB2312" w:hAnsi="仿宋_GB2312" w:cs="仿宋_GB2312"/>
          <w:szCs w:val="32"/>
        </w:rPr>
        <w:t>根据预算绩效管理要求，本部门组织对</w:t>
      </w:r>
      <w:r>
        <w:rPr>
          <w:rFonts w:hint="eastAsia" w:ascii="仿宋_GB2312" w:hAnsi="仿宋_GB2312" w:cs="仿宋_GB2312"/>
          <w:szCs w:val="32"/>
          <w:lang w:eastAsia="zh-CN"/>
        </w:rPr>
        <w:t>2022</w:t>
      </w:r>
      <w:r>
        <w:rPr>
          <w:rFonts w:hint="eastAsia" w:ascii="仿宋_GB2312" w:hAnsi="仿宋_GB2312" w:cs="仿宋_GB2312"/>
          <w:szCs w:val="32"/>
        </w:rPr>
        <w:t>年度纳入部门预算的项目支出全面开展了绩效自评，共</w:t>
      </w:r>
      <w:r>
        <w:rPr>
          <w:rFonts w:hint="eastAsia" w:ascii="仿宋_GB2312" w:hAnsi="仿宋_GB2312" w:cs="仿宋_GB2312"/>
          <w:szCs w:val="32"/>
          <w:lang w:val="en-US" w:eastAsia="zh-CN"/>
        </w:rPr>
        <w:t>2</w:t>
      </w:r>
      <w:r>
        <w:rPr>
          <w:rFonts w:hint="eastAsia" w:ascii="仿宋_GB2312" w:hAnsi="仿宋_GB2312" w:cs="仿宋_GB2312"/>
          <w:szCs w:val="32"/>
        </w:rPr>
        <w:t>个项目，涉及资金</w:t>
      </w:r>
      <w:r>
        <w:rPr>
          <w:rFonts w:hint="eastAsia" w:ascii="仿宋_GB2312" w:hAnsi="仿宋_GB2312" w:cs="仿宋_GB2312"/>
          <w:szCs w:val="32"/>
          <w:lang w:val="en-US" w:eastAsia="zh-CN"/>
        </w:rPr>
        <w:t>4202.91</w:t>
      </w:r>
      <w:r>
        <w:rPr>
          <w:rFonts w:hint="eastAsia" w:ascii="仿宋_GB2312" w:hAnsi="仿宋_GB2312" w:cs="仿宋_GB2312"/>
          <w:szCs w:val="32"/>
        </w:rPr>
        <w:t>万元，占项目预算总额的</w:t>
      </w:r>
      <w:r>
        <w:rPr>
          <w:rFonts w:hint="eastAsia" w:ascii="仿宋_GB2312" w:hAnsi="仿宋_GB2312" w:cs="仿宋_GB2312"/>
          <w:szCs w:val="32"/>
          <w:lang w:val="en-US" w:eastAsia="zh-CN"/>
        </w:rPr>
        <w:t>55.05</w:t>
      </w:r>
      <w:r>
        <w:rPr>
          <w:rFonts w:ascii="仿宋_GB2312" w:hAnsi="仿宋_GB2312" w:cs="仿宋_GB2312"/>
          <w:szCs w:val="32"/>
        </w:rPr>
        <w:t>%</w:t>
      </w:r>
      <w:r>
        <w:rPr>
          <w:rFonts w:hint="eastAsia" w:ascii="仿宋_GB2312" w:hAnsi="仿宋_GB2312" w:cs="仿宋_GB2312"/>
          <w:szCs w:val="32"/>
        </w:rPr>
        <w:t>。</w:t>
      </w:r>
    </w:p>
    <w:p w14:paraId="609798E1">
      <w:pPr>
        <w:ind w:firstLine="628" w:firstLineChars="200"/>
        <w:rPr>
          <w:rFonts w:hint="eastAsia" w:ascii="仿宋_GB2312" w:hAnsi="仿宋_GB2312" w:eastAsia="仿宋_GB2312" w:cs="仿宋_GB2312"/>
          <w:color w:val="auto"/>
          <w:szCs w:val="32"/>
          <w:lang w:eastAsia="zh-CN"/>
        </w:rPr>
      </w:pPr>
      <w:r>
        <w:rPr>
          <w:rFonts w:hint="eastAsia" w:ascii="仿宋_GB2312" w:hAnsi="仿宋_GB2312" w:cs="仿宋_GB2312"/>
          <w:szCs w:val="32"/>
        </w:rPr>
        <w:t>本部门共组织对“</w:t>
      </w:r>
      <w:r>
        <w:rPr>
          <w:rFonts w:hint="eastAsia" w:ascii="仿宋_GB2312" w:hAnsi="仿宋_GB2312" w:cs="仿宋_GB2312"/>
          <w:b w:val="0"/>
          <w:bCs w:val="0"/>
          <w:szCs w:val="32"/>
          <w:lang w:eastAsia="zh-CN"/>
        </w:rPr>
        <w:t>城市最低生活保障金、临时救助</w:t>
      </w:r>
      <w:r>
        <w:rPr>
          <w:rFonts w:hint="eastAsia" w:ascii="仿宋_GB2312" w:hAnsi="仿宋_GB2312" w:cs="仿宋_GB2312"/>
          <w:szCs w:val="32"/>
        </w:rPr>
        <w:t>”等</w:t>
      </w:r>
      <w:r>
        <w:rPr>
          <w:rFonts w:hint="eastAsia" w:ascii="仿宋_GB2312" w:hAnsi="仿宋_GB2312" w:cs="仿宋_GB2312"/>
          <w:szCs w:val="32"/>
          <w:lang w:val="en-US" w:eastAsia="zh-CN"/>
        </w:rPr>
        <w:t>2</w:t>
      </w:r>
      <w:r>
        <w:rPr>
          <w:rFonts w:hint="eastAsia" w:ascii="仿宋_GB2312" w:hAnsi="仿宋_GB2312" w:cs="仿宋_GB2312"/>
          <w:szCs w:val="32"/>
        </w:rPr>
        <w:t>个项目开展了部门绩效评价，涉及资金</w:t>
      </w:r>
      <w:r>
        <w:rPr>
          <w:rFonts w:hint="eastAsia" w:ascii="仿宋_GB2312" w:hAnsi="仿宋_GB2312" w:cs="仿宋_GB2312"/>
          <w:szCs w:val="32"/>
          <w:lang w:val="en-US" w:eastAsia="zh-CN"/>
        </w:rPr>
        <w:t>4202.91</w:t>
      </w:r>
      <w:r>
        <w:rPr>
          <w:rFonts w:hint="eastAsia" w:ascii="仿宋_GB2312" w:hAnsi="仿宋_GB2312" w:cs="仿宋_GB2312"/>
          <w:szCs w:val="32"/>
        </w:rPr>
        <w:t>万元。该项目开展绩效评价的组织方式</w:t>
      </w:r>
      <w:r>
        <w:rPr>
          <w:rFonts w:hint="eastAsia" w:ascii="仿宋_GB2312" w:hAnsi="仿宋_GB2312" w:cs="仿宋_GB2312"/>
          <w:szCs w:val="32"/>
          <w:lang w:eastAsia="zh-CN"/>
        </w:rPr>
        <w:t>为部门自主实施。</w:t>
      </w:r>
      <w:r>
        <w:rPr>
          <w:rFonts w:hint="eastAsia" w:ascii="仿宋_GB2312" w:hAnsi="仿宋_GB2312" w:cs="仿宋_GB2312"/>
          <w:szCs w:val="32"/>
        </w:rPr>
        <w:t>从评价情况看，</w:t>
      </w:r>
      <w:r>
        <w:rPr>
          <w:rFonts w:hint="eastAsia" w:ascii="仿宋_GB2312" w:hAnsi="仿宋_GB2312" w:cs="仿宋_GB2312"/>
          <w:color w:val="auto"/>
          <w:szCs w:val="32"/>
        </w:rPr>
        <w:t>淮北市相山区</w:t>
      </w:r>
      <w:r>
        <w:rPr>
          <w:rFonts w:hint="eastAsia" w:ascii="仿宋_GB2312" w:hAnsi="仿宋_GB2312" w:cs="仿宋_GB2312"/>
          <w:color w:val="auto"/>
          <w:szCs w:val="32"/>
          <w:lang w:eastAsia="zh-CN"/>
        </w:rPr>
        <w:t>民政</w:t>
      </w:r>
      <w:r>
        <w:rPr>
          <w:rFonts w:hint="eastAsia" w:ascii="仿宋_GB2312" w:hAnsi="仿宋_GB2312" w:cs="仿宋_GB2312"/>
          <w:color w:val="auto"/>
          <w:szCs w:val="32"/>
        </w:rPr>
        <w:t>局项目立项程序完整、规范、预算执行及时、有效，绩效目标得到较好实现，绩效管理水平不断提高</w:t>
      </w:r>
      <w:r>
        <w:rPr>
          <w:rFonts w:hint="eastAsia" w:ascii="仿宋_GB2312" w:hAnsi="仿宋_GB2312" w:cs="仿宋_GB2312"/>
          <w:color w:val="auto"/>
          <w:szCs w:val="32"/>
          <w:lang w:eastAsia="zh-CN"/>
        </w:rPr>
        <w:t>，达到预期绩效目标。</w:t>
      </w:r>
    </w:p>
    <w:p w14:paraId="0ABC2663">
      <w:pPr>
        <w:ind w:firstLine="628" w:firstLineChars="200"/>
        <w:rPr>
          <w:rFonts w:hint="eastAsia" w:ascii="仿宋_GB2312" w:hAnsi="仿宋_GB2312" w:cs="仿宋_GB2312"/>
          <w:szCs w:val="32"/>
          <w:lang w:eastAsia="zh-CN"/>
        </w:rPr>
      </w:pPr>
      <w:r>
        <w:rPr>
          <w:rFonts w:hint="eastAsia" w:ascii="仿宋_GB2312" w:hAnsi="仿宋_GB2312" w:cs="仿宋_GB2312"/>
          <w:szCs w:val="32"/>
        </w:rPr>
        <w:t>组织开展</w:t>
      </w:r>
      <w:r>
        <w:rPr>
          <w:rFonts w:hint="eastAsia" w:ascii="仿宋_GB2312" w:hAnsi="仿宋_GB2312" w:cs="仿宋_GB2312"/>
          <w:szCs w:val="32"/>
          <w:lang w:eastAsia="zh-CN"/>
        </w:rPr>
        <w:t>2022</w:t>
      </w:r>
      <w:r>
        <w:rPr>
          <w:rFonts w:hint="eastAsia" w:ascii="仿宋_GB2312" w:hAnsi="仿宋_GB2312" w:cs="仿宋_GB2312"/>
          <w:szCs w:val="32"/>
        </w:rPr>
        <w:t>年度部门整体支出绩效自评</w:t>
      </w:r>
      <w:r>
        <w:rPr>
          <w:rFonts w:hint="eastAsia" w:ascii="仿宋_GB2312" w:hAnsi="仿宋_GB2312" w:cs="仿宋_GB2312"/>
          <w:szCs w:val="32"/>
          <w:lang w:eastAsia="zh-CN"/>
        </w:rPr>
        <w:t>。</w:t>
      </w:r>
      <w:r>
        <w:rPr>
          <w:rFonts w:hint="eastAsia" w:ascii="仿宋_GB2312" w:hAnsi="仿宋_GB2312" w:cs="仿宋_GB2312"/>
          <w:color w:val="auto"/>
          <w:szCs w:val="32"/>
        </w:rPr>
        <w:t>评价结果显示，根据制定的绩效目标，我单位在本年度完成了各项基本工作正常推进。</w:t>
      </w:r>
      <w:r>
        <w:rPr>
          <w:rFonts w:hint="eastAsia" w:ascii="仿宋_GB2312" w:hAnsi="仿宋_GB2312" w:eastAsia="仿宋_GB2312" w:cs="仿宋_GB2312"/>
          <w:sz w:val="32"/>
          <w:szCs w:val="32"/>
        </w:rPr>
        <w:t>城市最低生活保障</w:t>
      </w:r>
      <w:r>
        <w:rPr>
          <w:rFonts w:hint="eastAsia" w:ascii="仿宋_GB2312" w:hAnsi="仿宋_GB2312" w:cs="仿宋_GB2312"/>
          <w:sz w:val="32"/>
          <w:szCs w:val="32"/>
          <w:lang w:eastAsia="zh-CN"/>
        </w:rPr>
        <w:t>、艾滋病人救助、临时救助</w:t>
      </w:r>
      <w:r>
        <w:rPr>
          <w:rFonts w:hint="eastAsia" w:ascii="仿宋_GB2312" w:hAnsi="仿宋_GB2312" w:eastAsia="仿宋_GB2312" w:cs="仿宋_GB2312"/>
          <w:sz w:val="32"/>
          <w:szCs w:val="32"/>
        </w:rPr>
        <w:t>项目实施</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rPr>
        <w:t>资金</w:t>
      </w:r>
      <w:r>
        <w:rPr>
          <w:rFonts w:hint="eastAsia" w:ascii="仿宋_GB2312" w:hAnsi="仿宋_GB2312" w:cs="仿宋_GB2312"/>
          <w:sz w:val="32"/>
          <w:szCs w:val="32"/>
          <w:lang w:eastAsia="zh-CN"/>
        </w:rPr>
        <w:t>发放</w:t>
      </w:r>
      <w:r>
        <w:rPr>
          <w:rFonts w:hint="eastAsia" w:ascii="仿宋_GB2312" w:hAnsi="仿宋_GB2312" w:eastAsia="仿宋_GB2312" w:cs="仿宋_GB2312"/>
          <w:sz w:val="32"/>
          <w:szCs w:val="32"/>
        </w:rPr>
        <w:t>率和及时率均为100%。做到了</w:t>
      </w:r>
      <w:r>
        <w:rPr>
          <w:rFonts w:hint="eastAsia" w:ascii="仿宋_GB2312" w:hAnsi="仿宋_GB2312" w:cs="仿宋_GB2312"/>
          <w:sz w:val="32"/>
          <w:szCs w:val="32"/>
          <w:lang w:eastAsia="zh-CN"/>
        </w:rPr>
        <w:t>让</w:t>
      </w:r>
      <w:r>
        <w:rPr>
          <w:rFonts w:hint="eastAsia" w:ascii="仿宋_GB2312" w:hAnsi="仿宋_GB2312" w:eastAsia="仿宋_GB2312" w:cs="仿宋_GB2312"/>
          <w:sz w:val="32"/>
          <w:szCs w:val="32"/>
        </w:rPr>
        <w:t>群众满意，在维护社会稳定、促进社会经济协调发展方面发挥了重要的作用。</w:t>
      </w:r>
    </w:p>
    <w:p w14:paraId="7FD607E9">
      <w:pPr>
        <w:rPr>
          <w:rFonts w:ascii="仿宋_GB2312" w:hAnsi="仿宋_GB2312" w:cs="仿宋_GB2312"/>
          <w:b/>
          <w:bCs/>
          <w:szCs w:val="32"/>
        </w:rPr>
      </w:pPr>
      <w:r>
        <w:rPr>
          <w:rFonts w:hint="eastAsia" w:ascii="仿宋_GB2312" w:hAnsi="仿宋_GB2312" w:cs="仿宋_GB2312"/>
          <w:b/>
          <w:bCs/>
          <w:szCs w:val="32"/>
        </w:rPr>
        <w:t>（2）部门决算中项目绩效自评结果</w:t>
      </w:r>
    </w:p>
    <w:p w14:paraId="53ACE73E">
      <w:pPr>
        <w:numPr>
          <w:ilvl w:val="0"/>
          <w:numId w:val="0"/>
        </w:numPr>
        <w:ind w:firstLine="628" w:firstLineChars="200"/>
        <w:rPr>
          <w:rFonts w:hint="eastAsia" w:ascii="仿宋_GB2312" w:hAnsi="仿宋_GB2312" w:cs="仿宋_GB2312"/>
          <w:color w:val="auto"/>
          <w:szCs w:val="32"/>
        </w:rPr>
      </w:pPr>
      <w:r>
        <w:rPr>
          <w:rFonts w:hint="eastAsia" w:ascii="仿宋_GB2312" w:hAnsi="仿宋"/>
          <w:szCs w:val="32"/>
        </w:rPr>
        <w:t>淮北市相山区</w:t>
      </w:r>
      <w:r>
        <w:rPr>
          <w:rFonts w:hint="eastAsia" w:ascii="仿宋_GB2312" w:hAnsi="仿宋"/>
          <w:szCs w:val="32"/>
          <w:lang w:eastAsia="zh-CN"/>
        </w:rPr>
        <w:t>民政</w:t>
      </w:r>
      <w:r>
        <w:rPr>
          <w:rFonts w:hint="eastAsia" w:ascii="仿宋_GB2312" w:hAnsi="仿宋"/>
          <w:szCs w:val="32"/>
        </w:rPr>
        <w:t>局</w:t>
      </w:r>
      <w:r>
        <w:rPr>
          <w:rFonts w:hint="eastAsia" w:ascii="仿宋_GB2312" w:hAnsi="仿宋_GB2312" w:cs="仿宋_GB2312"/>
          <w:szCs w:val="32"/>
        </w:rPr>
        <w:t>在202</w:t>
      </w:r>
      <w:r>
        <w:rPr>
          <w:rFonts w:hint="eastAsia" w:ascii="仿宋_GB2312" w:hAnsi="仿宋_GB2312" w:cs="仿宋_GB2312"/>
          <w:szCs w:val="32"/>
          <w:lang w:val="en-US" w:eastAsia="zh-CN"/>
        </w:rPr>
        <w:t>2</w:t>
      </w:r>
      <w:r>
        <w:rPr>
          <w:rFonts w:hint="eastAsia" w:ascii="仿宋_GB2312" w:hAnsi="仿宋_GB2312" w:cs="仿宋_GB2312"/>
          <w:szCs w:val="32"/>
        </w:rPr>
        <w:t>年度部门决算中公开“</w:t>
      </w:r>
      <w:r>
        <w:rPr>
          <w:rFonts w:hint="eastAsia" w:ascii="仿宋_GB2312" w:hAnsi="仿宋_GB2312" w:cs="仿宋_GB2312"/>
          <w:szCs w:val="32"/>
          <w:lang w:eastAsia="zh-CN"/>
        </w:rPr>
        <w:t>城</w:t>
      </w:r>
      <w:r>
        <w:rPr>
          <w:rFonts w:hint="eastAsia" w:ascii="仿宋_GB2312" w:hAnsi="仿宋_GB2312" w:eastAsia="仿宋_GB2312" w:cs="仿宋_GB2312"/>
          <w:sz w:val="32"/>
          <w:szCs w:val="32"/>
        </w:rPr>
        <w:t>市最低生活保障</w:t>
      </w:r>
      <w:r>
        <w:rPr>
          <w:rFonts w:hint="eastAsia" w:ascii="仿宋_GB2312" w:hAnsi="仿宋_GB2312" w:cs="仿宋_GB2312"/>
          <w:sz w:val="32"/>
          <w:szCs w:val="32"/>
          <w:lang w:eastAsia="zh-CN"/>
        </w:rPr>
        <w:t>、临时救助</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2</w:t>
      </w:r>
      <w:r>
        <w:rPr>
          <w:rFonts w:hint="eastAsia" w:ascii="仿宋_GB2312" w:hAnsi="仿宋_GB2312" w:cs="仿宋_GB2312"/>
          <w:color w:val="auto"/>
          <w:szCs w:val="32"/>
        </w:rPr>
        <w:t>个项目绩效自评结果。</w:t>
      </w:r>
    </w:p>
    <w:p w14:paraId="00E6CE6E">
      <w:pPr>
        <w:ind w:firstLine="628" w:firstLineChars="200"/>
        <w:rPr>
          <w:rFonts w:hint="eastAsia" w:ascii="仿宋_GB2312" w:hAnsi="仿宋_GB2312" w:eastAsia="仿宋_GB2312" w:cs="仿宋_GB2312"/>
          <w:sz w:val="32"/>
          <w:szCs w:val="32"/>
        </w:rPr>
      </w:pPr>
      <w:r>
        <w:rPr>
          <w:rFonts w:hint="eastAsia" w:ascii="仿宋_GB2312" w:hAnsi="仿宋_GB2312" w:cs="仿宋_GB2312"/>
          <w:color w:val="auto"/>
          <w:szCs w:val="32"/>
        </w:rPr>
        <w:t>“</w:t>
      </w:r>
      <w:r>
        <w:rPr>
          <w:rFonts w:hint="eastAsia" w:ascii="仿宋_GB2312" w:hAnsi="仿宋_GB2312" w:cs="仿宋_GB2312"/>
          <w:color w:val="auto"/>
          <w:szCs w:val="32"/>
          <w:lang w:eastAsia="zh-CN"/>
        </w:rPr>
        <w:t>城市最低生活保障</w:t>
      </w:r>
      <w:r>
        <w:rPr>
          <w:rFonts w:hint="eastAsia" w:ascii="仿宋_GB2312" w:hAnsi="仿宋_GB2312" w:cs="仿宋_GB2312"/>
          <w:color w:val="auto"/>
          <w:szCs w:val="32"/>
        </w:rPr>
        <w:t>”</w:t>
      </w:r>
      <w:r>
        <w:rPr>
          <w:rFonts w:hint="eastAsia" w:ascii="仿宋_GB2312" w:hAnsi="仿宋_GB2312" w:cs="仿宋_GB2312"/>
          <w:bCs/>
          <w:color w:val="auto"/>
          <w:szCs w:val="32"/>
        </w:rPr>
        <w:t>项目绩效自评综述：根据年初设定的绩效目标，</w:t>
      </w:r>
      <w:r>
        <w:rPr>
          <w:rFonts w:hint="eastAsia" w:ascii="仿宋_GB2312" w:hAnsi="仿宋_GB2312" w:cs="仿宋_GB2312"/>
          <w:color w:val="auto"/>
          <w:szCs w:val="32"/>
          <w:lang w:eastAsia="zh-CN"/>
        </w:rPr>
        <w:t>城市最低生活保障</w:t>
      </w:r>
      <w:r>
        <w:rPr>
          <w:rFonts w:hint="eastAsia" w:ascii="仿宋_GB2312" w:hAnsi="仿宋_GB2312" w:cs="仿宋_GB2312"/>
          <w:bCs/>
          <w:color w:val="auto"/>
          <w:szCs w:val="32"/>
        </w:rPr>
        <w:t>项目绩效自评得分为</w:t>
      </w:r>
      <w:r>
        <w:rPr>
          <w:rFonts w:hint="eastAsia" w:ascii="仿宋_GB2312" w:hAnsi="仿宋_GB2312" w:cs="仿宋_GB2312"/>
          <w:bCs/>
          <w:color w:val="auto"/>
          <w:szCs w:val="32"/>
          <w:lang w:val="en-US" w:eastAsia="zh-CN"/>
        </w:rPr>
        <w:t>100</w:t>
      </w:r>
      <w:r>
        <w:rPr>
          <w:rFonts w:hint="eastAsia" w:ascii="仿宋_GB2312" w:hAnsi="仿宋_GB2312" w:cs="仿宋_GB2312"/>
          <w:bCs/>
          <w:color w:val="auto"/>
          <w:szCs w:val="32"/>
        </w:rPr>
        <w:t>分。项目全年预算数为</w:t>
      </w:r>
      <w:r>
        <w:rPr>
          <w:rFonts w:hint="eastAsia" w:ascii="仿宋_GB2312" w:hAnsi="仿宋_GB2312" w:cs="仿宋_GB2312"/>
          <w:bCs/>
          <w:color w:val="auto"/>
          <w:szCs w:val="32"/>
          <w:lang w:val="en-US" w:eastAsia="zh-CN"/>
        </w:rPr>
        <w:t>253.3</w:t>
      </w:r>
      <w:r>
        <w:rPr>
          <w:rFonts w:hint="eastAsia" w:ascii="仿宋_GB2312" w:hAnsi="仿宋_GB2312" w:cs="仿宋_GB2312"/>
          <w:bCs/>
          <w:color w:val="auto"/>
          <w:szCs w:val="32"/>
        </w:rPr>
        <w:t>万元，执行数为</w:t>
      </w:r>
      <w:r>
        <w:rPr>
          <w:rFonts w:hint="eastAsia" w:ascii="仿宋_GB2312" w:hAnsi="仿宋_GB2312" w:cs="仿宋_GB2312"/>
          <w:bCs/>
          <w:color w:val="auto"/>
          <w:szCs w:val="32"/>
          <w:lang w:val="en-US" w:eastAsia="zh-CN"/>
        </w:rPr>
        <w:t>4150.18</w:t>
      </w:r>
      <w:r>
        <w:rPr>
          <w:rFonts w:hint="eastAsia" w:ascii="仿宋_GB2312" w:hAnsi="仿宋_GB2312" w:cs="仿宋_GB2312"/>
          <w:bCs/>
          <w:color w:val="auto"/>
          <w:szCs w:val="32"/>
        </w:rPr>
        <w:t>万元，完成预算的</w:t>
      </w:r>
      <w:r>
        <w:rPr>
          <w:rFonts w:hint="eastAsia" w:ascii="仿宋_GB2312" w:hAnsi="仿宋_GB2312" w:cs="仿宋_GB2312"/>
          <w:bCs/>
          <w:color w:val="auto"/>
          <w:szCs w:val="32"/>
          <w:lang w:val="en-US" w:eastAsia="zh-CN"/>
        </w:rPr>
        <w:t>1638.44</w:t>
      </w:r>
      <w:r>
        <w:rPr>
          <w:rFonts w:ascii="仿宋_GB2312" w:hAnsi="仿宋_GB2312" w:cs="仿宋_GB2312"/>
          <w:bCs/>
          <w:color w:val="auto"/>
          <w:szCs w:val="32"/>
        </w:rPr>
        <w:t>%</w:t>
      </w:r>
      <w:r>
        <w:rPr>
          <w:rFonts w:hint="eastAsia" w:ascii="仿宋_GB2312" w:hAnsi="仿宋_GB2312" w:cs="仿宋_GB2312"/>
          <w:bCs/>
          <w:color w:val="auto"/>
          <w:szCs w:val="32"/>
        </w:rPr>
        <w:t>。主要产出和效果：通过项目实施，</w:t>
      </w:r>
      <w:r>
        <w:rPr>
          <w:rFonts w:hint="eastAsia" w:ascii="仿宋_GB2312" w:hAnsi="仿宋_GB2312" w:eastAsia="仿宋_GB2312" w:cs="仿宋_GB2312"/>
          <w:sz w:val="32"/>
          <w:szCs w:val="32"/>
        </w:rPr>
        <w:t>用以保障</w:t>
      </w:r>
      <w:r>
        <w:rPr>
          <w:rFonts w:hint="eastAsia" w:ascii="仿宋_GB2312" w:hAnsi="仿宋_GB2312" w:eastAsia="仿宋_GB2312" w:cs="仿宋_GB2312"/>
          <w:sz w:val="32"/>
          <w:szCs w:val="32"/>
          <w:lang w:eastAsia="zh-CN"/>
        </w:rPr>
        <w:t>相山区</w:t>
      </w:r>
      <w:r>
        <w:rPr>
          <w:rFonts w:hint="eastAsia" w:ascii="仿宋_GB2312" w:hAnsi="仿宋_GB2312" w:eastAsia="仿宋_GB2312" w:cs="仿宋_GB2312"/>
          <w:sz w:val="32"/>
          <w:szCs w:val="32"/>
        </w:rPr>
        <w:t>城市低保家庭生活。</w:t>
      </w:r>
      <w:r>
        <w:rPr>
          <w:rFonts w:hint="eastAsia" w:ascii="仿宋_GB2312" w:hAnsi="仿宋_GB2312" w:cs="仿宋_GB2312"/>
          <w:bCs/>
          <w:color w:val="auto"/>
          <w:szCs w:val="32"/>
        </w:rPr>
        <w:t>发现的主要问题：</w:t>
      </w:r>
      <w:r>
        <w:rPr>
          <w:rFonts w:hint="eastAsia" w:ascii="仿宋_GB2312" w:hAnsi="仿宋_GB2312" w:eastAsia="仿宋_GB2312" w:cs="仿宋_GB2312"/>
          <w:sz w:val="32"/>
          <w:szCs w:val="32"/>
          <w:lang w:eastAsia="zh-CN"/>
        </w:rPr>
        <w:t>由于工作条件的限制，</w:t>
      </w:r>
      <w:r>
        <w:rPr>
          <w:rFonts w:hint="eastAsia" w:ascii="仿宋_GB2312" w:hAnsi="仿宋_GB2312" w:eastAsia="仿宋_GB2312" w:cs="仿宋_GB2312"/>
          <w:sz w:val="32"/>
          <w:szCs w:val="32"/>
        </w:rPr>
        <w:t>家庭隐形收入难测算</w:t>
      </w:r>
      <w:r>
        <w:rPr>
          <w:rFonts w:hint="eastAsia" w:ascii="仿宋_GB2312" w:hAnsi="仿宋_GB2312" w:eastAsia="仿宋_GB2312" w:cs="仿宋_GB2312"/>
          <w:sz w:val="32"/>
          <w:szCs w:val="32"/>
          <w:lang w:eastAsia="zh-CN"/>
        </w:rPr>
        <w:t>。</w:t>
      </w:r>
      <w:r>
        <w:rPr>
          <w:rFonts w:hint="eastAsia" w:ascii="仿宋_GB2312" w:hAnsi="仿宋_GB2312" w:cs="仿宋_GB2312"/>
          <w:bCs/>
          <w:szCs w:val="32"/>
        </w:rPr>
        <w:t>下一步改进措施：</w:t>
      </w:r>
      <w:r>
        <w:rPr>
          <w:rFonts w:hint="eastAsia" w:ascii="仿宋_GB2312" w:hAnsi="仿宋_GB2312" w:eastAsia="仿宋_GB2312" w:cs="仿宋_GB2312"/>
          <w:sz w:val="32"/>
          <w:szCs w:val="32"/>
        </w:rPr>
        <w:t>进一步加强城市最低生活保障工作政策法规的宣传力度。要切实加大对城市最低生活保障法规政策宣传的广度和深度，促使广大群众树立正确的“低保”观念，逐步形成大家自觉理解、积极配合、共同监督城市最低生活保障工作的良好局面。</w:t>
      </w:r>
    </w:p>
    <w:p w14:paraId="1A0618E3">
      <w:pPr>
        <w:spacing w:line="580" w:lineRule="exact"/>
        <w:jc w:val="center"/>
        <w:rPr>
          <w:rFonts w:hint="eastAsia" w:ascii="宋体" w:hAnsi="宋体" w:eastAsia="宋体" w:cs="宋体"/>
          <w:bCs/>
          <w:color w:val="000000"/>
          <w:kern w:val="0"/>
          <w:sz w:val="32"/>
          <w:szCs w:val="32"/>
        </w:rPr>
      </w:pPr>
      <w:r>
        <w:rPr>
          <w:rFonts w:hint="eastAsia" w:ascii="宋体" w:hAnsi="宋体" w:eastAsia="宋体" w:cs="宋体"/>
          <w:bCs/>
          <w:color w:val="000000"/>
          <w:kern w:val="0"/>
          <w:sz w:val="32"/>
          <w:szCs w:val="32"/>
        </w:rPr>
        <w:t>项目支出绩效自评表</w:t>
      </w:r>
    </w:p>
    <w:p w14:paraId="118208FC">
      <w:pPr>
        <w:spacing w:line="580" w:lineRule="exact"/>
        <w:jc w:val="center"/>
        <w:rPr>
          <w:rFonts w:hint="eastAsia" w:ascii="宋体" w:hAnsi="宋体" w:eastAsia="宋体" w:cs="宋体"/>
          <w:bCs/>
          <w:sz w:val="22"/>
          <w:szCs w:val="22"/>
        </w:rPr>
      </w:pPr>
      <w:r>
        <w:rPr>
          <w:rFonts w:hint="eastAsia" w:ascii="宋体" w:hAnsi="宋体" w:eastAsia="宋体" w:cs="宋体"/>
          <w:color w:val="000000"/>
          <w:kern w:val="0"/>
          <w:sz w:val="22"/>
          <w:szCs w:val="22"/>
        </w:rPr>
        <w:t>（202</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年度）</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673"/>
        <w:gridCol w:w="995"/>
        <w:gridCol w:w="1301"/>
        <w:gridCol w:w="47"/>
        <w:gridCol w:w="1495"/>
        <w:gridCol w:w="895"/>
        <w:gridCol w:w="899"/>
        <w:gridCol w:w="819"/>
        <w:gridCol w:w="1117"/>
        <w:gridCol w:w="550"/>
      </w:tblGrid>
      <w:tr w14:paraId="6BE7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96" w:type="dxa"/>
            <w:gridSpan w:val="3"/>
            <w:noWrap w:val="0"/>
            <w:vAlign w:val="center"/>
          </w:tcPr>
          <w:p w14:paraId="0EC368B0">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7123" w:type="dxa"/>
            <w:gridSpan w:val="8"/>
            <w:noWrap w:val="0"/>
            <w:vAlign w:val="center"/>
          </w:tcPr>
          <w:p w14:paraId="14B2B160">
            <w:pPr>
              <w:spacing w:line="280" w:lineRule="exact"/>
              <w:ind w:firstLine="1914" w:firstLineChars="110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城市</w:t>
            </w:r>
            <w:r>
              <w:rPr>
                <w:rFonts w:hint="eastAsia" w:ascii="宋体" w:hAnsi="宋体" w:eastAsia="宋体" w:cs="宋体"/>
                <w:color w:val="000000"/>
                <w:kern w:val="0"/>
                <w:sz w:val="18"/>
                <w:szCs w:val="18"/>
                <w:lang w:eastAsia="zh-CN"/>
              </w:rPr>
              <w:t>最低生活保障</w:t>
            </w:r>
            <w:r>
              <w:rPr>
                <w:rFonts w:hint="eastAsia" w:ascii="宋体" w:hAnsi="宋体" w:eastAsia="宋体" w:cs="宋体"/>
                <w:color w:val="000000"/>
                <w:kern w:val="0"/>
                <w:sz w:val="18"/>
                <w:szCs w:val="18"/>
              </w:rPr>
              <w:t>金　</w:t>
            </w:r>
          </w:p>
        </w:tc>
      </w:tr>
      <w:tr w14:paraId="7782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96" w:type="dxa"/>
            <w:gridSpan w:val="3"/>
            <w:noWrap w:val="0"/>
            <w:vAlign w:val="center"/>
          </w:tcPr>
          <w:p w14:paraId="42479C4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主管单位</w:t>
            </w:r>
          </w:p>
        </w:tc>
        <w:tc>
          <w:tcPr>
            <w:tcW w:w="2843" w:type="dxa"/>
            <w:gridSpan w:val="3"/>
            <w:noWrap w:val="0"/>
            <w:vAlign w:val="center"/>
          </w:tcPr>
          <w:p w14:paraId="06A695CD">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淮北市相山区民政局</w:t>
            </w:r>
          </w:p>
        </w:tc>
        <w:tc>
          <w:tcPr>
            <w:tcW w:w="895" w:type="dxa"/>
            <w:noWrap w:val="0"/>
            <w:vAlign w:val="center"/>
          </w:tcPr>
          <w:p w14:paraId="29C2A4E8">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实施</w:t>
            </w:r>
          </w:p>
          <w:p w14:paraId="480C1761">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3385" w:type="dxa"/>
            <w:gridSpan w:val="4"/>
            <w:noWrap w:val="0"/>
            <w:vAlign w:val="center"/>
          </w:tcPr>
          <w:p w14:paraId="60C26A78">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淮北市相山区民政局　</w:t>
            </w:r>
          </w:p>
        </w:tc>
      </w:tr>
      <w:tr w14:paraId="3661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96" w:type="dxa"/>
            <w:gridSpan w:val="3"/>
            <w:vMerge w:val="restart"/>
            <w:noWrap w:val="0"/>
            <w:vAlign w:val="center"/>
          </w:tcPr>
          <w:p w14:paraId="0F036E4D">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资金情况</w:t>
            </w:r>
          </w:p>
          <w:p w14:paraId="644CD336">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348" w:type="dxa"/>
            <w:gridSpan w:val="2"/>
            <w:noWrap w:val="0"/>
            <w:vAlign w:val="center"/>
          </w:tcPr>
          <w:p w14:paraId="217A37E5">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95" w:type="dxa"/>
            <w:noWrap w:val="0"/>
            <w:vAlign w:val="center"/>
          </w:tcPr>
          <w:p w14:paraId="71D78601">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全年预算数（A）</w:t>
            </w:r>
          </w:p>
        </w:tc>
        <w:tc>
          <w:tcPr>
            <w:tcW w:w="1794" w:type="dxa"/>
            <w:gridSpan w:val="2"/>
            <w:noWrap w:val="0"/>
            <w:vAlign w:val="center"/>
          </w:tcPr>
          <w:p w14:paraId="5B63FBBA">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全年执行数（B）</w:t>
            </w:r>
          </w:p>
        </w:tc>
        <w:tc>
          <w:tcPr>
            <w:tcW w:w="819" w:type="dxa"/>
            <w:noWrap w:val="0"/>
            <w:vAlign w:val="center"/>
          </w:tcPr>
          <w:p w14:paraId="4044F9FB">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1117" w:type="dxa"/>
            <w:noWrap w:val="0"/>
            <w:vAlign w:val="center"/>
          </w:tcPr>
          <w:p w14:paraId="2AEA0495">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执行率（B/A)</w:t>
            </w:r>
          </w:p>
        </w:tc>
        <w:tc>
          <w:tcPr>
            <w:tcW w:w="550" w:type="dxa"/>
            <w:noWrap w:val="0"/>
            <w:vAlign w:val="center"/>
          </w:tcPr>
          <w:p w14:paraId="4CB1E7C7">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14:paraId="41AE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96" w:type="dxa"/>
            <w:gridSpan w:val="3"/>
            <w:vMerge w:val="continue"/>
            <w:noWrap w:val="0"/>
            <w:vAlign w:val="center"/>
          </w:tcPr>
          <w:p w14:paraId="096317B2">
            <w:pPr>
              <w:spacing w:line="280" w:lineRule="exact"/>
              <w:jc w:val="left"/>
              <w:rPr>
                <w:rFonts w:hint="eastAsia" w:ascii="宋体" w:hAnsi="宋体" w:eastAsia="宋体" w:cs="宋体"/>
                <w:color w:val="000000"/>
                <w:kern w:val="0"/>
                <w:sz w:val="18"/>
                <w:szCs w:val="18"/>
              </w:rPr>
            </w:pPr>
          </w:p>
        </w:tc>
        <w:tc>
          <w:tcPr>
            <w:tcW w:w="1348" w:type="dxa"/>
            <w:gridSpan w:val="2"/>
            <w:noWrap w:val="0"/>
            <w:vAlign w:val="center"/>
          </w:tcPr>
          <w:p w14:paraId="3FF89056">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1495" w:type="dxa"/>
            <w:noWrap w:val="0"/>
            <w:vAlign w:val="center"/>
          </w:tcPr>
          <w:p w14:paraId="3C11B007">
            <w:pPr>
              <w:spacing w:line="2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253.3</w:t>
            </w:r>
          </w:p>
        </w:tc>
        <w:tc>
          <w:tcPr>
            <w:tcW w:w="1794" w:type="dxa"/>
            <w:gridSpan w:val="2"/>
            <w:noWrap w:val="0"/>
            <w:vAlign w:val="center"/>
          </w:tcPr>
          <w:p w14:paraId="7C956A37">
            <w:pPr>
              <w:spacing w:line="2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4150.18</w:t>
            </w:r>
          </w:p>
        </w:tc>
        <w:tc>
          <w:tcPr>
            <w:tcW w:w="819" w:type="dxa"/>
            <w:noWrap w:val="0"/>
            <w:vAlign w:val="center"/>
          </w:tcPr>
          <w:p w14:paraId="6500D05B">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117" w:type="dxa"/>
            <w:noWrap w:val="0"/>
            <w:vAlign w:val="center"/>
          </w:tcPr>
          <w:p w14:paraId="517932D8">
            <w:pPr>
              <w:spacing w:line="2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1638.44</w:t>
            </w:r>
          </w:p>
        </w:tc>
        <w:tc>
          <w:tcPr>
            <w:tcW w:w="550" w:type="dxa"/>
            <w:noWrap w:val="0"/>
            <w:vAlign w:val="center"/>
          </w:tcPr>
          <w:p w14:paraId="59738A26">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14:paraId="03D2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6" w:type="dxa"/>
            <w:gridSpan w:val="3"/>
            <w:vMerge w:val="continue"/>
            <w:noWrap w:val="0"/>
            <w:vAlign w:val="center"/>
          </w:tcPr>
          <w:p w14:paraId="10E8E481">
            <w:pPr>
              <w:spacing w:line="280" w:lineRule="exact"/>
              <w:jc w:val="left"/>
              <w:rPr>
                <w:rFonts w:hint="eastAsia" w:ascii="宋体" w:hAnsi="宋体" w:eastAsia="宋体" w:cs="宋体"/>
                <w:color w:val="000000"/>
                <w:kern w:val="0"/>
                <w:sz w:val="18"/>
                <w:szCs w:val="18"/>
              </w:rPr>
            </w:pPr>
          </w:p>
        </w:tc>
        <w:tc>
          <w:tcPr>
            <w:tcW w:w="1348" w:type="dxa"/>
            <w:gridSpan w:val="2"/>
            <w:noWrap w:val="0"/>
            <w:vAlign w:val="center"/>
          </w:tcPr>
          <w:p w14:paraId="5F645BE5">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其中：</w:t>
            </w:r>
            <w:r>
              <w:rPr>
                <w:rFonts w:hint="eastAsia" w:ascii="宋体" w:hAnsi="宋体" w:eastAsia="宋体" w:cs="宋体"/>
                <w:color w:val="000000"/>
                <w:spacing w:val="-12"/>
                <w:kern w:val="0"/>
                <w:sz w:val="18"/>
                <w:szCs w:val="18"/>
              </w:rPr>
              <w:t>本年财政拨款</w:t>
            </w:r>
          </w:p>
        </w:tc>
        <w:tc>
          <w:tcPr>
            <w:tcW w:w="1495" w:type="dxa"/>
            <w:noWrap w:val="0"/>
            <w:vAlign w:val="center"/>
          </w:tcPr>
          <w:p w14:paraId="5FBC317E">
            <w:pPr>
              <w:spacing w:line="2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253.3</w:t>
            </w:r>
          </w:p>
        </w:tc>
        <w:tc>
          <w:tcPr>
            <w:tcW w:w="1794" w:type="dxa"/>
            <w:gridSpan w:val="2"/>
            <w:noWrap w:val="0"/>
            <w:vAlign w:val="center"/>
          </w:tcPr>
          <w:p w14:paraId="6FBA14A5">
            <w:pPr>
              <w:spacing w:line="2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4150.18</w:t>
            </w:r>
          </w:p>
        </w:tc>
        <w:tc>
          <w:tcPr>
            <w:tcW w:w="819" w:type="dxa"/>
            <w:noWrap w:val="0"/>
            <w:vAlign w:val="center"/>
          </w:tcPr>
          <w:p w14:paraId="10568E5B">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117" w:type="dxa"/>
            <w:noWrap w:val="0"/>
            <w:vAlign w:val="center"/>
          </w:tcPr>
          <w:p w14:paraId="437E74CC">
            <w:pPr>
              <w:spacing w:line="28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1638.44</w:t>
            </w:r>
          </w:p>
        </w:tc>
        <w:tc>
          <w:tcPr>
            <w:tcW w:w="550" w:type="dxa"/>
            <w:noWrap w:val="0"/>
            <w:vAlign w:val="center"/>
          </w:tcPr>
          <w:p w14:paraId="11E5DB34">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14:paraId="12D6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296" w:type="dxa"/>
            <w:gridSpan w:val="3"/>
            <w:vMerge w:val="continue"/>
            <w:noWrap w:val="0"/>
            <w:vAlign w:val="center"/>
          </w:tcPr>
          <w:p w14:paraId="1AD3CD7F">
            <w:pPr>
              <w:spacing w:line="280" w:lineRule="exact"/>
              <w:jc w:val="left"/>
              <w:rPr>
                <w:rFonts w:hint="eastAsia" w:ascii="宋体" w:hAnsi="宋体" w:eastAsia="宋体" w:cs="宋体"/>
                <w:color w:val="000000"/>
                <w:kern w:val="0"/>
                <w:sz w:val="18"/>
                <w:szCs w:val="18"/>
              </w:rPr>
            </w:pPr>
          </w:p>
        </w:tc>
        <w:tc>
          <w:tcPr>
            <w:tcW w:w="1348" w:type="dxa"/>
            <w:gridSpan w:val="2"/>
            <w:noWrap w:val="0"/>
            <w:vAlign w:val="center"/>
          </w:tcPr>
          <w:p w14:paraId="03390BCA">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495" w:type="dxa"/>
            <w:noWrap w:val="0"/>
            <w:vAlign w:val="center"/>
          </w:tcPr>
          <w:p w14:paraId="4FB54A72">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94" w:type="dxa"/>
            <w:gridSpan w:val="2"/>
            <w:noWrap w:val="0"/>
            <w:vAlign w:val="center"/>
          </w:tcPr>
          <w:p w14:paraId="6B81EBCE">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19" w:type="dxa"/>
            <w:noWrap w:val="0"/>
            <w:vAlign w:val="center"/>
          </w:tcPr>
          <w:p w14:paraId="23EC4B18">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7" w:type="dxa"/>
            <w:noWrap w:val="0"/>
            <w:vAlign w:val="center"/>
          </w:tcPr>
          <w:p w14:paraId="1589936B">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0" w:type="dxa"/>
            <w:noWrap w:val="0"/>
            <w:vAlign w:val="center"/>
          </w:tcPr>
          <w:p w14:paraId="18B5B114">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5EF8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28" w:type="dxa"/>
            <w:vMerge w:val="restart"/>
            <w:noWrap w:val="0"/>
            <w:vAlign w:val="center"/>
          </w:tcPr>
          <w:p w14:paraId="4CCDF2D0">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年度总体目标完成情况</w:t>
            </w:r>
          </w:p>
        </w:tc>
        <w:tc>
          <w:tcPr>
            <w:tcW w:w="4511" w:type="dxa"/>
            <w:gridSpan w:val="5"/>
            <w:noWrap w:val="0"/>
            <w:vAlign w:val="center"/>
          </w:tcPr>
          <w:p w14:paraId="36E3F2CF">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年初设定目标</w:t>
            </w:r>
          </w:p>
        </w:tc>
        <w:tc>
          <w:tcPr>
            <w:tcW w:w="4280" w:type="dxa"/>
            <w:gridSpan w:val="5"/>
            <w:noWrap w:val="0"/>
            <w:vAlign w:val="center"/>
          </w:tcPr>
          <w:p w14:paraId="1904A36B">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年度总体目标完成情况综述</w:t>
            </w:r>
          </w:p>
        </w:tc>
      </w:tr>
      <w:tr w14:paraId="6AED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28" w:type="dxa"/>
            <w:vMerge w:val="continue"/>
            <w:noWrap w:val="0"/>
            <w:vAlign w:val="center"/>
          </w:tcPr>
          <w:p w14:paraId="34C01392">
            <w:pPr>
              <w:spacing w:line="280" w:lineRule="exact"/>
              <w:jc w:val="left"/>
              <w:rPr>
                <w:rFonts w:hint="eastAsia" w:ascii="宋体" w:hAnsi="宋体" w:eastAsia="宋体" w:cs="宋体"/>
                <w:color w:val="000000"/>
                <w:kern w:val="0"/>
                <w:sz w:val="18"/>
                <w:szCs w:val="18"/>
              </w:rPr>
            </w:pPr>
          </w:p>
        </w:tc>
        <w:tc>
          <w:tcPr>
            <w:tcW w:w="4511" w:type="dxa"/>
            <w:gridSpan w:val="5"/>
            <w:noWrap w:val="0"/>
            <w:vAlign w:val="top"/>
          </w:tcPr>
          <w:p w14:paraId="143B93A1">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目标1：资金准确、足额下达并及时发放到位</w:t>
            </w:r>
          </w:p>
          <w:p w14:paraId="7BEF1345">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目标2：落实好规定的补助标准</w:t>
            </w:r>
          </w:p>
          <w:p w14:paraId="69A9D09A">
            <w:pPr>
              <w:spacing w:line="280" w:lineRule="exact"/>
              <w:jc w:val="left"/>
              <w:rPr>
                <w:rFonts w:hint="eastAsia" w:ascii="宋体" w:hAnsi="宋体" w:eastAsia="宋体" w:cs="宋体"/>
                <w:color w:val="000000"/>
                <w:kern w:val="0"/>
                <w:sz w:val="18"/>
                <w:szCs w:val="18"/>
              </w:rPr>
            </w:pPr>
          </w:p>
        </w:tc>
        <w:tc>
          <w:tcPr>
            <w:tcW w:w="4280" w:type="dxa"/>
            <w:gridSpan w:val="5"/>
            <w:noWrap w:val="0"/>
            <w:vAlign w:val="top"/>
          </w:tcPr>
          <w:p w14:paraId="288EA851">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目标1完成情况：资金准确、足额下达并及时发放到位</w:t>
            </w:r>
          </w:p>
          <w:p w14:paraId="3970329E">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目标2完成情况：落实好规定的补助标准</w:t>
            </w:r>
          </w:p>
          <w:p w14:paraId="0E1E2D75">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3CE7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28" w:type="dxa"/>
            <w:vMerge w:val="continue"/>
            <w:noWrap w:val="0"/>
            <w:vAlign w:val="center"/>
          </w:tcPr>
          <w:p w14:paraId="77808ACE">
            <w:pPr>
              <w:spacing w:line="280" w:lineRule="exact"/>
              <w:jc w:val="left"/>
              <w:rPr>
                <w:rFonts w:hint="eastAsia" w:ascii="宋体" w:hAnsi="宋体" w:eastAsia="宋体" w:cs="宋体"/>
                <w:color w:val="000000"/>
                <w:kern w:val="0"/>
                <w:sz w:val="18"/>
                <w:szCs w:val="18"/>
              </w:rPr>
            </w:pPr>
          </w:p>
        </w:tc>
        <w:tc>
          <w:tcPr>
            <w:tcW w:w="4511" w:type="dxa"/>
            <w:gridSpan w:val="5"/>
            <w:noWrap w:val="0"/>
            <w:vAlign w:val="top"/>
          </w:tcPr>
          <w:p w14:paraId="64938049">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存在的问题：无</w:t>
            </w:r>
          </w:p>
        </w:tc>
        <w:tc>
          <w:tcPr>
            <w:tcW w:w="4280" w:type="dxa"/>
            <w:gridSpan w:val="5"/>
            <w:noWrap w:val="0"/>
            <w:vAlign w:val="top"/>
          </w:tcPr>
          <w:p w14:paraId="579454EA">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整改的措施与建议：无</w:t>
            </w:r>
          </w:p>
        </w:tc>
      </w:tr>
      <w:tr w14:paraId="7C64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vMerge w:val="restart"/>
            <w:noWrap w:val="0"/>
            <w:vAlign w:val="center"/>
          </w:tcPr>
          <w:p w14:paraId="65D87ECF">
            <w:pPr>
              <w:spacing w:line="280" w:lineRule="exact"/>
              <w:jc w:val="center"/>
              <w:rPr>
                <w:rFonts w:hint="eastAsia" w:ascii="宋体" w:hAnsi="宋体" w:eastAsia="宋体" w:cs="宋体"/>
                <w:color w:val="000000"/>
                <w:kern w:val="0"/>
                <w:sz w:val="18"/>
                <w:szCs w:val="18"/>
              </w:rPr>
            </w:pPr>
          </w:p>
          <w:p w14:paraId="0F6B2271">
            <w:pPr>
              <w:spacing w:line="280" w:lineRule="exact"/>
              <w:jc w:val="center"/>
              <w:rPr>
                <w:rFonts w:hint="eastAsia" w:ascii="宋体" w:hAnsi="宋体" w:eastAsia="宋体" w:cs="宋体"/>
                <w:color w:val="000000"/>
                <w:kern w:val="0"/>
                <w:sz w:val="18"/>
                <w:szCs w:val="18"/>
              </w:rPr>
            </w:pPr>
          </w:p>
          <w:p w14:paraId="3BA88937">
            <w:pPr>
              <w:spacing w:line="280" w:lineRule="exact"/>
              <w:jc w:val="center"/>
              <w:rPr>
                <w:rFonts w:hint="eastAsia" w:ascii="宋体" w:hAnsi="宋体" w:eastAsia="宋体" w:cs="宋体"/>
                <w:color w:val="000000"/>
                <w:kern w:val="0"/>
                <w:sz w:val="18"/>
                <w:szCs w:val="18"/>
              </w:rPr>
            </w:pPr>
          </w:p>
          <w:p w14:paraId="0DCEECB7">
            <w:pPr>
              <w:spacing w:line="280" w:lineRule="exact"/>
              <w:jc w:val="center"/>
              <w:rPr>
                <w:rFonts w:hint="eastAsia" w:ascii="宋体" w:hAnsi="宋体" w:eastAsia="宋体" w:cs="宋体"/>
                <w:color w:val="000000"/>
                <w:kern w:val="0"/>
                <w:sz w:val="18"/>
                <w:szCs w:val="18"/>
              </w:rPr>
            </w:pPr>
          </w:p>
          <w:p w14:paraId="351FDE04">
            <w:pPr>
              <w:spacing w:line="280" w:lineRule="exact"/>
              <w:jc w:val="center"/>
              <w:rPr>
                <w:rFonts w:hint="eastAsia" w:ascii="宋体" w:hAnsi="宋体" w:eastAsia="宋体" w:cs="宋体"/>
                <w:color w:val="000000"/>
                <w:kern w:val="0"/>
                <w:sz w:val="18"/>
                <w:szCs w:val="18"/>
              </w:rPr>
            </w:pPr>
          </w:p>
          <w:p w14:paraId="1B13F371">
            <w:pPr>
              <w:spacing w:line="280" w:lineRule="exact"/>
              <w:jc w:val="center"/>
              <w:rPr>
                <w:rFonts w:hint="eastAsia" w:ascii="宋体" w:hAnsi="宋体" w:eastAsia="宋体" w:cs="宋体"/>
                <w:color w:val="000000"/>
                <w:kern w:val="0"/>
                <w:sz w:val="18"/>
                <w:szCs w:val="18"/>
              </w:rPr>
            </w:pPr>
          </w:p>
          <w:p w14:paraId="18CF8CF9">
            <w:pPr>
              <w:spacing w:line="280" w:lineRule="exact"/>
              <w:jc w:val="center"/>
              <w:rPr>
                <w:rFonts w:hint="eastAsia" w:ascii="宋体" w:hAnsi="宋体" w:eastAsia="宋体" w:cs="宋体"/>
                <w:color w:val="000000"/>
                <w:kern w:val="0"/>
                <w:sz w:val="18"/>
                <w:szCs w:val="18"/>
              </w:rPr>
            </w:pPr>
          </w:p>
          <w:p w14:paraId="458EAF99">
            <w:pPr>
              <w:spacing w:line="280" w:lineRule="exact"/>
              <w:jc w:val="center"/>
              <w:rPr>
                <w:rFonts w:hint="eastAsia" w:ascii="宋体" w:hAnsi="宋体" w:eastAsia="宋体" w:cs="宋体"/>
                <w:color w:val="000000"/>
                <w:kern w:val="0"/>
                <w:sz w:val="18"/>
                <w:szCs w:val="18"/>
              </w:rPr>
            </w:pPr>
          </w:p>
          <w:p w14:paraId="20533FCA">
            <w:pPr>
              <w:spacing w:line="280" w:lineRule="exact"/>
              <w:jc w:val="center"/>
              <w:rPr>
                <w:rFonts w:hint="eastAsia" w:ascii="宋体" w:hAnsi="宋体" w:eastAsia="宋体" w:cs="宋体"/>
                <w:color w:val="000000"/>
                <w:kern w:val="0"/>
                <w:sz w:val="18"/>
                <w:szCs w:val="18"/>
              </w:rPr>
            </w:pPr>
          </w:p>
          <w:p w14:paraId="37C70C58">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年度绩效指标完成情况</w:t>
            </w:r>
          </w:p>
          <w:p w14:paraId="421C3531">
            <w:pPr>
              <w:spacing w:line="280" w:lineRule="exact"/>
              <w:jc w:val="center"/>
              <w:rPr>
                <w:rFonts w:hint="eastAsia" w:ascii="宋体" w:hAnsi="宋体" w:eastAsia="宋体" w:cs="宋体"/>
                <w:color w:val="000000"/>
                <w:kern w:val="0"/>
                <w:sz w:val="18"/>
                <w:szCs w:val="18"/>
              </w:rPr>
            </w:pPr>
          </w:p>
          <w:p w14:paraId="549B4DEC">
            <w:pPr>
              <w:spacing w:line="280" w:lineRule="exact"/>
              <w:jc w:val="center"/>
              <w:rPr>
                <w:rFonts w:hint="eastAsia" w:ascii="宋体" w:hAnsi="宋体" w:eastAsia="宋体" w:cs="宋体"/>
                <w:color w:val="000000"/>
                <w:kern w:val="0"/>
                <w:sz w:val="18"/>
                <w:szCs w:val="18"/>
              </w:rPr>
            </w:pPr>
          </w:p>
          <w:p w14:paraId="67573F1D">
            <w:pPr>
              <w:spacing w:line="280" w:lineRule="exact"/>
              <w:jc w:val="center"/>
              <w:rPr>
                <w:rFonts w:hint="eastAsia" w:ascii="宋体" w:hAnsi="宋体" w:eastAsia="宋体" w:cs="宋体"/>
                <w:color w:val="000000"/>
                <w:kern w:val="0"/>
                <w:sz w:val="18"/>
                <w:szCs w:val="18"/>
              </w:rPr>
            </w:pPr>
          </w:p>
          <w:p w14:paraId="1C7591E0">
            <w:pPr>
              <w:spacing w:line="280" w:lineRule="exact"/>
              <w:jc w:val="center"/>
              <w:rPr>
                <w:rFonts w:hint="eastAsia" w:ascii="宋体" w:hAnsi="宋体" w:eastAsia="宋体" w:cs="宋体"/>
                <w:color w:val="000000"/>
                <w:kern w:val="0"/>
                <w:sz w:val="18"/>
                <w:szCs w:val="18"/>
              </w:rPr>
            </w:pPr>
          </w:p>
          <w:p w14:paraId="4192D122">
            <w:pPr>
              <w:spacing w:line="280" w:lineRule="exact"/>
              <w:jc w:val="center"/>
              <w:rPr>
                <w:rFonts w:hint="eastAsia" w:ascii="宋体" w:hAnsi="宋体" w:eastAsia="宋体" w:cs="宋体"/>
                <w:color w:val="000000"/>
                <w:kern w:val="0"/>
                <w:sz w:val="18"/>
                <w:szCs w:val="18"/>
              </w:rPr>
            </w:pPr>
          </w:p>
          <w:p w14:paraId="02830791">
            <w:pPr>
              <w:spacing w:line="280" w:lineRule="exact"/>
              <w:jc w:val="center"/>
              <w:rPr>
                <w:rFonts w:hint="eastAsia" w:ascii="宋体" w:hAnsi="宋体" w:eastAsia="宋体" w:cs="宋体"/>
                <w:color w:val="000000"/>
                <w:kern w:val="0"/>
                <w:sz w:val="18"/>
                <w:szCs w:val="18"/>
              </w:rPr>
            </w:pPr>
          </w:p>
          <w:p w14:paraId="3ED20414">
            <w:pPr>
              <w:spacing w:line="280" w:lineRule="exact"/>
              <w:jc w:val="center"/>
              <w:rPr>
                <w:rFonts w:hint="eastAsia" w:ascii="宋体" w:hAnsi="宋体" w:eastAsia="宋体" w:cs="宋体"/>
                <w:color w:val="000000"/>
                <w:kern w:val="0"/>
                <w:sz w:val="18"/>
                <w:szCs w:val="18"/>
              </w:rPr>
            </w:pPr>
          </w:p>
          <w:p w14:paraId="52AAF1EE">
            <w:pPr>
              <w:spacing w:line="280" w:lineRule="exact"/>
              <w:jc w:val="center"/>
              <w:rPr>
                <w:rFonts w:hint="eastAsia" w:ascii="宋体" w:hAnsi="宋体" w:eastAsia="宋体" w:cs="宋体"/>
                <w:color w:val="000000"/>
                <w:kern w:val="0"/>
                <w:sz w:val="18"/>
                <w:szCs w:val="18"/>
              </w:rPr>
            </w:pPr>
          </w:p>
          <w:p w14:paraId="550B798A">
            <w:pPr>
              <w:spacing w:line="280" w:lineRule="exact"/>
              <w:jc w:val="center"/>
              <w:rPr>
                <w:rFonts w:hint="eastAsia" w:ascii="宋体" w:hAnsi="宋体" w:eastAsia="宋体" w:cs="宋体"/>
                <w:color w:val="000000"/>
                <w:kern w:val="0"/>
                <w:sz w:val="18"/>
                <w:szCs w:val="18"/>
              </w:rPr>
            </w:pPr>
          </w:p>
          <w:p w14:paraId="085BF12A">
            <w:pPr>
              <w:spacing w:line="280" w:lineRule="exact"/>
              <w:jc w:val="center"/>
              <w:rPr>
                <w:rFonts w:hint="eastAsia" w:ascii="宋体" w:hAnsi="宋体" w:eastAsia="宋体" w:cs="宋体"/>
                <w:color w:val="000000"/>
                <w:kern w:val="0"/>
                <w:sz w:val="18"/>
                <w:szCs w:val="18"/>
              </w:rPr>
            </w:pPr>
          </w:p>
          <w:p w14:paraId="5101D701">
            <w:pPr>
              <w:spacing w:line="280" w:lineRule="exact"/>
              <w:jc w:val="center"/>
              <w:rPr>
                <w:rFonts w:hint="eastAsia" w:ascii="宋体" w:hAnsi="宋体" w:eastAsia="宋体" w:cs="宋体"/>
                <w:color w:val="000000"/>
                <w:kern w:val="0"/>
                <w:sz w:val="18"/>
                <w:szCs w:val="18"/>
              </w:rPr>
            </w:pPr>
          </w:p>
        </w:tc>
        <w:tc>
          <w:tcPr>
            <w:tcW w:w="673" w:type="dxa"/>
            <w:noWrap w:val="0"/>
            <w:vAlign w:val="center"/>
          </w:tcPr>
          <w:p w14:paraId="3BC035D6">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w:t>
            </w:r>
          </w:p>
          <w:p w14:paraId="685E0C48">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995" w:type="dxa"/>
            <w:noWrap w:val="0"/>
            <w:vAlign w:val="center"/>
          </w:tcPr>
          <w:p w14:paraId="03767816">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301" w:type="dxa"/>
            <w:noWrap w:val="0"/>
            <w:vAlign w:val="center"/>
          </w:tcPr>
          <w:p w14:paraId="687D2876">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542" w:type="dxa"/>
            <w:gridSpan w:val="2"/>
            <w:noWrap w:val="0"/>
            <w:vAlign w:val="center"/>
          </w:tcPr>
          <w:p w14:paraId="1DC3C8B9">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95" w:type="dxa"/>
            <w:noWrap w:val="0"/>
            <w:vAlign w:val="center"/>
          </w:tcPr>
          <w:p w14:paraId="012BEDF0">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w:t>
            </w:r>
          </w:p>
          <w:p w14:paraId="2B9E900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899" w:type="dxa"/>
            <w:noWrap w:val="0"/>
            <w:vAlign w:val="center"/>
          </w:tcPr>
          <w:p w14:paraId="3CFDE5D8">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w:t>
            </w:r>
          </w:p>
          <w:p w14:paraId="5242B6AE">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实际值</w:t>
            </w:r>
          </w:p>
        </w:tc>
        <w:tc>
          <w:tcPr>
            <w:tcW w:w="819" w:type="dxa"/>
            <w:noWrap w:val="0"/>
            <w:vAlign w:val="center"/>
          </w:tcPr>
          <w:p w14:paraId="439CC809">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667" w:type="dxa"/>
            <w:gridSpan w:val="2"/>
            <w:noWrap w:val="0"/>
            <w:vAlign w:val="center"/>
          </w:tcPr>
          <w:p w14:paraId="446C8E27">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评价得分</w:t>
            </w:r>
          </w:p>
          <w:p w14:paraId="7E12DE21">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说明</w:t>
            </w:r>
          </w:p>
        </w:tc>
      </w:tr>
      <w:tr w14:paraId="09F7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Merge w:val="continue"/>
            <w:noWrap w:val="0"/>
            <w:vAlign w:val="center"/>
          </w:tcPr>
          <w:p w14:paraId="600332C3">
            <w:pPr>
              <w:spacing w:line="280" w:lineRule="exact"/>
              <w:jc w:val="left"/>
              <w:rPr>
                <w:rFonts w:hint="eastAsia" w:ascii="宋体" w:hAnsi="宋体" w:eastAsia="宋体" w:cs="宋体"/>
                <w:color w:val="000000"/>
                <w:kern w:val="0"/>
                <w:sz w:val="18"/>
                <w:szCs w:val="18"/>
              </w:rPr>
            </w:pPr>
          </w:p>
        </w:tc>
        <w:tc>
          <w:tcPr>
            <w:tcW w:w="673" w:type="dxa"/>
            <w:vMerge w:val="restart"/>
            <w:noWrap w:val="0"/>
            <w:vAlign w:val="center"/>
          </w:tcPr>
          <w:p w14:paraId="3029281F">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w:t>
            </w:r>
          </w:p>
          <w:p w14:paraId="6CF5E109">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出</w:t>
            </w:r>
          </w:p>
          <w:p w14:paraId="33E29681">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w:t>
            </w:r>
          </w:p>
          <w:p w14:paraId="2E5ACDB9">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标</w:t>
            </w:r>
          </w:p>
          <w:p w14:paraId="71226D75">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(50分)</w:t>
            </w:r>
          </w:p>
        </w:tc>
        <w:tc>
          <w:tcPr>
            <w:tcW w:w="995" w:type="dxa"/>
            <w:noWrap w:val="0"/>
            <w:vAlign w:val="center"/>
          </w:tcPr>
          <w:p w14:paraId="61571F2A">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301" w:type="dxa"/>
            <w:noWrap w:val="0"/>
            <w:vAlign w:val="center"/>
          </w:tcPr>
          <w:p w14:paraId="0F608445">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发放情况　</w:t>
            </w:r>
          </w:p>
        </w:tc>
        <w:tc>
          <w:tcPr>
            <w:tcW w:w="1542" w:type="dxa"/>
            <w:gridSpan w:val="2"/>
            <w:noWrap w:val="0"/>
            <w:vAlign w:val="center"/>
          </w:tcPr>
          <w:p w14:paraId="1229580B">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895" w:type="dxa"/>
            <w:noWrap w:val="0"/>
            <w:vAlign w:val="center"/>
          </w:tcPr>
          <w:p w14:paraId="17752635">
            <w:pPr>
              <w:spacing w:line="280" w:lineRule="exact"/>
              <w:jc w:val="center"/>
              <w:rPr>
                <w:rFonts w:hint="eastAsia" w:ascii="宋体" w:hAnsi="宋体" w:eastAsia="宋体" w:cs="宋体"/>
                <w:color w:val="000000"/>
                <w:kern w:val="0"/>
                <w:sz w:val="18"/>
                <w:szCs w:val="18"/>
              </w:rPr>
            </w:pPr>
          </w:p>
        </w:tc>
        <w:tc>
          <w:tcPr>
            <w:tcW w:w="899" w:type="dxa"/>
            <w:noWrap w:val="0"/>
            <w:vAlign w:val="center"/>
          </w:tcPr>
          <w:p w14:paraId="2A64ECCE">
            <w:pPr>
              <w:spacing w:line="280" w:lineRule="exact"/>
              <w:jc w:val="center"/>
              <w:rPr>
                <w:rFonts w:hint="eastAsia" w:ascii="宋体" w:hAnsi="宋体" w:eastAsia="宋体" w:cs="宋体"/>
                <w:color w:val="000000"/>
                <w:kern w:val="0"/>
                <w:sz w:val="18"/>
                <w:szCs w:val="18"/>
              </w:rPr>
            </w:pPr>
          </w:p>
        </w:tc>
        <w:tc>
          <w:tcPr>
            <w:tcW w:w="819" w:type="dxa"/>
            <w:noWrap w:val="0"/>
            <w:vAlign w:val="center"/>
          </w:tcPr>
          <w:p w14:paraId="15E501BF">
            <w:pPr>
              <w:spacing w:line="280" w:lineRule="exact"/>
              <w:ind w:firstLine="174"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667" w:type="dxa"/>
            <w:gridSpan w:val="2"/>
            <w:noWrap w:val="0"/>
            <w:vAlign w:val="center"/>
          </w:tcPr>
          <w:p w14:paraId="30D52418">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资金准确、足额下达并发放到位　</w:t>
            </w:r>
          </w:p>
        </w:tc>
      </w:tr>
      <w:tr w14:paraId="2CD8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28" w:type="dxa"/>
            <w:vMerge w:val="continue"/>
            <w:noWrap w:val="0"/>
            <w:vAlign w:val="center"/>
          </w:tcPr>
          <w:p w14:paraId="442789EB">
            <w:pPr>
              <w:spacing w:line="280" w:lineRule="exact"/>
              <w:jc w:val="left"/>
              <w:rPr>
                <w:rFonts w:hint="eastAsia" w:ascii="宋体" w:hAnsi="宋体" w:eastAsia="宋体" w:cs="宋体"/>
                <w:color w:val="000000"/>
                <w:kern w:val="0"/>
                <w:sz w:val="18"/>
                <w:szCs w:val="18"/>
              </w:rPr>
            </w:pPr>
          </w:p>
        </w:tc>
        <w:tc>
          <w:tcPr>
            <w:tcW w:w="673" w:type="dxa"/>
            <w:vMerge w:val="continue"/>
            <w:noWrap w:val="0"/>
            <w:vAlign w:val="center"/>
          </w:tcPr>
          <w:p w14:paraId="7994A265">
            <w:pPr>
              <w:spacing w:line="280" w:lineRule="exact"/>
              <w:jc w:val="left"/>
              <w:rPr>
                <w:rFonts w:hint="eastAsia" w:ascii="宋体" w:hAnsi="宋体" w:eastAsia="宋体" w:cs="宋体"/>
                <w:kern w:val="0"/>
                <w:sz w:val="18"/>
                <w:szCs w:val="18"/>
              </w:rPr>
            </w:pPr>
          </w:p>
        </w:tc>
        <w:tc>
          <w:tcPr>
            <w:tcW w:w="995" w:type="dxa"/>
            <w:noWrap w:val="0"/>
            <w:vAlign w:val="center"/>
          </w:tcPr>
          <w:p w14:paraId="796E0817">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301" w:type="dxa"/>
            <w:noWrap w:val="0"/>
            <w:vAlign w:val="center"/>
          </w:tcPr>
          <w:p w14:paraId="3B2842BC">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补助标准　</w:t>
            </w:r>
          </w:p>
        </w:tc>
        <w:tc>
          <w:tcPr>
            <w:tcW w:w="1542" w:type="dxa"/>
            <w:gridSpan w:val="2"/>
            <w:noWrap w:val="0"/>
            <w:vAlign w:val="center"/>
          </w:tcPr>
          <w:p w14:paraId="1D9ABA33">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895" w:type="dxa"/>
            <w:noWrap w:val="0"/>
            <w:vAlign w:val="center"/>
          </w:tcPr>
          <w:p w14:paraId="4C02C23E">
            <w:pPr>
              <w:spacing w:line="280" w:lineRule="exact"/>
              <w:jc w:val="center"/>
              <w:rPr>
                <w:rFonts w:hint="eastAsia" w:ascii="宋体" w:hAnsi="宋体" w:eastAsia="宋体" w:cs="宋体"/>
                <w:color w:val="000000"/>
                <w:kern w:val="0"/>
                <w:sz w:val="18"/>
                <w:szCs w:val="18"/>
              </w:rPr>
            </w:pPr>
          </w:p>
        </w:tc>
        <w:tc>
          <w:tcPr>
            <w:tcW w:w="899" w:type="dxa"/>
            <w:noWrap w:val="0"/>
            <w:vAlign w:val="center"/>
          </w:tcPr>
          <w:p w14:paraId="1EDBEEC8">
            <w:pPr>
              <w:spacing w:line="280" w:lineRule="exact"/>
              <w:jc w:val="center"/>
              <w:rPr>
                <w:rFonts w:hint="eastAsia" w:ascii="宋体" w:hAnsi="宋体" w:eastAsia="宋体" w:cs="宋体"/>
                <w:color w:val="000000"/>
                <w:kern w:val="0"/>
                <w:sz w:val="18"/>
                <w:szCs w:val="18"/>
              </w:rPr>
            </w:pPr>
          </w:p>
        </w:tc>
        <w:tc>
          <w:tcPr>
            <w:tcW w:w="819" w:type="dxa"/>
            <w:noWrap w:val="0"/>
            <w:vAlign w:val="center"/>
          </w:tcPr>
          <w:p w14:paraId="69C82386">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667" w:type="dxa"/>
            <w:gridSpan w:val="2"/>
            <w:noWrap w:val="0"/>
            <w:vAlign w:val="center"/>
          </w:tcPr>
          <w:p w14:paraId="4A666758">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落实好规定的补助标准　</w:t>
            </w:r>
          </w:p>
        </w:tc>
      </w:tr>
      <w:tr w14:paraId="7501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28" w:type="dxa"/>
            <w:vMerge w:val="continue"/>
            <w:noWrap w:val="0"/>
            <w:vAlign w:val="center"/>
          </w:tcPr>
          <w:p w14:paraId="5A07ECAD">
            <w:pPr>
              <w:spacing w:line="280" w:lineRule="exact"/>
              <w:jc w:val="left"/>
              <w:rPr>
                <w:rFonts w:hint="eastAsia" w:ascii="宋体" w:hAnsi="宋体" w:eastAsia="宋体" w:cs="宋体"/>
                <w:color w:val="000000"/>
                <w:kern w:val="0"/>
                <w:sz w:val="18"/>
                <w:szCs w:val="18"/>
              </w:rPr>
            </w:pPr>
          </w:p>
        </w:tc>
        <w:tc>
          <w:tcPr>
            <w:tcW w:w="673" w:type="dxa"/>
            <w:vMerge w:val="continue"/>
            <w:noWrap w:val="0"/>
            <w:vAlign w:val="center"/>
          </w:tcPr>
          <w:p w14:paraId="3957C1CD">
            <w:pPr>
              <w:spacing w:line="280" w:lineRule="exact"/>
              <w:jc w:val="left"/>
              <w:rPr>
                <w:rFonts w:hint="eastAsia" w:ascii="宋体" w:hAnsi="宋体" w:eastAsia="宋体" w:cs="宋体"/>
                <w:kern w:val="0"/>
                <w:sz w:val="18"/>
                <w:szCs w:val="18"/>
              </w:rPr>
            </w:pPr>
          </w:p>
        </w:tc>
        <w:tc>
          <w:tcPr>
            <w:tcW w:w="995" w:type="dxa"/>
            <w:noWrap w:val="0"/>
            <w:vAlign w:val="center"/>
          </w:tcPr>
          <w:p w14:paraId="377CFC2D">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1301" w:type="dxa"/>
            <w:noWrap w:val="0"/>
            <w:vAlign w:val="center"/>
          </w:tcPr>
          <w:p w14:paraId="3D508FA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发放时效性　</w:t>
            </w:r>
          </w:p>
        </w:tc>
        <w:tc>
          <w:tcPr>
            <w:tcW w:w="1542" w:type="dxa"/>
            <w:gridSpan w:val="2"/>
            <w:noWrap w:val="0"/>
            <w:vAlign w:val="center"/>
          </w:tcPr>
          <w:p w14:paraId="69135DCE">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95" w:type="dxa"/>
            <w:noWrap w:val="0"/>
            <w:vAlign w:val="center"/>
          </w:tcPr>
          <w:p w14:paraId="534AC97A">
            <w:pPr>
              <w:spacing w:line="280" w:lineRule="exact"/>
              <w:jc w:val="center"/>
              <w:rPr>
                <w:rFonts w:hint="eastAsia" w:ascii="宋体" w:hAnsi="宋体" w:eastAsia="宋体" w:cs="宋体"/>
                <w:color w:val="000000"/>
                <w:kern w:val="0"/>
                <w:sz w:val="18"/>
                <w:szCs w:val="18"/>
              </w:rPr>
            </w:pPr>
          </w:p>
        </w:tc>
        <w:tc>
          <w:tcPr>
            <w:tcW w:w="899" w:type="dxa"/>
            <w:noWrap w:val="0"/>
            <w:vAlign w:val="center"/>
          </w:tcPr>
          <w:p w14:paraId="0B7E69D6">
            <w:pPr>
              <w:spacing w:line="280" w:lineRule="exact"/>
              <w:jc w:val="center"/>
              <w:rPr>
                <w:rFonts w:hint="eastAsia" w:ascii="宋体" w:hAnsi="宋体" w:eastAsia="宋体" w:cs="宋体"/>
                <w:color w:val="000000"/>
                <w:kern w:val="0"/>
                <w:sz w:val="18"/>
                <w:szCs w:val="18"/>
              </w:rPr>
            </w:pPr>
          </w:p>
        </w:tc>
        <w:tc>
          <w:tcPr>
            <w:tcW w:w="819" w:type="dxa"/>
            <w:noWrap w:val="0"/>
            <w:vAlign w:val="center"/>
          </w:tcPr>
          <w:p w14:paraId="085305AE">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667" w:type="dxa"/>
            <w:gridSpan w:val="2"/>
            <w:noWrap w:val="0"/>
            <w:vAlign w:val="center"/>
          </w:tcPr>
          <w:p w14:paraId="1F783078">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及时发放　</w:t>
            </w:r>
          </w:p>
        </w:tc>
      </w:tr>
      <w:tr w14:paraId="5AF8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8" w:type="dxa"/>
            <w:vMerge w:val="continue"/>
            <w:noWrap w:val="0"/>
            <w:vAlign w:val="center"/>
          </w:tcPr>
          <w:p w14:paraId="7FAB6C15">
            <w:pPr>
              <w:spacing w:line="280" w:lineRule="exact"/>
              <w:jc w:val="left"/>
              <w:rPr>
                <w:rFonts w:hint="eastAsia" w:ascii="宋体" w:hAnsi="宋体" w:eastAsia="宋体" w:cs="宋体"/>
                <w:color w:val="000000"/>
                <w:kern w:val="0"/>
                <w:sz w:val="18"/>
                <w:szCs w:val="18"/>
              </w:rPr>
            </w:pPr>
          </w:p>
        </w:tc>
        <w:tc>
          <w:tcPr>
            <w:tcW w:w="673" w:type="dxa"/>
            <w:vMerge w:val="continue"/>
            <w:noWrap w:val="0"/>
            <w:vAlign w:val="center"/>
          </w:tcPr>
          <w:p w14:paraId="1816A17B">
            <w:pPr>
              <w:spacing w:line="280" w:lineRule="exact"/>
              <w:jc w:val="left"/>
              <w:rPr>
                <w:rFonts w:hint="eastAsia" w:ascii="宋体" w:hAnsi="宋体" w:eastAsia="宋体" w:cs="宋体"/>
                <w:kern w:val="0"/>
                <w:sz w:val="18"/>
                <w:szCs w:val="18"/>
              </w:rPr>
            </w:pPr>
          </w:p>
        </w:tc>
        <w:tc>
          <w:tcPr>
            <w:tcW w:w="995" w:type="dxa"/>
            <w:noWrap w:val="0"/>
            <w:vAlign w:val="center"/>
          </w:tcPr>
          <w:p w14:paraId="6BA2D2AE">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301" w:type="dxa"/>
            <w:noWrap w:val="0"/>
            <w:vAlign w:val="center"/>
          </w:tcPr>
          <w:p w14:paraId="66AE35B0">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资金到位及时率　</w:t>
            </w:r>
          </w:p>
        </w:tc>
        <w:tc>
          <w:tcPr>
            <w:tcW w:w="1542" w:type="dxa"/>
            <w:gridSpan w:val="2"/>
            <w:noWrap w:val="0"/>
            <w:vAlign w:val="center"/>
          </w:tcPr>
          <w:p w14:paraId="7A89D2EF">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95" w:type="dxa"/>
            <w:noWrap w:val="0"/>
            <w:vAlign w:val="center"/>
          </w:tcPr>
          <w:p w14:paraId="028DFF97">
            <w:pPr>
              <w:spacing w:line="280" w:lineRule="exact"/>
              <w:jc w:val="center"/>
              <w:rPr>
                <w:rFonts w:hint="eastAsia" w:ascii="宋体" w:hAnsi="宋体" w:eastAsia="宋体" w:cs="宋体"/>
                <w:color w:val="000000"/>
                <w:kern w:val="0"/>
                <w:sz w:val="18"/>
                <w:szCs w:val="18"/>
              </w:rPr>
            </w:pPr>
          </w:p>
        </w:tc>
        <w:tc>
          <w:tcPr>
            <w:tcW w:w="899" w:type="dxa"/>
            <w:noWrap w:val="0"/>
            <w:vAlign w:val="center"/>
          </w:tcPr>
          <w:p w14:paraId="6CEDF6D4">
            <w:pPr>
              <w:spacing w:line="280" w:lineRule="exact"/>
              <w:jc w:val="center"/>
              <w:rPr>
                <w:rFonts w:hint="eastAsia" w:ascii="宋体" w:hAnsi="宋体" w:eastAsia="宋体" w:cs="宋体"/>
                <w:color w:val="000000"/>
                <w:kern w:val="0"/>
                <w:sz w:val="18"/>
                <w:szCs w:val="18"/>
              </w:rPr>
            </w:pPr>
          </w:p>
        </w:tc>
        <w:tc>
          <w:tcPr>
            <w:tcW w:w="819" w:type="dxa"/>
            <w:noWrap w:val="0"/>
            <w:vAlign w:val="center"/>
          </w:tcPr>
          <w:p w14:paraId="2C942AAC">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667" w:type="dxa"/>
            <w:gridSpan w:val="2"/>
            <w:noWrap w:val="0"/>
            <w:vAlign w:val="center"/>
          </w:tcPr>
          <w:p w14:paraId="324E85D5">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057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28" w:type="dxa"/>
            <w:vMerge w:val="continue"/>
            <w:noWrap w:val="0"/>
            <w:vAlign w:val="center"/>
          </w:tcPr>
          <w:p w14:paraId="20C16180">
            <w:pPr>
              <w:spacing w:line="280" w:lineRule="exact"/>
              <w:jc w:val="left"/>
              <w:rPr>
                <w:rFonts w:hint="eastAsia" w:ascii="宋体" w:hAnsi="宋体" w:eastAsia="宋体" w:cs="宋体"/>
                <w:color w:val="000000"/>
                <w:kern w:val="0"/>
                <w:sz w:val="18"/>
                <w:szCs w:val="18"/>
              </w:rPr>
            </w:pPr>
          </w:p>
        </w:tc>
        <w:tc>
          <w:tcPr>
            <w:tcW w:w="673" w:type="dxa"/>
            <w:vMerge w:val="restart"/>
            <w:noWrap w:val="0"/>
            <w:vAlign w:val="center"/>
          </w:tcPr>
          <w:p w14:paraId="052C5932">
            <w:pPr>
              <w:spacing w:line="280" w:lineRule="exact"/>
              <w:jc w:val="center"/>
              <w:rPr>
                <w:rFonts w:hint="eastAsia" w:ascii="宋体" w:hAnsi="宋体" w:eastAsia="宋体" w:cs="宋体"/>
                <w:kern w:val="0"/>
                <w:sz w:val="18"/>
                <w:szCs w:val="18"/>
              </w:rPr>
            </w:pPr>
          </w:p>
          <w:p w14:paraId="1C0234B5">
            <w:pPr>
              <w:spacing w:line="280" w:lineRule="exact"/>
              <w:jc w:val="center"/>
              <w:rPr>
                <w:rFonts w:hint="eastAsia" w:ascii="宋体" w:hAnsi="宋体" w:eastAsia="宋体" w:cs="宋体"/>
                <w:kern w:val="0"/>
                <w:sz w:val="18"/>
                <w:szCs w:val="18"/>
              </w:rPr>
            </w:pPr>
          </w:p>
          <w:p w14:paraId="598CC71D">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w:t>
            </w:r>
          </w:p>
          <w:p w14:paraId="4314B1E6">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益</w:t>
            </w:r>
          </w:p>
          <w:p w14:paraId="796E8792">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w:t>
            </w:r>
          </w:p>
          <w:p w14:paraId="15806BB3">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标</w:t>
            </w:r>
          </w:p>
          <w:p w14:paraId="312566C2">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(30分)</w:t>
            </w:r>
          </w:p>
          <w:p w14:paraId="0221957A">
            <w:pPr>
              <w:spacing w:line="280" w:lineRule="exact"/>
              <w:jc w:val="center"/>
              <w:rPr>
                <w:rFonts w:hint="eastAsia" w:ascii="宋体" w:hAnsi="宋体" w:eastAsia="宋体" w:cs="宋体"/>
                <w:kern w:val="0"/>
                <w:sz w:val="18"/>
                <w:szCs w:val="18"/>
              </w:rPr>
            </w:pPr>
          </w:p>
          <w:p w14:paraId="2FD7E601">
            <w:pPr>
              <w:spacing w:line="280" w:lineRule="exact"/>
              <w:jc w:val="center"/>
              <w:rPr>
                <w:rFonts w:hint="eastAsia" w:ascii="宋体" w:hAnsi="宋体" w:eastAsia="宋体" w:cs="宋体"/>
                <w:kern w:val="0"/>
                <w:sz w:val="18"/>
                <w:szCs w:val="18"/>
              </w:rPr>
            </w:pPr>
          </w:p>
        </w:tc>
        <w:tc>
          <w:tcPr>
            <w:tcW w:w="995" w:type="dxa"/>
            <w:noWrap w:val="0"/>
            <w:vAlign w:val="center"/>
          </w:tcPr>
          <w:p w14:paraId="7A458036">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14:paraId="4D718CC9">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301" w:type="dxa"/>
            <w:noWrap w:val="0"/>
            <w:vAlign w:val="center"/>
          </w:tcPr>
          <w:p w14:paraId="3FADDB03">
            <w:pPr>
              <w:spacing w:line="280" w:lineRule="exact"/>
              <w:ind w:firstLine="174" w:firstLineChars="1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及时有效性</w:t>
            </w:r>
          </w:p>
        </w:tc>
        <w:tc>
          <w:tcPr>
            <w:tcW w:w="1542" w:type="dxa"/>
            <w:gridSpan w:val="2"/>
            <w:noWrap w:val="0"/>
            <w:vAlign w:val="center"/>
          </w:tcPr>
          <w:p w14:paraId="57367D0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95" w:type="dxa"/>
            <w:noWrap w:val="0"/>
            <w:vAlign w:val="center"/>
          </w:tcPr>
          <w:p w14:paraId="5223063B">
            <w:pPr>
              <w:spacing w:line="280" w:lineRule="exact"/>
              <w:jc w:val="center"/>
              <w:rPr>
                <w:rFonts w:hint="eastAsia" w:ascii="宋体" w:hAnsi="宋体" w:eastAsia="宋体" w:cs="宋体"/>
                <w:color w:val="000000"/>
                <w:kern w:val="0"/>
                <w:sz w:val="18"/>
                <w:szCs w:val="18"/>
              </w:rPr>
            </w:pPr>
          </w:p>
        </w:tc>
        <w:tc>
          <w:tcPr>
            <w:tcW w:w="899" w:type="dxa"/>
            <w:noWrap w:val="0"/>
            <w:vAlign w:val="center"/>
          </w:tcPr>
          <w:p w14:paraId="0EC770F3">
            <w:pPr>
              <w:spacing w:line="280" w:lineRule="exact"/>
              <w:jc w:val="center"/>
              <w:rPr>
                <w:rFonts w:hint="eastAsia" w:ascii="宋体" w:hAnsi="宋体" w:eastAsia="宋体" w:cs="宋体"/>
                <w:color w:val="000000"/>
                <w:kern w:val="0"/>
                <w:sz w:val="18"/>
                <w:szCs w:val="18"/>
              </w:rPr>
            </w:pPr>
          </w:p>
        </w:tc>
        <w:tc>
          <w:tcPr>
            <w:tcW w:w="819" w:type="dxa"/>
            <w:noWrap w:val="0"/>
            <w:vAlign w:val="center"/>
          </w:tcPr>
          <w:p w14:paraId="3C3532B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667" w:type="dxa"/>
            <w:gridSpan w:val="2"/>
            <w:noWrap w:val="0"/>
            <w:vAlign w:val="center"/>
          </w:tcPr>
          <w:p w14:paraId="2FE23C1E">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困难群众得到及时有效救助　</w:t>
            </w:r>
          </w:p>
        </w:tc>
      </w:tr>
      <w:tr w14:paraId="4E66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28" w:type="dxa"/>
            <w:vMerge w:val="continue"/>
            <w:noWrap w:val="0"/>
            <w:vAlign w:val="center"/>
          </w:tcPr>
          <w:p w14:paraId="3FE878A0">
            <w:pPr>
              <w:spacing w:line="280" w:lineRule="exact"/>
              <w:jc w:val="left"/>
              <w:rPr>
                <w:rFonts w:hint="eastAsia" w:ascii="宋体" w:hAnsi="宋体" w:eastAsia="宋体" w:cs="宋体"/>
                <w:color w:val="000000"/>
                <w:kern w:val="0"/>
                <w:sz w:val="18"/>
                <w:szCs w:val="18"/>
              </w:rPr>
            </w:pPr>
          </w:p>
        </w:tc>
        <w:tc>
          <w:tcPr>
            <w:tcW w:w="673" w:type="dxa"/>
            <w:vMerge w:val="continue"/>
            <w:noWrap w:val="0"/>
            <w:vAlign w:val="center"/>
          </w:tcPr>
          <w:p w14:paraId="235BA9E5">
            <w:pPr>
              <w:spacing w:line="280" w:lineRule="exact"/>
              <w:jc w:val="left"/>
              <w:rPr>
                <w:rFonts w:hint="eastAsia" w:ascii="宋体" w:hAnsi="宋体" w:eastAsia="宋体" w:cs="宋体"/>
                <w:kern w:val="0"/>
                <w:sz w:val="18"/>
                <w:szCs w:val="18"/>
              </w:rPr>
            </w:pPr>
          </w:p>
        </w:tc>
        <w:tc>
          <w:tcPr>
            <w:tcW w:w="995" w:type="dxa"/>
            <w:noWrap w:val="0"/>
            <w:vAlign w:val="center"/>
          </w:tcPr>
          <w:p w14:paraId="0A0DCC75">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14:paraId="05E45C95">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301" w:type="dxa"/>
            <w:noWrap w:val="0"/>
            <w:vAlign w:val="center"/>
          </w:tcPr>
          <w:p w14:paraId="1E761C4B">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救助情况　</w:t>
            </w:r>
          </w:p>
        </w:tc>
        <w:tc>
          <w:tcPr>
            <w:tcW w:w="1542" w:type="dxa"/>
            <w:gridSpan w:val="2"/>
            <w:noWrap w:val="0"/>
            <w:vAlign w:val="center"/>
          </w:tcPr>
          <w:p w14:paraId="69408E0A">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95" w:type="dxa"/>
            <w:noWrap w:val="0"/>
            <w:vAlign w:val="center"/>
          </w:tcPr>
          <w:p w14:paraId="2CE22BA7">
            <w:pPr>
              <w:spacing w:line="280" w:lineRule="exact"/>
              <w:jc w:val="center"/>
              <w:rPr>
                <w:rFonts w:hint="eastAsia" w:ascii="宋体" w:hAnsi="宋体" w:eastAsia="宋体" w:cs="宋体"/>
                <w:color w:val="000000"/>
                <w:kern w:val="0"/>
                <w:sz w:val="18"/>
                <w:szCs w:val="18"/>
              </w:rPr>
            </w:pPr>
          </w:p>
        </w:tc>
        <w:tc>
          <w:tcPr>
            <w:tcW w:w="899" w:type="dxa"/>
            <w:noWrap w:val="0"/>
            <w:vAlign w:val="center"/>
          </w:tcPr>
          <w:p w14:paraId="03039A0D">
            <w:pPr>
              <w:spacing w:line="280" w:lineRule="exact"/>
              <w:jc w:val="center"/>
              <w:rPr>
                <w:rFonts w:hint="eastAsia" w:ascii="宋体" w:hAnsi="宋体" w:eastAsia="宋体" w:cs="宋体"/>
                <w:color w:val="000000"/>
                <w:kern w:val="0"/>
                <w:sz w:val="18"/>
                <w:szCs w:val="18"/>
              </w:rPr>
            </w:pPr>
          </w:p>
        </w:tc>
        <w:tc>
          <w:tcPr>
            <w:tcW w:w="819" w:type="dxa"/>
            <w:noWrap w:val="0"/>
            <w:vAlign w:val="center"/>
          </w:tcPr>
          <w:p w14:paraId="65C0750E">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667" w:type="dxa"/>
            <w:gridSpan w:val="2"/>
            <w:noWrap w:val="0"/>
            <w:vAlign w:val="center"/>
          </w:tcPr>
          <w:p w14:paraId="03321864">
            <w:pPr>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将符合条件的困难群众及时纳入保障范围</w:t>
            </w:r>
          </w:p>
        </w:tc>
      </w:tr>
      <w:tr w14:paraId="1039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28" w:type="dxa"/>
            <w:vMerge w:val="continue"/>
            <w:noWrap w:val="0"/>
            <w:vAlign w:val="center"/>
          </w:tcPr>
          <w:p w14:paraId="72C4CE57">
            <w:pPr>
              <w:spacing w:line="280" w:lineRule="exact"/>
              <w:jc w:val="left"/>
              <w:rPr>
                <w:rFonts w:hint="eastAsia" w:ascii="宋体" w:hAnsi="宋体" w:eastAsia="宋体" w:cs="宋体"/>
                <w:color w:val="000000"/>
                <w:kern w:val="0"/>
                <w:sz w:val="18"/>
                <w:szCs w:val="18"/>
              </w:rPr>
            </w:pPr>
          </w:p>
        </w:tc>
        <w:tc>
          <w:tcPr>
            <w:tcW w:w="673" w:type="dxa"/>
            <w:vMerge w:val="continue"/>
            <w:noWrap w:val="0"/>
            <w:vAlign w:val="center"/>
          </w:tcPr>
          <w:p w14:paraId="009E36A7">
            <w:pPr>
              <w:spacing w:line="280" w:lineRule="exact"/>
              <w:jc w:val="left"/>
              <w:rPr>
                <w:rFonts w:hint="eastAsia" w:ascii="宋体" w:hAnsi="宋体" w:eastAsia="宋体" w:cs="宋体"/>
                <w:kern w:val="0"/>
                <w:sz w:val="18"/>
                <w:szCs w:val="18"/>
              </w:rPr>
            </w:pPr>
          </w:p>
        </w:tc>
        <w:tc>
          <w:tcPr>
            <w:tcW w:w="995" w:type="dxa"/>
            <w:noWrap w:val="0"/>
            <w:vAlign w:val="center"/>
          </w:tcPr>
          <w:p w14:paraId="4FF8972A">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14:paraId="4A19DEC2">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301" w:type="dxa"/>
            <w:noWrap w:val="0"/>
            <w:vAlign w:val="center"/>
          </w:tcPr>
          <w:p w14:paraId="6D8993C9">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保障准确性　</w:t>
            </w:r>
          </w:p>
        </w:tc>
        <w:tc>
          <w:tcPr>
            <w:tcW w:w="1542" w:type="dxa"/>
            <w:gridSpan w:val="2"/>
            <w:noWrap w:val="0"/>
            <w:vAlign w:val="center"/>
          </w:tcPr>
          <w:p w14:paraId="67089370">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95" w:type="dxa"/>
            <w:noWrap w:val="0"/>
            <w:vAlign w:val="center"/>
          </w:tcPr>
          <w:p w14:paraId="1B653B7C">
            <w:pPr>
              <w:spacing w:line="280" w:lineRule="exact"/>
              <w:jc w:val="center"/>
              <w:rPr>
                <w:rFonts w:hint="eastAsia" w:ascii="宋体" w:hAnsi="宋体" w:eastAsia="宋体" w:cs="宋体"/>
                <w:color w:val="000000"/>
                <w:kern w:val="0"/>
                <w:sz w:val="18"/>
                <w:szCs w:val="18"/>
              </w:rPr>
            </w:pPr>
          </w:p>
        </w:tc>
        <w:tc>
          <w:tcPr>
            <w:tcW w:w="899" w:type="dxa"/>
            <w:noWrap w:val="0"/>
            <w:vAlign w:val="center"/>
          </w:tcPr>
          <w:p w14:paraId="61B38F63">
            <w:pPr>
              <w:spacing w:line="280" w:lineRule="exact"/>
              <w:jc w:val="center"/>
              <w:rPr>
                <w:rFonts w:hint="eastAsia" w:ascii="宋体" w:hAnsi="宋体" w:eastAsia="宋体" w:cs="宋体"/>
                <w:color w:val="000000"/>
                <w:kern w:val="0"/>
                <w:sz w:val="18"/>
                <w:szCs w:val="18"/>
              </w:rPr>
            </w:pPr>
          </w:p>
        </w:tc>
        <w:tc>
          <w:tcPr>
            <w:tcW w:w="819" w:type="dxa"/>
            <w:noWrap w:val="0"/>
            <w:vAlign w:val="center"/>
          </w:tcPr>
          <w:p w14:paraId="263A03D5">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667" w:type="dxa"/>
            <w:gridSpan w:val="2"/>
            <w:noWrap w:val="0"/>
            <w:vAlign w:val="center"/>
          </w:tcPr>
          <w:p w14:paraId="5DF76866">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737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8" w:type="dxa"/>
            <w:vMerge w:val="continue"/>
            <w:noWrap w:val="0"/>
            <w:vAlign w:val="center"/>
          </w:tcPr>
          <w:p w14:paraId="12142E4F">
            <w:pPr>
              <w:spacing w:line="280" w:lineRule="exact"/>
              <w:jc w:val="left"/>
              <w:rPr>
                <w:rFonts w:hint="eastAsia" w:ascii="宋体" w:hAnsi="宋体" w:eastAsia="宋体" w:cs="宋体"/>
                <w:color w:val="000000"/>
                <w:kern w:val="0"/>
                <w:sz w:val="18"/>
                <w:szCs w:val="18"/>
              </w:rPr>
            </w:pPr>
          </w:p>
        </w:tc>
        <w:tc>
          <w:tcPr>
            <w:tcW w:w="673" w:type="dxa"/>
            <w:vMerge w:val="continue"/>
            <w:noWrap w:val="0"/>
            <w:vAlign w:val="center"/>
          </w:tcPr>
          <w:p w14:paraId="4EFDEBD7">
            <w:pPr>
              <w:spacing w:line="280" w:lineRule="exact"/>
              <w:jc w:val="left"/>
              <w:rPr>
                <w:rFonts w:hint="eastAsia" w:ascii="宋体" w:hAnsi="宋体" w:eastAsia="宋体" w:cs="宋体"/>
                <w:kern w:val="0"/>
                <w:sz w:val="18"/>
                <w:szCs w:val="18"/>
              </w:rPr>
            </w:pPr>
          </w:p>
        </w:tc>
        <w:tc>
          <w:tcPr>
            <w:tcW w:w="995" w:type="dxa"/>
            <w:noWrap w:val="0"/>
            <w:vAlign w:val="center"/>
          </w:tcPr>
          <w:p w14:paraId="31808023">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w:t>
            </w:r>
          </w:p>
          <w:p w14:paraId="7653F440">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响指标</w:t>
            </w:r>
          </w:p>
        </w:tc>
        <w:tc>
          <w:tcPr>
            <w:tcW w:w="1301" w:type="dxa"/>
            <w:noWrap w:val="0"/>
            <w:vAlign w:val="center"/>
          </w:tcPr>
          <w:p w14:paraId="00ACD717">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持续影响　</w:t>
            </w:r>
          </w:p>
        </w:tc>
        <w:tc>
          <w:tcPr>
            <w:tcW w:w="1542" w:type="dxa"/>
            <w:gridSpan w:val="2"/>
            <w:noWrap w:val="0"/>
            <w:vAlign w:val="center"/>
          </w:tcPr>
          <w:p w14:paraId="084F11E1">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95" w:type="dxa"/>
            <w:noWrap w:val="0"/>
            <w:vAlign w:val="center"/>
          </w:tcPr>
          <w:p w14:paraId="512BBCAC">
            <w:pPr>
              <w:spacing w:line="280" w:lineRule="exact"/>
              <w:jc w:val="center"/>
              <w:rPr>
                <w:rFonts w:hint="eastAsia" w:ascii="宋体" w:hAnsi="宋体" w:eastAsia="宋体" w:cs="宋体"/>
                <w:color w:val="000000"/>
                <w:kern w:val="0"/>
                <w:sz w:val="18"/>
                <w:szCs w:val="18"/>
              </w:rPr>
            </w:pPr>
          </w:p>
        </w:tc>
        <w:tc>
          <w:tcPr>
            <w:tcW w:w="899" w:type="dxa"/>
            <w:noWrap w:val="0"/>
            <w:vAlign w:val="center"/>
          </w:tcPr>
          <w:p w14:paraId="75D76216">
            <w:pPr>
              <w:spacing w:line="280" w:lineRule="exact"/>
              <w:jc w:val="center"/>
              <w:rPr>
                <w:rFonts w:hint="eastAsia" w:ascii="宋体" w:hAnsi="宋体" w:eastAsia="宋体" w:cs="宋体"/>
                <w:color w:val="000000"/>
                <w:kern w:val="0"/>
                <w:sz w:val="18"/>
                <w:szCs w:val="18"/>
              </w:rPr>
            </w:pPr>
          </w:p>
        </w:tc>
        <w:tc>
          <w:tcPr>
            <w:tcW w:w="819" w:type="dxa"/>
            <w:noWrap w:val="0"/>
            <w:vAlign w:val="center"/>
          </w:tcPr>
          <w:p w14:paraId="0BB5901C">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667" w:type="dxa"/>
            <w:gridSpan w:val="2"/>
            <w:noWrap w:val="0"/>
            <w:vAlign w:val="center"/>
          </w:tcPr>
          <w:p w14:paraId="4722393D">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89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628" w:type="dxa"/>
            <w:vMerge w:val="continue"/>
            <w:noWrap w:val="0"/>
            <w:vAlign w:val="center"/>
          </w:tcPr>
          <w:p w14:paraId="5221357A">
            <w:pPr>
              <w:spacing w:line="280" w:lineRule="exact"/>
              <w:jc w:val="left"/>
              <w:rPr>
                <w:rFonts w:hint="eastAsia" w:ascii="宋体" w:hAnsi="宋体" w:eastAsia="宋体" w:cs="宋体"/>
                <w:color w:val="000000"/>
                <w:kern w:val="0"/>
                <w:sz w:val="18"/>
                <w:szCs w:val="18"/>
              </w:rPr>
            </w:pPr>
          </w:p>
        </w:tc>
        <w:tc>
          <w:tcPr>
            <w:tcW w:w="673" w:type="dxa"/>
            <w:noWrap w:val="0"/>
            <w:vAlign w:val="center"/>
          </w:tcPr>
          <w:p w14:paraId="404BF18B">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满意度指标(10分)</w:t>
            </w:r>
          </w:p>
        </w:tc>
        <w:tc>
          <w:tcPr>
            <w:tcW w:w="995" w:type="dxa"/>
            <w:noWrap w:val="0"/>
            <w:vAlign w:val="center"/>
          </w:tcPr>
          <w:p w14:paraId="78CF77BA">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w:t>
            </w:r>
          </w:p>
          <w:p w14:paraId="7EE19CC3">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满意度指标</w:t>
            </w:r>
          </w:p>
        </w:tc>
        <w:tc>
          <w:tcPr>
            <w:tcW w:w="1301" w:type="dxa"/>
            <w:noWrap w:val="0"/>
            <w:vAlign w:val="center"/>
          </w:tcPr>
          <w:p w14:paraId="5E2BDEB3">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受益群众满意度　</w:t>
            </w:r>
          </w:p>
        </w:tc>
        <w:tc>
          <w:tcPr>
            <w:tcW w:w="1542" w:type="dxa"/>
            <w:gridSpan w:val="2"/>
            <w:noWrap w:val="0"/>
            <w:vAlign w:val="center"/>
          </w:tcPr>
          <w:p w14:paraId="7F7772BC">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95" w:type="dxa"/>
            <w:noWrap w:val="0"/>
            <w:vAlign w:val="center"/>
          </w:tcPr>
          <w:p w14:paraId="5E9698C3">
            <w:pPr>
              <w:spacing w:line="280" w:lineRule="exact"/>
              <w:jc w:val="center"/>
              <w:rPr>
                <w:rFonts w:hint="eastAsia" w:ascii="宋体" w:hAnsi="宋体" w:eastAsia="宋体" w:cs="宋体"/>
                <w:color w:val="000000"/>
                <w:kern w:val="0"/>
                <w:sz w:val="18"/>
                <w:szCs w:val="18"/>
              </w:rPr>
            </w:pPr>
          </w:p>
        </w:tc>
        <w:tc>
          <w:tcPr>
            <w:tcW w:w="899" w:type="dxa"/>
            <w:noWrap w:val="0"/>
            <w:vAlign w:val="center"/>
          </w:tcPr>
          <w:p w14:paraId="68E76A57">
            <w:pPr>
              <w:spacing w:line="280" w:lineRule="exact"/>
              <w:jc w:val="center"/>
              <w:rPr>
                <w:rFonts w:hint="eastAsia" w:ascii="宋体" w:hAnsi="宋体" w:eastAsia="宋体" w:cs="宋体"/>
                <w:color w:val="000000"/>
                <w:kern w:val="0"/>
                <w:sz w:val="18"/>
                <w:szCs w:val="18"/>
              </w:rPr>
            </w:pPr>
          </w:p>
        </w:tc>
        <w:tc>
          <w:tcPr>
            <w:tcW w:w="819" w:type="dxa"/>
            <w:noWrap w:val="0"/>
            <w:vAlign w:val="center"/>
          </w:tcPr>
          <w:p w14:paraId="56CFD82F">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667" w:type="dxa"/>
            <w:gridSpan w:val="2"/>
            <w:noWrap w:val="0"/>
            <w:vAlign w:val="center"/>
          </w:tcPr>
          <w:p w14:paraId="727AB492">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非常满意</w:t>
            </w:r>
            <w:r>
              <w:rPr>
                <w:rFonts w:hint="eastAsia" w:ascii="宋体" w:hAnsi="宋体" w:eastAsia="宋体" w:cs="宋体"/>
                <w:color w:val="000000"/>
                <w:kern w:val="0"/>
                <w:sz w:val="18"/>
                <w:szCs w:val="18"/>
              </w:rPr>
              <w:t>　</w:t>
            </w:r>
          </w:p>
        </w:tc>
      </w:tr>
      <w:tr w14:paraId="5341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597" w:type="dxa"/>
            <w:gridSpan w:val="4"/>
            <w:noWrap w:val="0"/>
            <w:vAlign w:val="center"/>
          </w:tcPr>
          <w:p w14:paraId="1EA7C0C5">
            <w:pPr>
              <w:spacing w:line="28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总分</w:t>
            </w:r>
          </w:p>
        </w:tc>
        <w:tc>
          <w:tcPr>
            <w:tcW w:w="1542" w:type="dxa"/>
            <w:gridSpan w:val="2"/>
            <w:noWrap w:val="0"/>
            <w:vAlign w:val="center"/>
          </w:tcPr>
          <w:p w14:paraId="1C13CD34">
            <w:pPr>
              <w:spacing w:line="28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100</w:t>
            </w:r>
          </w:p>
        </w:tc>
        <w:tc>
          <w:tcPr>
            <w:tcW w:w="895" w:type="dxa"/>
            <w:noWrap w:val="0"/>
            <w:vAlign w:val="center"/>
          </w:tcPr>
          <w:p w14:paraId="5A3B229D">
            <w:pPr>
              <w:spacing w:line="280" w:lineRule="exact"/>
              <w:jc w:val="center"/>
              <w:rPr>
                <w:rFonts w:hint="eastAsia" w:ascii="宋体" w:hAnsi="宋体" w:eastAsia="宋体" w:cs="宋体"/>
                <w:b w:val="0"/>
                <w:bCs w:val="0"/>
                <w:color w:val="000000"/>
                <w:kern w:val="0"/>
                <w:sz w:val="18"/>
                <w:szCs w:val="18"/>
              </w:rPr>
            </w:pPr>
          </w:p>
        </w:tc>
        <w:tc>
          <w:tcPr>
            <w:tcW w:w="899" w:type="dxa"/>
            <w:noWrap w:val="0"/>
            <w:vAlign w:val="center"/>
          </w:tcPr>
          <w:p w14:paraId="26763024">
            <w:pPr>
              <w:spacing w:line="280" w:lineRule="exact"/>
              <w:jc w:val="center"/>
              <w:rPr>
                <w:rFonts w:hint="eastAsia" w:ascii="宋体" w:hAnsi="宋体" w:eastAsia="宋体" w:cs="宋体"/>
                <w:b w:val="0"/>
                <w:bCs w:val="0"/>
                <w:color w:val="000000"/>
                <w:kern w:val="0"/>
                <w:sz w:val="18"/>
                <w:szCs w:val="18"/>
              </w:rPr>
            </w:pPr>
          </w:p>
        </w:tc>
        <w:tc>
          <w:tcPr>
            <w:tcW w:w="819" w:type="dxa"/>
            <w:noWrap w:val="0"/>
            <w:vAlign w:val="center"/>
          </w:tcPr>
          <w:p w14:paraId="556B5A11">
            <w:pPr>
              <w:spacing w:line="28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100</w:t>
            </w:r>
          </w:p>
        </w:tc>
        <w:tc>
          <w:tcPr>
            <w:tcW w:w="1667" w:type="dxa"/>
            <w:gridSpan w:val="2"/>
            <w:noWrap w:val="0"/>
            <w:vAlign w:val="center"/>
          </w:tcPr>
          <w:p w14:paraId="380C9E58">
            <w:pPr>
              <w:spacing w:line="28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　</w:t>
            </w:r>
          </w:p>
        </w:tc>
      </w:tr>
    </w:tbl>
    <w:p w14:paraId="7263E5AA">
      <w:pPr>
        <w:ind w:firstLine="628" w:firstLineChars="200"/>
        <w:rPr>
          <w:rFonts w:hint="eastAsia" w:ascii="仿宋_GB2312" w:hAnsi="仿宋_GB2312" w:eastAsia="仿宋_GB2312" w:cs="仿宋_GB2312"/>
          <w:sz w:val="32"/>
          <w:szCs w:val="32"/>
        </w:rPr>
      </w:pPr>
    </w:p>
    <w:p w14:paraId="29227C86">
      <w:pPr>
        <w:ind w:firstLine="628" w:firstLineChars="200"/>
        <w:rPr>
          <w:rFonts w:hint="eastAsia" w:ascii="仿宋_GB2312" w:hAnsi="仿宋_GB2312" w:eastAsia="仿宋_GB2312" w:cs="仿宋_GB2312"/>
          <w:sz w:val="32"/>
          <w:szCs w:val="32"/>
        </w:rPr>
      </w:pPr>
      <w:r>
        <w:rPr>
          <w:rFonts w:hint="eastAsia" w:ascii="仿宋_GB2312" w:hAnsi="仿宋_GB2312" w:cs="仿宋_GB2312"/>
          <w:color w:val="auto"/>
          <w:szCs w:val="32"/>
        </w:rPr>
        <w:t>“</w:t>
      </w:r>
      <w:r>
        <w:rPr>
          <w:rFonts w:hint="eastAsia" w:ascii="仿宋_GB2312" w:hAnsi="仿宋_GB2312" w:cs="仿宋_GB2312"/>
          <w:color w:val="auto"/>
          <w:szCs w:val="32"/>
          <w:lang w:eastAsia="zh-CN"/>
        </w:rPr>
        <w:t>临时救助</w:t>
      </w:r>
      <w:r>
        <w:rPr>
          <w:rFonts w:hint="eastAsia" w:ascii="仿宋_GB2312" w:hAnsi="仿宋_GB2312" w:cs="仿宋_GB2312"/>
          <w:color w:val="auto"/>
          <w:szCs w:val="32"/>
        </w:rPr>
        <w:t>”</w:t>
      </w:r>
      <w:r>
        <w:rPr>
          <w:rFonts w:hint="eastAsia" w:ascii="仿宋_GB2312" w:hAnsi="仿宋_GB2312" w:cs="仿宋_GB2312"/>
          <w:bCs/>
          <w:color w:val="auto"/>
          <w:szCs w:val="32"/>
        </w:rPr>
        <w:t>项目绩效自评综述：根据年初设定的绩效目标，</w:t>
      </w:r>
      <w:r>
        <w:rPr>
          <w:rFonts w:hint="eastAsia" w:ascii="仿宋_GB2312" w:hAnsi="仿宋_GB2312" w:cs="仿宋_GB2312"/>
          <w:color w:val="auto"/>
          <w:szCs w:val="32"/>
          <w:lang w:eastAsia="zh-CN"/>
        </w:rPr>
        <w:t>临时救助</w:t>
      </w:r>
      <w:r>
        <w:rPr>
          <w:rFonts w:hint="eastAsia" w:ascii="仿宋_GB2312" w:hAnsi="仿宋_GB2312" w:cs="仿宋_GB2312"/>
          <w:bCs/>
          <w:color w:val="auto"/>
          <w:szCs w:val="32"/>
        </w:rPr>
        <w:t>项目绩效自评得分为</w:t>
      </w:r>
      <w:r>
        <w:rPr>
          <w:rFonts w:hint="eastAsia" w:ascii="仿宋_GB2312" w:hAnsi="仿宋_GB2312" w:cs="仿宋_GB2312"/>
          <w:bCs/>
          <w:color w:val="auto"/>
          <w:szCs w:val="32"/>
          <w:lang w:val="en-US" w:eastAsia="zh-CN"/>
        </w:rPr>
        <w:t>100</w:t>
      </w:r>
      <w:r>
        <w:rPr>
          <w:rFonts w:hint="eastAsia" w:ascii="仿宋_GB2312" w:hAnsi="仿宋_GB2312" w:cs="仿宋_GB2312"/>
          <w:bCs/>
          <w:color w:val="auto"/>
          <w:szCs w:val="32"/>
        </w:rPr>
        <w:t>分。项目全年预算数为</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万元，执行数为</w:t>
      </w:r>
      <w:r>
        <w:rPr>
          <w:rFonts w:hint="eastAsia" w:ascii="仿宋_GB2312" w:hAnsi="仿宋_GB2312" w:cs="仿宋_GB2312"/>
          <w:bCs/>
          <w:color w:val="auto"/>
          <w:szCs w:val="32"/>
          <w:lang w:val="en-US" w:eastAsia="zh-CN"/>
        </w:rPr>
        <w:t>52.39</w:t>
      </w:r>
      <w:r>
        <w:rPr>
          <w:rFonts w:hint="eastAsia" w:ascii="仿宋_GB2312" w:hAnsi="仿宋_GB2312" w:cs="仿宋_GB2312"/>
          <w:bCs/>
          <w:color w:val="auto"/>
          <w:szCs w:val="32"/>
        </w:rPr>
        <w:t>万元，完成预算的</w:t>
      </w:r>
      <w:r>
        <w:rPr>
          <w:rFonts w:hint="eastAsia" w:ascii="仿宋_GB2312" w:hAnsi="仿宋_GB2312" w:cs="仿宋_GB2312"/>
          <w:bCs/>
          <w:color w:val="auto"/>
          <w:szCs w:val="32"/>
          <w:lang w:val="en-US" w:eastAsia="zh-CN"/>
        </w:rPr>
        <w:t>1047.8</w:t>
      </w:r>
      <w:r>
        <w:rPr>
          <w:rFonts w:ascii="仿宋_GB2312" w:hAnsi="仿宋_GB2312" w:cs="仿宋_GB2312"/>
          <w:bCs/>
          <w:color w:val="auto"/>
          <w:szCs w:val="32"/>
        </w:rPr>
        <w:t>%</w:t>
      </w:r>
      <w:r>
        <w:rPr>
          <w:rFonts w:hint="eastAsia" w:ascii="仿宋_GB2312" w:hAnsi="仿宋_GB2312" w:cs="仿宋_GB2312"/>
          <w:bCs/>
          <w:color w:val="auto"/>
          <w:szCs w:val="32"/>
        </w:rPr>
        <w:t>。主要产出和效果：通过项目实施，</w:t>
      </w:r>
      <w:r>
        <w:rPr>
          <w:rFonts w:hint="eastAsia" w:ascii="仿宋_GB2312" w:hAnsi="仿宋_GB2312" w:cs="仿宋_GB2312"/>
          <w:bCs/>
          <w:color w:val="auto"/>
          <w:szCs w:val="32"/>
          <w:lang w:eastAsia="zh-CN"/>
        </w:rPr>
        <w:t>解</w:t>
      </w:r>
      <w:r>
        <w:rPr>
          <w:rFonts w:hint="eastAsia" w:ascii="仿宋_GB2312" w:hAnsi="仿宋_GB2312" w:eastAsia="仿宋_GB2312" w:cs="仿宋_GB2312"/>
          <w:sz w:val="32"/>
          <w:szCs w:val="32"/>
        </w:rPr>
        <w:t>决</w:t>
      </w:r>
      <w:r>
        <w:rPr>
          <w:rFonts w:hint="eastAsia" w:ascii="仿宋_GB2312" w:hAnsi="仿宋_GB2312" w:eastAsia="仿宋_GB2312" w:cs="仿宋_GB2312"/>
          <w:sz w:val="32"/>
          <w:szCs w:val="32"/>
          <w:lang w:eastAsia="zh-CN"/>
        </w:rPr>
        <w:t>相山区</w:t>
      </w:r>
      <w:r>
        <w:rPr>
          <w:rFonts w:hint="eastAsia" w:ascii="仿宋_GB2312" w:hAnsi="仿宋_GB2312" w:eastAsia="仿宋_GB2312" w:cs="仿宋_GB2312"/>
          <w:sz w:val="32"/>
          <w:szCs w:val="32"/>
        </w:rPr>
        <w:t>城乡困难群众突发性、紧迫性、临时性生活困难。</w:t>
      </w:r>
      <w:r>
        <w:rPr>
          <w:rFonts w:hint="eastAsia" w:ascii="仿宋_GB2312" w:hAnsi="仿宋_GB2312" w:cs="仿宋_GB2312"/>
          <w:bCs/>
          <w:color w:val="auto"/>
          <w:szCs w:val="32"/>
        </w:rPr>
        <w:t>发现的主要问题：</w:t>
      </w:r>
      <w:r>
        <w:rPr>
          <w:rFonts w:hint="eastAsia" w:ascii="仿宋_GB2312" w:hAnsi="仿宋_GB2312" w:eastAsia="仿宋_GB2312" w:cs="仿宋_GB2312"/>
          <w:sz w:val="32"/>
          <w:szCs w:val="32"/>
        </w:rPr>
        <w:t>救助人数不确定，要达到救助标准的才给予救助</w:t>
      </w:r>
      <w:r>
        <w:rPr>
          <w:rFonts w:hint="eastAsia" w:ascii="仿宋_GB2312" w:hAnsi="仿宋_GB2312" w:cs="仿宋_GB2312"/>
          <w:sz w:val="32"/>
          <w:szCs w:val="32"/>
          <w:lang w:eastAsia="zh-CN"/>
        </w:rPr>
        <w:t>。</w:t>
      </w:r>
      <w:r>
        <w:rPr>
          <w:rFonts w:hint="eastAsia" w:ascii="仿宋_GB2312" w:hAnsi="仿宋_GB2312" w:cs="仿宋_GB2312"/>
          <w:bCs/>
          <w:szCs w:val="32"/>
        </w:rPr>
        <w:t>下一步改进措施：</w:t>
      </w:r>
      <w:r>
        <w:rPr>
          <w:rFonts w:hint="eastAsia" w:ascii="仿宋_GB2312" w:hAnsi="仿宋_GB2312" w:eastAsia="仿宋_GB2312" w:cs="仿宋_GB2312"/>
          <w:sz w:val="32"/>
          <w:szCs w:val="32"/>
        </w:rPr>
        <w:t>进</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步完善社会救助体系，促进社会公平、和谐，为国家实现脱贫攻坚战贡献力量。</w:t>
      </w:r>
    </w:p>
    <w:p w14:paraId="6847D1BB">
      <w:pPr>
        <w:spacing w:line="580" w:lineRule="exact"/>
        <w:jc w:val="center"/>
        <w:rPr>
          <w:rFonts w:hint="eastAsia" w:ascii="宋体" w:hAnsi="宋体" w:eastAsia="宋体" w:cs="宋体"/>
          <w:bCs/>
          <w:color w:val="000000"/>
          <w:kern w:val="0"/>
          <w:sz w:val="32"/>
          <w:szCs w:val="32"/>
        </w:rPr>
      </w:pPr>
      <w:r>
        <w:rPr>
          <w:rFonts w:hint="eastAsia" w:ascii="宋体" w:hAnsi="宋体" w:eastAsia="宋体" w:cs="宋体"/>
          <w:bCs/>
          <w:color w:val="000000"/>
          <w:kern w:val="0"/>
          <w:sz w:val="32"/>
          <w:szCs w:val="32"/>
        </w:rPr>
        <w:t>项目支出绩效自评表</w:t>
      </w:r>
    </w:p>
    <w:p w14:paraId="1F280277">
      <w:pPr>
        <w:spacing w:line="580" w:lineRule="exact"/>
        <w:jc w:val="center"/>
        <w:rPr>
          <w:rFonts w:hint="eastAsia" w:ascii="宋体" w:hAnsi="宋体" w:eastAsia="宋体" w:cs="宋体"/>
          <w:bCs/>
          <w:sz w:val="18"/>
          <w:szCs w:val="18"/>
        </w:rPr>
      </w:pPr>
      <w:r>
        <w:rPr>
          <w:rFonts w:hint="eastAsia" w:ascii="宋体" w:hAnsi="宋体" w:eastAsia="宋体" w:cs="宋体"/>
          <w:color w:val="000000"/>
          <w:kern w:val="0"/>
          <w:sz w:val="18"/>
          <w:szCs w:val="18"/>
        </w:rPr>
        <w:t>（202</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年度）</w:t>
      </w:r>
    </w:p>
    <w:tbl>
      <w:tblPr>
        <w:tblStyle w:val="1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041"/>
        <w:gridCol w:w="1239"/>
        <w:gridCol w:w="1533"/>
        <w:gridCol w:w="78"/>
        <w:gridCol w:w="824"/>
        <w:gridCol w:w="995"/>
        <w:gridCol w:w="1070"/>
        <w:gridCol w:w="710"/>
        <w:gridCol w:w="903"/>
        <w:gridCol w:w="598"/>
      </w:tblGrid>
      <w:tr w14:paraId="6057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010" w:type="dxa"/>
            <w:gridSpan w:val="3"/>
            <w:noWrap w:val="0"/>
            <w:vAlign w:val="center"/>
          </w:tcPr>
          <w:p w14:paraId="4DDA5D24">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6709" w:type="dxa"/>
            <w:gridSpan w:val="8"/>
            <w:noWrap w:val="0"/>
            <w:vAlign w:val="center"/>
          </w:tcPr>
          <w:p w14:paraId="13F1D8F1">
            <w:pPr>
              <w:spacing w:line="280" w:lineRule="exact"/>
              <w:ind w:firstLine="2262" w:firstLineChars="130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临时救助</w:t>
            </w:r>
          </w:p>
        </w:tc>
      </w:tr>
      <w:tr w14:paraId="4BF9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010" w:type="dxa"/>
            <w:gridSpan w:val="3"/>
            <w:noWrap w:val="0"/>
            <w:vAlign w:val="center"/>
          </w:tcPr>
          <w:p w14:paraId="08432D0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主管单位</w:t>
            </w:r>
          </w:p>
        </w:tc>
        <w:tc>
          <w:tcPr>
            <w:tcW w:w="2436" w:type="dxa"/>
            <w:gridSpan w:val="3"/>
            <w:noWrap w:val="0"/>
            <w:vAlign w:val="center"/>
          </w:tcPr>
          <w:p w14:paraId="7747E410">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淮北市相山区民政局</w:t>
            </w:r>
          </w:p>
        </w:tc>
        <w:tc>
          <w:tcPr>
            <w:tcW w:w="995" w:type="dxa"/>
            <w:noWrap w:val="0"/>
            <w:vAlign w:val="center"/>
          </w:tcPr>
          <w:p w14:paraId="108D6819">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实施</w:t>
            </w:r>
          </w:p>
          <w:p w14:paraId="18E2DF5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3278" w:type="dxa"/>
            <w:gridSpan w:val="4"/>
            <w:noWrap w:val="0"/>
            <w:vAlign w:val="center"/>
          </w:tcPr>
          <w:p w14:paraId="7FCE1F71">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淮北市相山区民政局　</w:t>
            </w:r>
          </w:p>
        </w:tc>
      </w:tr>
      <w:tr w14:paraId="3B03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010" w:type="dxa"/>
            <w:gridSpan w:val="3"/>
            <w:vMerge w:val="restart"/>
            <w:noWrap w:val="0"/>
            <w:vAlign w:val="center"/>
          </w:tcPr>
          <w:p w14:paraId="4A585A51">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资金情况</w:t>
            </w:r>
          </w:p>
          <w:p w14:paraId="2C98C7A1">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534" w:type="dxa"/>
            <w:noWrap w:val="0"/>
            <w:vAlign w:val="center"/>
          </w:tcPr>
          <w:p w14:paraId="0AC29994">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2" w:type="dxa"/>
            <w:gridSpan w:val="2"/>
            <w:noWrap w:val="0"/>
            <w:vAlign w:val="center"/>
          </w:tcPr>
          <w:p w14:paraId="50325712">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全年预算数（A）</w:t>
            </w:r>
          </w:p>
        </w:tc>
        <w:tc>
          <w:tcPr>
            <w:tcW w:w="2066" w:type="dxa"/>
            <w:gridSpan w:val="2"/>
            <w:noWrap w:val="0"/>
            <w:vAlign w:val="center"/>
          </w:tcPr>
          <w:p w14:paraId="0396FE26">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全年执行数（B）</w:t>
            </w:r>
          </w:p>
        </w:tc>
        <w:tc>
          <w:tcPr>
            <w:tcW w:w="706" w:type="dxa"/>
            <w:noWrap w:val="0"/>
            <w:vAlign w:val="center"/>
          </w:tcPr>
          <w:p w14:paraId="19FB850A">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903" w:type="dxa"/>
            <w:noWrap w:val="0"/>
            <w:vAlign w:val="center"/>
          </w:tcPr>
          <w:p w14:paraId="69C3BB5B">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执行率（B/A)</w:t>
            </w:r>
          </w:p>
        </w:tc>
        <w:tc>
          <w:tcPr>
            <w:tcW w:w="598" w:type="dxa"/>
            <w:noWrap w:val="0"/>
            <w:vAlign w:val="center"/>
          </w:tcPr>
          <w:p w14:paraId="1CD3A73B">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14:paraId="0C2D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010" w:type="dxa"/>
            <w:gridSpan w:val="3"/>
            <w:vMerge w:val="continue"/>
            <w:noWrap w:val="0"/>
            <w:vAlign w:val="center"/>
          </w:tcPr>
          <w:p w14:paraId="7FCCD998">
            <w:pPr>
              <w:spacing w:line="280" w:lineRule="exact"/>
              <w:jc w:val="left"/>
              <w:rPr>
                <w:rFonts w:hint="eastAsia" w:ascii="宋体" w:hAnsi="宋体" w:eastAsia="宋体" w:cs="宋体"/>
                <w:color w:val="000000"/>
                <w:kern w:val="0"/>
                <w:sz w:val="18"/>
                <w:szCs w:val="18"/>
              </w:rPr>
            </w:pPr>
          </w:p>
        </w:tc>
        <w:tc>
          <w:tcPr>
            <w:tcW w:w="1534" w:type="dxa"/>
            <w:noWrap w:val="0"/>
            <w:vAlign w:val="center"/>
          </w:tcPr>
          <w:p w14:paraId="63B44EF4">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902" w:type="dxa"/>
            <w:gridSpan w:val="2"/>
            <w:noWrap w:val="0"/>
            <w:vAlign w:val="center"/>
          </w:tcPr>
          <w:p w14:paraId="7CEA9293">
            <w:pPr>
              <w:spacing w:line="28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5</w:t>
            </w:r>
          </w:p>
        </w:tc>
        <w:tc>
          <w:tcPr>
            <w:tcW w:w="2066" w:type="dxa"/>
            <w:gridSpan w:val="2"/>
            <w:noWrap w:val="0"/>
            <w:vAlign w:val="center"/>
          </w:tcPr>
          <w:p w14:paraId="61740272">
            <w:pPr>
              <w:spacing w:line="2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52.39</w:t>
            </w:r>
          </w:p>
        </w:tc>
        <w:tc>
          <w:tcPr>
            <w:tcW w:w="706" w:type="dxa"/>
            <w:noWrap w:val="0"/>
            <w:vAlign w:val="center"/>
          </w:tcPr>
          <w:p w14:paraId="1C4E2FF1">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903" w:type="dxa"/>
            <w:noWrap w:val="0"/>
            <w:vAlign w:val="center"/>
          </w:tcPr>
          <w:p w14:paraId="59B7FDCF">
            <w:pPr>
              <w:spacing w:line="2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1047.8%</w:t>
            </w:r>
          </w:p>
        </w:tc>
        <w:tc>
          <w:tcPr>
            <w:tcW w:w="598" w:type="dxa"/>
            <w:noWrap w:val="0"/>
            <w:vAlign w:val="center"/>
          </w:tcPr>
          <w:p w14:paraId="18177CC6">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14:paraId="0C6F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010" w:type="dxa"/>
            <w:gridSpan w:val="3"/>
            <w:vMerge w:val="continue"/>
            <w:noWrap w:val="0"/>
            <w:vAlign w:val="center"/>
          </w:tcPr>
          <w:p w14:paraId="17B0F342">
            <w:pPr>
              <w:spacing w:line="280" w:lineRule="exact"/>
              <w:jc w:val="left"/>
              <w:rPr>
                <w:rFonts w:hint="eastAsia" w:ascii="宋体" w:hAnsi="宋体" w:eastAsia="宋体" w:cs="宋体"/>
                <w:color w:val="000000"/>
                <w:kern w:val="0"/>
                <w:sz w:val="18"/>
                <w:szCs w:val="18"/>
              </w:rPr>
            </w:pPr>
          </w:p>
        </w:tc>
        <w:tc>
          <w:tcPr>
            <w:tcW w:w="1534" w:type="dxa"/>
            <w:noWrap w:val="0"/>
            <w:vAlign w:val="center"/>
          </w:tcPr>
          <w:p w14:paraId="78423962">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其中：</w:t>
            </w:r>
            <w:r>
              <w:rPr>
                <w:rFonts w:hint="eastAsia" w:ascii="宋体" w:hAnsi="宋体" w:eastAsia="宋体" w:cs="宋体"/>
                <w:color w:val="000000"/>
                <w:spacing w:val="-12"/>
                <w:kern w:val="0"/>
                <w:sz w:val="18"/>
                <w:szCs w:val="18"/>
              </w:rPr>
              <w:t>本年财政拨款</w:t>
            </w:r>
          </w:p>
        </w:tc>
        <w:tc>
          <w:tcPr>
            <w:tcW w:w="902" w:type="dxa"/>
            <w:gridSpan w:val="2"/>
            <w:noWrap w:val="0"/>
            <w:vAlign w:val="center"/>
          </w:tcPr>
          <w:p w14:paraId="0A889401">
            <w:pPr>
              <w:spacing w:line="2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2066" w:type="dxa"/>
            <w:gridSpan w:val="2"/>
            <w:noWrap w:val="0"/>
            <w:vAlign w:val="center"/>
          </w:tcPr>
          <w:p w14:paraId="6ADE5C7D">
            <w:pPr>
              <w:spacing w:line="2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52.39</w:t>
            </w:r>
          </w:p>
        </w:tc>
        <w:tc>
          <w:tcPr>
            <w:tcW w:w="706" w:type="dxa"/>
            <w:noWrap w:val="0"/>
            <w:vAlign w:val="center"/>
          </w:tcPr>
          <w:p w14:paraId="738328B1">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903" w:type="dxa"/>
            <w:noWrap w:val="0"/>
            <w:vAlign w:val="center"/>
          </w:tcPr>
          <w:p w14:paraId="71165C92">
            <w:pPr>
              <w:spacing w:line="28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1047.8%</w:t>
            </w:r>
          </w:p>
        </w:tc>
        <w:tc>
          <w:tcPr>
            <w:tcW w:w="598" w:type="dxa"/>
            <w:noWrap w:val="0"/>
            <w:vAlign w:val="center"/>
          </w:tcPr>
          <w:p w14:paraId="321C3DB0">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14:paraId="187F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010" w:type="dxa"/>
            <w:gridSpan w:val="3"/>
            <w:vMerge w:val="continue"/>
            <w:noWrap w:val="0"/>
            <w:vAlign w:val="center"/>
          </w:tcPr>
          <w:p w14:paraId="71246CF3">
            <w:pPr>
              <w:spacing w:line="280" w:lineRule="exact"/>
              <w:jc w:val="left"/>
              <w:rPr>
                <w:rFonts w:hint="eastAsia" w:ascii="宋体" w:hAnsi="宋体" w:eastAsia="宋体" w:cs="宋体"/>
                <w:color w:val="000000"/>
                <w:kern w:val="0"/>
                <w:sz w:val="18"/>
                <w:szCs w:val="18"/>
              </w:rPr>
            </w:pPr>
          </w:p>
        </w:tc>
        <w:tc>
          <w:tcPr>
            <w:tcW w:w="1534" w:type="dxa"/>
            <w:noWrap w:val="0"/>
            <w:vAlign w:val="center"/>
          </w:tcPr>
          <w:p w14:paraId="6430EA04">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902" w:type="dxa"/>
            <w:gridSpan w:val="2"/>
            <w:noWrap w:val="0"/>
            <w:vAlign w:val="center"/>
          </w:tcPr>
          <w:p w14:paraId="54909EDB">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66" w:type="dxa"/>
            <w:gridSpan w:val="2"/>
            <w:noWrap w:val="0"/>
            <w:vAlign w:val="center"/>
          </w:tcPr>
          <w:p w14:paraId="158EE71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6" w:type="dxa"/>
            <w:noWrap w:val="0"/>
            <w:vAlign w:val="center"/>
          </w:tcPr>
          <w:p w14:paraId="0629A428">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3" w:type="dxa"/>
            <w:noWrap w:val="0"/>
            <w:vAlign w:val="center"/>
          </w:tcPr>
          <w:p w14:paraId="3E1366F1">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8" w:type="dxa"/>
            <w:noWrap w:val="0"/>
            <w:vAlign w:val="center"/>
          </w:tcPr>
          <w:p w14:paraId="1E02DB65">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7498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8" w:type="dxa"/>
            <w:vMerge w:val="restart"/>
            <w:noWrap w:val="0"/>
            <w:vAlign w:val="center"/>
          </w:tcPr>
          <w:p w14:paraId="0EF1A2B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年度总体目标完成情况</w:t>
            </w:r>
          </w:p>
        </w:tc>
        <w:tc>
          <w:tcPr>
            <w:tcW w:w="4718" w:type="dxa"/>
            <w:gridSpan w:val="5"/>
            <w:noWrap w:val="0"/>
            <w:vAlign w:val="center"/>
          </w:tcPr>
          <w:p w14:paraId="681173E4">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年初设定目标</w:t>
            </w:r>
          </w:p>
        </w:tc>
        <w:tc>
          <w:tcPr>
            <w:tcW w:w="4273" w:type="dxa"/>
            <w:gridSpan w:val="5"/>
            <w:noWrap w:val="0"/>
            <w:vAlign w:val="center"/>
          </w:tcPr>
          <w:p w14:paraId="3E6A636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年度总体目标完成情况综述</w:t>
            </w:r>
          </w:p>
        </w:tc>
      </w:tr>
      <w:tr w14:paraId="0E40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28" w:type="dxa"/>
            <w:vMerge w:val="continue"/>
            <w:noWrap w:val="0"/>
            <w:vAlign w:val="center"/>
          </w:tcPr>
          <w:p w14:paraId="636E8309">
            <w:pPr>
              <w:spacing w:line="280" w:lineRule="exact"/>
              <w:jc w:val="left"/>
              <w:rPr>
                <w:rFonts w:hint="eastAsia" w:ascii="宋体" w:hAnsi="宋体" w:eastAsia="宋体" w:cs="宋体"/>
                <w:color w:val="000000"/>
                <w:kern w:val="0"/>
                <w:sz w:val="18"/>
                <w:szCs w:val="18"/>
              </w:rPr>
            </w:pPr>
          </w:p>
        </w:tc>
        <w:tc>
          <w:tcPr>
            <w:tcW w:w="4718" w:type="dxa"/>
            <w:gridSpan w:val="5"/>
            <w:noWrap w:val="0"/>
            <w:vAlign w:val="top"/>
          </w:tcPr>
          <w:p w14:paraId="2E6889EB">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目标1：资金准确、足额下达并及时发放到位</w:t>
            </w:r>
          </w:p>
          <w:p w14:paraId="7F65E032">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目标2：落实好补助标准</w:t>
            </w:r>
          </w:p>
          <w:p w14:paraId="68BC9FAD">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4273" w:type="dxa"/>
            <w:gridSpan w:val="5"/>
            <w:noWrap w:val="0"/>
            <w:vAlign w:val="top"/>
          </w:tcPr>
          <w:p w14:paraId="389F3FE1">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目标1完成情况：资金准确、足额下达并及时发放到位</w:t>
            </w:r>
          </w:p>
          <w:p w14:paraId="669A6055">
            <w:pPr>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rPr>
              <w:t xml:space="preserve"> 目标2完成情况：落实好补助标准</w:t>
            </w:r>
          </w:p>
        </w:tc>
      </w:tr>
      <w:tr w14:paraId="320B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28" w:type="dxa"/>
            <w:vMerge w:val="continue"/>
            <w:noWrap w:val="0"/>
            <w:vAlign w:val="center"/>
          </w:tcPr>
          <w:p w14:paraId="7E3F9E39">
            <w:pPr>
              <w:spacing w:line="280" w:lineRule="exact"/>
              <w:jc w:val="left"/>
              <w:rPr>
                <w:rFonts w:hint="eastAsia" w:ascii="宋体" w:hAnsi="宋体" w:eastAsia="宋体" w:cs="宋体"/>
                <w:color w:val="000000"/>
                <w:kern w:val="0"/>
                <w:sz w:val="18"/>
                <w:szCs w:val="18"/>
              </w:rPr>
            </w:pPr>
          </w:p>
        </w:tc>
        <w:tc>
          <w:tcPr>
            <w:tcW w:w="4718" w:type="dxa"/>
            <w:gridSpan w:val="5"/>
            <w:noWrap w:val="0"/>
            <w:vAlign w:val="top"/>
          </w:tcPr>
          <w:p w14:paraId="643EEF4C">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存在的问题：无</w:t>
            </w:r>
          </w:p>
        </w:tc>
        <w:tc>
          <w:tcPr>
            <w:tcW w:w="4273" w:type="dxa"/>
            <w:gridSpan w:val="5"/>
            <w:noWrap w:val="0"/>
            <w:vAlign w:val="top"/>
          </w:tcPr>
          <w:p w14:paraId="09FEA20F">
            <w:pPr>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整改的措施与建议：无</w:t>
            </w:r>
          </w:p>
        </w:tc>
      </w:tr>
      <w:tr w14:paraId="192C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28" w:type="dxa"/>
            <w:vMerge w:val="restart"/>
            <w:noWrap w:val="0"/>
            <w:vAlign w:val="center"/>
          </w:tcPr>
          <w:p w14:paraId="178AEE8C">
            <w:pPr>
              <w:spacing w:line="280" w:lineRule="exact"/>
              <w:jc w:val="center"/>
              <w:rPr>
                <w:rFonts w:hint="eastAsia" w:ascii="宋体" w:hAnsi="宋体" w:eastAsia="宋体" w:cs="宋体"/>
                <w:color w:val="000000"/>
                <w:kern w:val="0"/>
                <w:sz w:val="18"/>
                <w:szCs w:val="18"/>
              </w:rPr>
            </w:pPr>
          </w:p>
          <w:p w14:paraId="0302066D">
            <w:pPr>
              <w:spacing w:line="280" w:lineRule="exact"/>
              <w:jc w:val="center"/>
              <w:rPr>
                <w:rFonts w:hint="eastAsia" w:ascii="宋体" w:hAnsi="宋体" w:eastAsia="宋体" w:cs="宋体"/>
                <w:color w:val="000000"/>
                <w:kern w:val="0"/>
                <w:sz w:val="18"/>
                <w:szCs w:val="18"/>
              </w:rPr>
            </w:pPr>
          </w:p>
          <w:p w14:paraId="4A641EC4">
            <w:pPr>
              <w:spacing w:line="280" w:lineRule="exact"/>
              <w:jc w:val="center"/>
              <w:rPr>
                <w:rFonts w:hint="eastAsia" w:ascii="宋体" w:hAnsi="宋体" w:eastAsia="宋体" w:cs="宋体"/>
                <w:color w:val="000000"/>
                <w:kern w:val="0"/>
                <w:sz w:val="18"/>
                <w:szCs w:val="18"/>
              </w:rPr>
            </w:pPr>
          </w:p>
          <w:p w14:paraId="3C4D322D">
            <w:pPr>
              <w:spacing w:line="280" w:lineRule="exact"/>
              <w:jc w:val="center"/>
              <w:rPr>
                <w:rFonts w:hint="eastAsia" w:ascii="宋体" w:hAnsi="宋体" w:eastAsia="宋体" w:cs="宋体"/>
                <w:color w:val="000000"/>
                <w:kern w:val="0"/>
                <w:sz w:val="18"/>
                <w:szCs w:val="18"/>
              </w:rPr>
            </w:pPr>
          </w:p>
          <w:p w14:paraId="54115A9E">
            <w:pPr>
              <w:spacing w:line="280" w:lineRule="exact"/>
              <w:jc w:val="center"/>
              <w:rPr>
                <w:rFonts w:hint="eastAsia" w:ascii="宋体" w:hAnsi="宋体" w:eastAsia="宋体" w:cs="宋体"/>
                <w:color w:val="000000"/>
                <w:kern w:val="0"/>
                <w:sz w:val="18"/>
                <w:szCs w:val="18"/>
              </w:rPr>
            </w:pPr>
          </w:p>
          <w:p w14:paraId="4D97102A">
            <w:pPr>
              <w:spacing w:line="280" w:lineRule="exact"/>
              <w:jc w:val="center"/>
              <w:rPr>
                <w:rFonts w:hint="eastAsia" w:ascii="宋体" w:hAnsi="宋体" w:eastAsia="宋体" w:cs="宋体"/>
                <w:color w:val="000000"/>
                <w:kern w:val="0"/>
                <w:sz w:val="18"/>
                <w:szCs w:val="18"/>
              </w:rPr>
            </w:pPr>
          </w:p>
          <w:p w14:paraId="6D10D112">
            <w:pPr>
              <w:spacing w:line="280" w:lineRule="exact"/>
              <w:jc w:val="center"/>
              <w:rPr>
                <w:rFonts w:hint="eastAsia" w:ascii="宋体" w:hAnsi="宋体" w:eastAsia="宋体" w:cs="宋体"/>
                <w:color w:val="000000"/>
                <w:kern w:val="0"/>
                <w:sz w:val="18"/>
                <w:szCs w:val="18"/>
              </w:rPr>
            </w:pPr>
          </w:p>
          <w:p w14:paraId="0E176296">
            <w:pPr>
              <w:spacing w:line="280" w:lineRule="exact"/>
              <w:jc w:val="center"/>
              <w:rPr>
                <w:rFonts w:hint="eastAsia" w:ascii="宋体" w:hAnsi="宋体" w:eastAsia="宋体" w:cs="宋体"/>
                <w:color w:val="000000"/>
                <w:kern w:val="0"/>
                <w:sz w:val="18"/>
                <w:szCs w:val="18"/>
              </w:rPr>
            </w:pPr>
          </w:p>
          <w:p w14:paraId="3F70F03F">
            <w:pPr>
              <w:spacing w:line="280" w:lineRule="exact"/>
              <w:jc w:val="center"/>
              <w:rPr>
                <w:rFonts w:hint="eastAsia" w:ascii="宋体" w:hAnsi="宋体" w:eastAsia="宋体" w:cs="宋体"/>
                <w:color w:val="000000"/>
                <w:kern w:val="0"/>
                <w:sz w:val="18"/>
                <w:szCs w:val="18"/>
              </w:rPr>
            </w:pPr>
          </w:p>
          <w:p w14:paraId="03A106FF">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年度绩效指标完成情况</w:t>
            </w:r>
          </w:p>
          <w:p w14:paraId="33FCDFEE">
            <w:pPr>
              <w:spacing w:line="280" w:lineRule="exact"/>
              <w:jc w:val="center"/>
              <w:rPr>
                <w:rFonts w:hint="eastAsia" w:ascii="宋体" w:hAnsi="宋体" w:eastAsia="宋体" w:cs="宋体"/>
                <w:color w:val="000000"/>
                <w:kern w:val="0"/>
                <w:sz w:val="18"/>
                <w:szCs w:val="18"/>
              </w:rPr>
            </w:pPr>
          </w:p>
          <w:p w14:paraId="1CFBD919">
            <w:pPr>
              <w:spacing w:line="280" w:lineRule="exact"/>
              <w:jc w:val="center"/>
              <w:rPr>
                <w:rFonts w:hint="eastAsia" w:ascii="宋体" w:hAnsi="宋体" w:eastAsia="宋体" w:cs="宋体"/>
                <w:color w:val="000000"/>
                <w:kern w:val="0"/>
                <w:sz w:val="18"/>
                <w:szCs w:val="18"/>
              </w:rPr>
            </w:pPr>
          </w:p>
          <w:p w14:paraId="15D2AE18">
            <w:pPr>
              <w:spacing w:line="280" w:lineRule="exact"/>
              <w:jc w:val="center"/>
              <w:rPr>
                <w:rFonts w:hint="eastAsia" w:ascii="宋体" w:hAnsi="宋体" w:eastAsia="宋体" w:cs="宋体"/>
                <w:color w:val="000000"/>
                <w:kern w:val="0"/>
                <w:sz w:val="18"/>
                <w:szCs w:val="18"/>
              </w:rPr>
            </w:pPr>
          </w:p>
          <w:p w14:paraId="0E8D2214">
            <w:pPr>
              <w:spacing w:line="280" w:lineRule="exact"/>
              <w:jc w:val="center"/>
              <w:rPr>
                <w:rFonts w:hint="eastAsia" w:ascii="宋体" w:hAnsi="宋体" w:eastAsia="宋体" w:cs="宋体"/>
                <w:color w:val="000000"/>
                <w:kern w:val="0"/>
                <w:sz w:val="18"/>
                <w:szCs w:val="18"/>
              </w:rPr>
            </w:pPr>
          </w:p>
          <w:p w14:paraId="22039A3A">
            <w:pPr>
              <w:spacing w:line="280" w:lineRule="exact"/>
              <w:jc w:val="center"/>
              <w:rPr>
                <w:rFonts w:hint="eastAsia" w:ascii="宋体" w:hAnsi="宋体" w:eastAsia="宋体" w:cs="宋体"/>
                <w:color w:val="000000"/>
                <w:kern w:val="0"/>
                <w:sz w:val="18"/>
                <w:szCs w:val="18"/>
              </w:rPr>
            </w:pPr>
          </w:p>
          <w:p w14:paraId="5A4D8E2C">
            <w:pPr>
              <w:spacing w:line="280" w:lineRule="exact"/>
              <w:jc w:val="center"/>
              <w:rPr>
                <w:rFonts w:hint="eastAsia" w:ascii="宋体" w:hAnsi="宋体" w:eastAsia="宋体" w:cs="宋体"/>
                <w:color w:val="000000"/>
                <w:kern w:val="0"/>
                <w:sz w:val="18"/>
                <w:szCs w:val="18"/>
              </w:rPr>
            </w:pPr>
          </w:p>
          <w:p w14:paraId="57AED7DE">
            <w:pPr>
              <w:spacing w:line="280" w:lineRule="exact"/>
              <w:jc w:val="center"/>
              <w:rPr>
                <w:rFonts w:hint="eastAsia" w:ascii="宋体" w:hAnsi="宋体" w:eastAsia="宋体" w:cs="宋体"/>
                <w:color w:val="000000"/>
                <w:kern w:val="0"/>
                <w:sz w:val="18"/>
                <w:szCs w:val="18"/>
              </w:rPr>
            </w:pPr>
          </w:p>
          <w:p w14:paraId="073AD84B">
            <w:pPr>
              <w:spacing w:line="280" w:lineRule="exact"/>
              <w:jc w:val="center"/>
              <w:rPr>
                <w:rFonts w:hint="eastAsia" w:ascii="宋体" w:hAnsi="宋体" w:eastAsia="宋体" w:cs="宋体"/>
                <w:color w:val="000000"/>
                <w:kern w:val="0"/>
                <w:sz w:val="18"/>
                <w:szCs w:val="18"/>
              </w:rPr>
            </w:pPr>
          </w:p>
          <w:p w14:paraId="69EB9803">
            <w:pPr>
              <w:spacing w:line="280" w:lineRule="exact"/>
              <w:jc w:val="center"/>
              <w:rPr>
                <w:rFonts w:hint="eastAsia" w:ascii="宋体" w:hAnsi="宋体" w:eastAsia="宋体" w:cs="宋体"/>
                <w:color w:val="000000"/>
                <w:kern w:val="0"/>
                <w:sz w:val="18"/>
                <w:szCs w:val="18"/>
              </w:rPr>
            </w:pPr>
          </w:p>
          <w:p w14:paraId="16DD5AD5">
            <w:pPr>
              <w:spacing w:line="280" w:lineRule="exact"/>
              <w:jc w:val="center"/>
              <w:rPr>
                <w:rFonts w:hint="eastAsia" w:ascii="宋体" w:hAnsi="宋体" w:eastAsia="宋体" w:cs="宋体"/>
                <w:color w:val="000000"/>
                <w:kern w:val="0"/>
                <w:sz w:val="18"/>
                <w:szCs w:val="18"/>
              </w:rPr>
            </w:pPr>
          </w:p>
          <w:p w14:paraId="3780D578">
            <w:pPr>
              <w:spacing w:line="280" w:lineRule="exact"/>
              <w:jc w:val="center"/>
              <w:rPr>
                <w:rFonts w:hint="eastAsia" w:ascii="宋体" w:hAnsi="宋体" w:eastAsia="宋体" w:cs="宋体"/>
                <w:color w:val="000000"/>
                <w:kern w:val="0"/>
                <w:sz w:val="18"/>
                <w:szCs w:val="18"/>
              </w:rPr>
            </w:pPr>
          </w:p>
        </w:tc>
        <w:tc>
          <w:tcPr>
            <w:tcW w:w="1042" w:type="dxa"/>
            <w:noWrap w:val="0"/>
            <w:vAlign w:val="center"/>
          </w:tcPr>
          <w:p w14:paraId="1D37355E">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w:t>
            </w:r>
          </w:p>
          <w:p w14:paraId="4F587756">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240" w:type="dxa"/>
            <w:noWrap w:val="0"/>
            <w:vAlign w:val="center"/>
          </w:tcPr>
          <w:p w14:paraId="36AEBF26">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612" w:type="dxa"/>
            <w:gridSpan w:val="2"/>
            <w:noWrap w:val="0"/>
            <w:vAlign w:val="center"/>
          </w:tcPr>
          <w:p w14:paraId="7DA17256">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824" w:type="dxa"/>
            <w:noWrap w:val="0"/>
            <w:vAlign w:val="center"/>
          </w:tcPr>
          <w:p w14:paraId="3CE87883">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995" w:type="dxa"/>
            <w:noWrap w:val="0"/>
            <w:vAlign w:val="center"/>
          </w:tcPr>
          <w:p w14:paraId="77390E4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w:t>
            </w:r>
          </w:p>
          <w:p w14:paraId="419265C6">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1071" w:type="dxa"/>
            <w:noWrap w:val="0"/>
            <w:vAlign w:val="center"/>
          </w:tcPr>
          <w:p w14:paraId="546339D5">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w:t>
            </w:r>
          </w:p>
          <w:p w14:paraId="5E1B85C5">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实际值</w:t>
            </w:r>
          </w:p>
        </w:tc>
        <w:tc>
          <w:tcPr>
            <w:tcW w:w="706" w:type="dxa"/>
            <w:noWrap w:val="0"/>
            <w:vAlign w:val="center"/>
          </w:tcPr>
          <w:p w14:paraId="1E8EEB16">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501" w:type="dxa"/>
            <w:gridSpan w:val="2"/>
            <w:noWrap w:val="0"/>
            <w:vAlign w:val="center"/>
          </w:tcPr>
          <w:p w14:paraId="5D63E655">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评价得分</w:t>
            </w:r>
          </w:p>
          <w:p w14:paraId="0FCA4345">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说明</w:t>
            </w:r>
          </w:p>
        </w:tc>
      </w:tr>
      <w:tr w14:paraId="2A5E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28" w:type="dxa"/>
            <w:vMerge w:val="continue"/>
            <w:noWrap w:val="0"/>
            <w:vAlign w:val="center"/>
          </w:tcPr>
          <w:p w14:paraId="7BAC9AA9">
            <w:pPr>
              <w:spacing w:line="280" w:lineRule="exact"/>
              <w:jc w:val="left"/>
              <w:rPr>
                <w:rFonts w:hint="eastAsia" w:ascii="宋体" w:hAnsi="宋体" w:eastAsia="宋体" w:cs="宋体"/>
                <w:color w:val="000000"/>
                <w:kern w:val="0"/>
                <w:sz w:val="18"/>
                <w:szCs w:val="18"/>
              </w:rPr>
            </w:pPr>
          </w:p>
        </w:tc>
        <w:tc>
          <w:tcPr>
            <w:tcW w:w="1042" w:type="dxa"/>
            <w:vMerge w:val="restart"/>
            <w:noWrap w:val="0"/>
            <w:vAlign w:val="center"/>
          </w:tcPr>
          <w:p w14:paraId="6D5B6BA1">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w:t>
            </w:r>
          </w:p>
          <w:p w14:paraId="1FA5A1C0">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出</w:t>
            </w:r>
          </w:p>
          <w:p w14:paraId="68C7CE27">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w:t>
            </w:r>
          </w:p>
          <w:p w14:paraId="3FAD5CDB">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标</w:t>
            </w:r>
          </w:p>
          <w:p w14:paraId="5EF3ED62">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(50分)</w:t>
            </w:r>
          </w:p>
        </w:tc>
        <w:tc>
          <w:tcPr>
            <w:tcW w:w="1240" w:type="dxa"/>
            <w:noWrap w:val="0"/>
            <w:vAlign w:val="center"/>
          </w:tcPr>
          <w:p w14:paraId="31413739">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612" w:type="dxa"/>
            <w:gridSpan w:val="2"/>
            <w:noWrap w:val="0"/>
            <w:vAlign w:val="center"/>
          </w:tcPr>
          <w:p w14:paraId="406B9B82">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发放情况　</w:t>
            </w:r>
          </w:p>
        </w:tc>
        <w:tc>
          <w:tcPr>
            <w:tcW w:w="824" w:type="dxa"/>
            <w:noWrap w:val="0"/>
            <w:vAlign w:val="center"/>
          </w:tcPr>
          <w:p w14:paraId="7629581E">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995" w:type="dxa"/>
            <w:noWrap w:val="0"/>
            <w:vAlign w:val="center"/>
          </w:tcPr>
          <w:p w14:paraId="2763AEEB">
            <w:pPr>
              <w:spacing w:line="280" w:lineRule="exact"/>
              <w:jc w:val="center"/>
              <w:rPr>
                <w:rFonts w:hint="eastAsia" w:ascii="宋体" w:hAnsi="宋体" w:eastAsia="宋体" w:cs="宋体"/>
                <w:color w:val="000000"/>
                <w:kern w:val="0"/>
                <w:sz w:val="18"/>
                <w:szCs w:val="18"/>
              </w:rPr>
            </w:pPr>
          </w:p>
        </w:tc>
        <w:tc>
          <w:tcPr>
            <w:tcW w:w="1071" w:type="dxa"/>
            <w:noWrap w:val="0"/>
            <w:vAlign w:val="center"/>
          </w:tcPr>
          <w:p w14:paraId="31BCE951">
            <w:pPr>
              <w:spacing w:line="280" w:lineRule="exact"/>
              <w:jc w:val="center"/>
              <w:rPr>
                <w:rFonts w:hint="eastAsia" w:ascii="宋体" w:hAnsi="宋体" w:eastAsia="宋体" w:cs="宋体"/>
                <w:color w:val="000000"/>
                <w:kern w:val="0"/>
                <w:sz w:val="18"/>
                <w:szCs w:val="18"/>
              </w:rPr>
            </w:pPr>
          </w:p>
        </w:tc>
        <w:tc>
          <w:tcPr>
            <w:tcW w:w="706" w:type="dxa"/>
            <w:noWrap w:val="0"/>
            <w:vAlign w:val="center"/>
          </w:tcPr>
          <w:p w14:paraId="4FA044A8">
            <w:pPr>
              <w:spacing w:line="280" w:lineRule="exact"/>
              <w:ind w:firstLine="174"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501" w:type="dxa"/>
            <w:gridSpan w:val="2"/>
            <w:noWrap w:val="0"/>
            <w:vAlign w:val="center"/>
          </w:tcPr>
          <w:p w14:paraId="76662209">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资金准确、足额下达并发放到位　</w:t>
            </w:r>
          </w:p>
        </w:tc>
      </w:tr>
      <w:tr w14:paraId="7D29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28" w:type="dxa"/>
            <w:vMerge w:val="continue"/>
            <w:noWrap w:val="0"/>
            <w:vAlign w:val="center"/>
          </w:tcPr>
          <w:p w14:paraId="45B1AA05">
            <w:pPr>
              <w:spacing w:line="280" w:lineRule="exact"/>
              <w:jc w:val="left"/>
              <w:rPr>
                <w:rFonts w:hint="eastAsia" w:ascii="宋体" w:hAnsi="宋体" w:eastAsia="宋体" w:cs="宋体"/>
                <w:color w:val="000000"/>
                <w:kern w:val="0"/>
                <w:sz w:val="18"/>
                <w:szCs w:val="18"/>
              </w:rPr>
            </w:pPr>
          </w:p>
        </w:tc>
        <w:tc>
          <w:tcPr>
            <w:tcW w:w="1042" w:type="dxa"/>
            <w:vMerge w:val="continue"/>
            <w:noWrap w:val="0"/>
            <w:vAlign w:val="center"/>
          </w:tcPr>
          <w:p w14:paraId="0C1EF36B">
            <w:pPr>
              <w:spacing w:line="280" w:lineRule="exact"/>
              <w:jc w:val="left"/>
              <w:rPr>
                <w:rFonts w:hint="eastAsia" w:ascii="宋体" w:hAnsi="宋体" w:eastAsia="宋体" w:cs="宋体"/>
                <w:kern w:val="0"/>
                <w:sz w:val="18"/>
                <w:szCs w:val="18"/>
              </w:rPr>
            </w:pPr>
          </w:p>
        </w:tc>
        <w:tc>
          <w:tcPr>
            <w:tcW w:w="1240" w:type="dxa"/>
            <w:noWrap w:val="0"/>
            <w:vAlign w:val="center"/>
          </w:tcPr>
          <w:p w14:paraId="55F5BABB">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612" w:type="dxa"/>
            <w:gridSpan w:val="2"/>
            <w:noWrap w:val="0"/>
            <w:vAlign w:val="center"/>
          </w:tcPr>
          <w:p w14:paraId="37E56C89">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补助标准　</w:t>
            </w:r>
          </w:p>
        </w:tc>
        <w:tc>
          <w:tcPr>
            <w:tcW w:w="824" w:type="dxa"/>
            <w:noWrap w:val="0"/>
            <w:vAlign w:val="center"/>
          </w:tcPr>
          <w:p w14:paraId="57CA79AF">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995" w:type="dxa"/>
            <w:noWrap w:val="0"/>
            <w:vAlign w:val="center"/>
          </w:tcPr>
          <w:p w14:paraId="56C55EA0">
            <w:pPr>
              <w:spacing w:line="280" w:lineRule="exact"/>
              <w:jc w:val="center"/>
              <w:rPr>
                <w:rFonts w:hint="eastAsia" w:ascii="宋体" w:hAnsi="宋体" w:eastAsia="宋体" w:cs="宋体"/>
                <w:color w:val="000000"/>
                <w:kern w:val="0"/>
                <w:sz w:val="18"/>
                <w:szCs w:val="18"/>
              </w:rPr>
            </w:pPr>
          </w:p>
        </w:tc>
        <w:tc>
          <w:tcPr>
            <w:tcW w:w="1071" w:type="dxa"/>
            <w:noWrap w:val="0"/>
            <w:vAlign w:val="center"/>
          </w:tcPr>
          <w:p w14:paraId="3EA3A6F2">
            <w:pPr>
              <w:spacing w:line="280" w:lineRule="exact"/>
              <w:jc w:val="center"/>
              <w:rPr>
                <w:rFonts w:hint="eastAsia" w:ascii="宋体" w:hAnsi="宋体" w:eastAsia="宋体" w:cs="宋体"/>
                <w:color w:val="000000"/>
                <w:kern w:val="0"/>
                <w:sz w:val="18"/>
                <w:szCs w:val="18"/>
              </w:rPr>
            </w:pPr>
          </w:p>
        </w:tc>
        <w:tc>
          <w:tcPr>
            <w:tcW w:w="706" w:type="dxa"/>
            <w:noWrap w:val="0"/>
            <w:vAlign w:val="center"/>
          </w:tcPr>
          <w:p w14:paraId="09575986">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501" w:type="dxa"/>
            <w:gridSpan w:val="2"/>
            <w:noWrap w:val="0"/>
            <w:vAlign w:val="center"/>
          </w:tcPr>
          <w:p w14:paraId="490F71D4">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落实好补助标准　</w:t>
            </w:r>
          </w:p>
        </w:tc>
      </w:tr>
      <w:tr w14:paraId="63B8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28" w:type="dxa"/>
            <w:vMerge w:val="continue"/>
            <w:noWrap w:val="0"/>
            <w:vAlign w:val="center"/>
          </w:tcPr>
          <w:p w14:paraId="6254705A">
            <w:pPr>
              <w:spacing w:line="280" w:lineRule="exact"/>
              <w:jc w:val="left"/>
              <w:rPr>
                <w:rFonts w:hint="eastAsia" w:ascii="宋体" w:hAnsi="宋体" w:eastAsia="宋体" w:cs="宋体"/>
                <w:color w:val="000000"/>
                <w:kern w:val="0"/>
                <w:sz w:val="18"/>
                <w:szCs w:val="18"/>
              </w:rPr>
            </w:pPr>
          </w:p>
        </w:tc>
        <w:tc>
          <w:tcPr>
            <w:tcW w:w="1042" w:type="dxa"/>
            <w:vMerge w:val="continue"/>
            <w:noWrap w:val="0"/>
            <w:vAlign w:val="center"/>
          </w:tcPr>
          <w:p w14:paraId="52600B8D">
            <w:pPr>
              <w:spacing w:line="280" w:lineRule="exact"/>
              <w:jc w:val="left"/>
              <w:rPr>
                <w:rFonts w:hint="eastAsia" w:ascii="宋体" w:hAnsi="宋体" w:eastAsia="宋体" w:cs="宋体"/>
                <w:kern w:val="0"/>
                <w:sz w:val="18"/>
                <w:szCs w:val="18"/>
              </w:rPr>
            </w:pPr>
          </w:p>
        </w:tc>
        <w:tc>
          <w:tcPr>
            <w:tcW w:w="1240" w:type="dxa"/>
            <w:noWrap w:val="0"/>
            <w:vAlign w:val="center"/>
          </w:tcPr>
          <w:p w14:paraId="7C35D77D">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1612" w:type="dxa"/>
            <w:gridSpan w:val="2"/>
            <w:noWrap w:val="0"/>
            <w:vAlign w:val="center"/>
          </w:tcPr>
          <w:p w14:paraId="102ED117">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发放时效性　</w:t>
            </w:r>
          </w:p>
        </w:tc>
        <w:tc>
          <w:tcPr>
            <w:tcW w:w="824" w:type="dxa"/>
            <w:noWrap w:val="0"/>
            <w:vAlign w:val="center"/>
          </w:tcPr>
          <w:p w14:paraId="1234059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995" w:type="dxa"/>
            <w:noWrap w:val="0"/>
            <w:vAlign w:val="center"/>
          </w:tcPr>
          <w:p w14:paraId="1EE12EE3">
            <w:pPr>
              <w:spacing w:line="280" w:lineRule="exact"/>
              <w:jc w:val="center"/>
              <w:rPr>
                <w:rFonts w:hint="eastAsia" w:ascii="宋体" w:hAnsi="宋体" w:eastAsia="宋体" w:cs="宋体"/>
                <w:color w:val="000000"/>
                <w:kern w:val="0"/>
                <w:sz w:val="18"/>
                <w:szCs w:val="18"/>
              </w:rPr>
            </w:pPr>
          </w:p>
        </w:tc>
        <w:tc>
          <w:tcPr>
            <w:tcW w:w="1071" w:type="dxa"/>
            <w:noWrap w:val="0"/>
            <w:vAlign w:val="center"/>
          </w:tcPr>
          <w:p w14:paraId="195D67D2">
            <w:pPr>
              <w:spacing w:line="280" w:lineRule="exact"/>
              <w:jc w:val="center"/>
              <w:rPr>
                <w:rFonts w:hint="eastAsia" w:ascii="宋体" w:hAnsi="宋体" w:eastAsia="宋体" w:cs="宋体"/>
                <w:color w:val="000000"/>
                <w:kern w:val="0"/>
                <w:sz w:val="18"/>
                <w:szCs w:val="18"/>
              </w:rPr>
            </w:pPr>
          </w:p>
        </w:tc>
        <w:tc>
          <w:tcPr>
            <w:tcW w:w="706" w:type="dxa"/>
            <w:noWrap w:val="0"/>
            <w:vAlign w:val="center"/>
          </w:tcPr>
          <w:p w14:paraId="13ABBCD7">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501" w:type="dxa"/>
            <w:gridSpan w:val="2"/>
            <w:noWrap w:val="0"/>
            <w:vAlign w:val="center"/>
          </w:tcPr>
          <w:p w14:paraId="2CE2B430">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及时发放　</w:t>
            </w:r>
          </w:p>
        </w:tc>
      </w:tr>
      <w:tr w14:paraId="700F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28" w:type="dxa"/>
            <w:vMerge w:val="continue"/>
            <w:noWrap w:val="0"/>
            <w:vAlign w:val="center"/>
          </w:tcPr>
          <w:p w14:paraId="6FCE2546">
            <w:pPr>
              <w:spacing w:line="280" w:lineRule="exact"/>
              <w:jc w:val="left"/>
              <w:rPr>
                <w:rFonts w:hint="eastAsia" w:ascii="宋体" w:hAnsi="宋体" w:eastAsia="宋体" w:cs="宋体"/>
                <w:color w:val="000000"/>
                <w:kern w:val="0"/>
                <w:sz w:val="18"/>
                <w:szCs w:val="18"/>
              </w:rPr>
            </w:pPr>
          </w:p>
        </w:tc>
        <w:tc>
          <w:tcPr>
            <w:tcW w:w="1042" w:type="dxa"/>
            <w:vMerge w:val="continue"/>
            <w:noWrap w:val="0"/>
            <w:vAlign w:val="center"/>
          </w:tcPr>
          <w:p w14:paraId="378977CB">
            <w:pPr>
              <w:spacing w:line="280" w:lineRule="exact"/>
              <w:jc w:val="left"/>
              <w:rPr>
                <w:rFonts w:hint="eastAsia" w:ascii="宋体" w:hAnsi="宋体" w:eastAsia="宋体" w:cs="宋体"/>
                <w:kern w:val="0"/>
                <w:sz w:val="18"/>
                <w:szCs w:val="18"/>
              </w:rPr>
            </w:pPr>
          </w:p>
        </w:tc>
        <w:tc>
          <w:tcPr>
            <w:tcW w:w="1240" w:type="dxa"/>
            <w:noWrap w:val="0"/>
            <w:vAlign w:val="center"/>
          </w:tcPr>
          <w:p w14:paraId="5AB00C37">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612" w:type="dxa"/>
            <w:gridSpan w:val="2"/>
            <w:noWrap w:val="0"/>
            <w:vAlign w:val="center"/>
          </w:tcPr>
          <w:p w14:paraId="0F05B4D0">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资金到位及时率　</w:t>
            </w:r>
          </w:p>
        </w:tc>
        <w:tc>
          <w:tcPr>
            <w:tcW w:w="824" w:type="dxa"/>
            <w:noWrap w:val="0"/>
            <w:vAlign w:val="center"/>
          </w:tcPr>
          <w:p w14:paraId="0E616103">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995" w:type="dxa"/>
            <w:noWrap w:val="0"/>
            <w:vAlign w:val="center"/>
          </w:tcPr>
          <w:p w14:paraId="2A5BAC4A">
            <w:pPr>
              <w:spacing w:line="280" w:lineRule="exact"/>
              <w:jc w:val="center"/>
              <w:rPr>
                <w:rFonts w:hint="eastAsia" w:ascii="宋体" w:hAnsi="宋体" w:eastAsia="宋体" w:cs="宋体"/>
                <w:color w:val="000000"/>
                <w:kern w:val="0"/>
                <w:sz w:val="18"/>
                <w:szCs w:val="18"/>
              </w:rPr>
            </w:pPr>
          </w:p>
        </w:tc>
        <w:tc>
          <w:tcPr>
            <w:tcW w:w="1071" w:type="dxa"/>
            <w:noWrap w:val="0"/>
            <w:vAlign w:val="center"/>
          </w:tcPr>
          <w:p w14:paraId="0FB3860D">
            <w:pPr>
              <w:spacing w:line="280" w:lineRule="exact"/>
              <w:jc w:val="center"/>
              <w:rPr>
                <w:rFonts w:hint="eastAsia" w:ascii="宋体" w:hAnsi="宋体" w:eastAsia="宋体" w:cs="宋体"/>
                <w:color w:val="000000"/>
                <w:kern w:val="0"/>
                <w:sz w:val="18"/>
                <w:szCs w:val="18"/>
              </w:rPr>
            </w:pPr>
          </w:p>
        </w:tc>
        <w:tc>
          <w:tcPr>
            <w:tcW w:w="706" w:type="dxa"/>
            <w:noWrap w:val="0"/>
            <w:vAlign w:val="center"/>
          </w:tcPr>
          <w:p w14:paraId="5F921A20">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501" w:type="dxa"/>
            <w:gridSpan w:val="2"/>
            <w:noWrap w:val="0"/>
            <w:vAlign w:val="center"/>
          </w:tcPr>
          <w:p w14:paraId="6407E359">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D8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28" w:type="dxa"/>
            <w:vMerge w:val="continue"/>
            <w:noWrap w:val="0"/>
            <w:vAlign w:val="center"/>
          </w:tcPr>
          <w:p w14:paraId="26223001">
            <w:pPr>
              <w:spacing w:line="280" w:lineRule="exact"/>
              <w:jc w:val="left"/>
              <w:rPr>
                <w:rFonts w:hint="eastAsia" w:ascii="宋体" w:hAnsi="宋体" w:eastAsia="宋体" w:cs="宋体"/>
                <w:color w:val="000000"/>
                <w:kern w:val="0"/>
                <w:sz w:val="18"/>
                <w:szCs w:val="18"/>
              </w:rPr>
            </w:pPr>
          </w:p>
        </w:tc>
        <w:tc>
          <w:tcPr>
            <w:tcW w:w="1042" w:type="dxa"/>
            <w:vMerge w:val="restart"/>
            <w:noWrap w:val="0"/>
            <w:vAlign w:val="center"/>
          </w:tcPr>
          <w:p w14:paraId="157E8666">
            <w:pPr>
              <w:spacing w:line="280" w:lineRule="exact"/>
              <w:jc w:val="center"/>
              <w:rPr>
                <w:rFonts w:hint="eastAsia" w:ascii="宋体" w:hAnsi="宋体" w:eastAsia="宋体" w:cs="宋体"/>
                <w:kern w:val="0"/>
                <w:sz w:val="18"/>
                <w:szCs w:val="18"/>
              </w:rPr>
            </w:pPr>
          </w:p>
          <w:p w14:paraId="44FC4D1D">
            <w:pPr>
              <w:spacing w:line="280" w:lineRule="exact"/>
              <w:jc w:val="center"/>
              <w:rPr>
                <w:rFonts w:hint="eastAsia" w:ascii="宋体" w:hAnsi="宋体" w:eastAsia="宋体" w:cs="宋体"/>
                <w:kern w:val="0"/>
                <w:sz w:val="18"/>
                <w:szCs w:val="18"/>
              </w:rPr>
            </w:pPr>
          </w:p>
          <w:p w14:paraId="009E81E6">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w:t>
            </w:r>
          </w:p>
          <w:p w14:paraId="2BAC3586">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益</w:t>
            </w:r>
          </w:p>
          <w:p w14:paraId="7651C8FE">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w:t>
            </w:r>
          </w:p>
          <w:p w14:paraId="1A941C22">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标</w:t>
            </w:r>
          </w:p>
          <w:p w14:paraId="75A6650C">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(30分)</w:t>
            </w:r>
          </w:p>
          <w:p w14:paraId="534D107C">
            <w:pPr>
              <w:spacing w:line="280" w:lineRule="exact"/>
              <w:jc w:val="center"/>
              <w:rPr>
                <w:rFonts w:hint="eastAsia" w:ascii="宋体" w:hAnsi="宋体" w:eastAsia="宋体" w:cs="宋体"/>
                <w:kern w:val="0"/>
                <w:sz w:val="18"/>
                <w:szCs w:val="18"/>
              </w:rPr>
            </w:pPr>
          </w:p>
          <w:p w14:paraId="791F5FFD">
            <w:pPr>
              <w:spacing w:line="280" w:lineRule="exact"/>
              <w:jc w:val="center"/>
              <w:rPr>
                <w:rFonts w:hint="eastAsia" w:ascii="宋体" w:hAnsi="宋体" w:eastAsia="宋体" w:cs="宋体"/>
                <w:kern w:val="0"/>
                <w:sz w:val="18"/>
                <w:szCs w:val="18"/>
              </w:rPr>
            </w:pPr>
          </w:p>
        </w:tc>
        <w:tc>
          <w:tcPr>
            <w:tcW w:w="1240" w:type="dxa"/>
            <w:noWrap w:val="0"/>
            <w:vAlign w:val="center"/>
          </w:tcPr>
          <w:p w14:paraId="746D25FB">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14:paraId="65CE0F95">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612" w:type="dxa"/>
            <w:gridSpan w:val="2"/>
            <w:noWrap w:val="0"/>
            <w:vAlign w:val="center"/>
          </w:tcPr>
          <w:p w14:paraId="3EEC9874">
            <w:pPr>
              <w:spacing w:line="280" w:lineRule="exact"/>
              <w:ind w:firstLine="174" w:firstLineChars="1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及时有效性</w:t>
            </w:r>
          </w:p>
        </w:tc>
        <w:tc>
          <w:tcPr>
            <w:tcW w:w="824" w:type="dxa"/>
            <w:noWrap w:val="0"/>
            <w:vAlign w:val="center"/>
          </w:tcPr>
          <w:p w14:paraId="2D63EEA0">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995" w:type="dxa"/>
            <w:noWrap w:val="0"/>
            <w:vAlign w:val="center"/>
          </w:tcPr>
          <w:p w14:paraId="4B4E38FF">
            <w:pPr>
              <w:spacing w:line="280" w:lineRule="exact"/>
              <w:jc w:val="center"/>
              <w:rPr>
                <w:rFonts w:hint="eastAsia" w:ascii="宋体" w:hAnsi="宋体" w:eastAsia="宋体" w:cs="宋体"/>
                <w:color w:val="000000"/>
                <w:kern w:val="0"/>
                <w:sz w:val="18"/>
                <w:szCs w:val="18"/>
              </w:rPr>
            </w:pPr>
          </w:p>
        </w:tc>
        <w:tc>
          <w:tcPr>
            <w:tcW w:w="1071" w:type="dxa"/>
            <w:noWrap w:val="0"/>
            <w:vAlign w:val="center"/>
          </w:tcPr>
          <w:p w14:paraId="4B3DDD14">
            <w:pPr>
              <w:spacing w:line="280" w:lineRule="exact"/>
              <w:jc w:val="center"/>
              <w:rPr>
                <w:rFonts w:hint="eastAsia" w:ascii="宋体" w:hAnsi="宋体" w:eastAsia="宋体" w:cs="宋体"/>
                <w:color w:val="000000"/>
                <w:kern w:val="0"/>
                <w:sz w:val="18"/>
                <w:szCs w:val="18"/>
              </w:rPr>
            </w:pPr>
          </w:p>
        </w:tc>
        <w:tc>
          <w:tcPr>
            <w:tcW w:w="706" w:type="dxa"/>
            <w:noWrap w:val="0"/>
            <w:vAlign w:val="center"/>
          </w:tcPr>
          <w:p w14:paraId="6D59BF91">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501" w:type="dxa"/>
            <w:gridSpan w:val="2"/>
            <w:noWrap w:val="0"/>
            <w:vAlign w:val="center"/>
          </w:tcPr>
          <w:p w14:paraId="32532138">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困难群众得到及时有效救助　</w:t>
            </w:r>
          </w:p>
        </w:tc>
      </w:tr>
      <w:tr w14:paraId="7CDF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28" w:type="dxa"/>
            <w:vMerge w:val="continue"/>
            <w:noWrap w:val="0"/>
            <w:vAlign w:val="center"/>
          </w:tcPr>
          <w:p w14:paraId="45A604BD">
            <w:pPr>
              <w:spacing w:line="280" w:lineRule="exact"/>
              <w:jc w:val="left"/>
              <w:rPr>
                <w:rFonts w:hint="eastAsia" w:ascii="宋体" w:hAnsi="宋体" w:eastAsia="宋体" w:cs="宋体"/>
                <w:color w:val="000000"/>
                <w:kern w:val="0"/>
                <w:sz w:val="18"/>
                <w:szCs w:val="18"/>
              </w:rPr>
            </w:pPr>
          </w:p>
        </w:tc>
        <w:tc>
          <w:tcPr>
            <w:tcW w:w="1042" w:type="dxa"/>
            <w:vMerge w:val="continue"/>
            <w:noWrap w:val="0"/>
            <w:vAlign w:val="center"/>
          </w:tcPr>
          <w:p w14:paraId="3B844389">
            <w:pPr>
              <w:spacing w:line="280" w:lineRule="exact"/>
              <w:jc w:val="left"/>
              <w:rPr>
                <w:rFonts w:hint="eastAsia" w:ascii="宋体" w:hAnsi="宋体" w:eastAsia="宋体" w:cs="宋体"/>
                <w:kern w:val="0"/>
                <w:sz w:val="18"/>
                <w:szCs w:val="18"/>
              </w:rPr>
            </w:pPr>
          </w:p>
        </w:tc>
        <w:tc>
          <w:tcPr>
            <w:tcW w:w="1240" w:type="dxa"/>
            <w:noWrap w:val="0"/>
            <w:vAlign w:val="center"/>
          </w:tcPr>
          <w:p w14:paraId="5DF513CB">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14:paraId="3CE824EC">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612" w:type="dxa"/>
            <w:gridSpan w:val="2"/>
            <w:noWrap w:val="0"/>
            <w:vAlign w:val="center"/>
          </w:tcPr>
          <w:p w14:paraId="684CE2B9">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救助情况　</w:t>
            </w:r>
          </w:p>
        </w:tc>
        <w:tc>
          <w:tcPr>
            <w:tcW w:w="824" w:type="dxa"/>
            <w:noWrap w:val="0"/>
            <w:vAlign w:val="center"/>
          </w:tcPr>
          <w:p w14:paraId="25FE5E92">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995" w:type="dxa"/>
            <w:noWrap w:val="0"/>
            <w:vAlign w:val="center"/>
          </w:tcPr>
          <w:p w14:paraId="578F305A">
            <w:pPr>
              <w:spacing w:line="280" w:lineRule="exact"/>
              <w:jc w:val="center"/>
              <w:rPr>
                <w:rFonts w:hint="eastAsia" w:ascii="宋体" w:hAnsi="宋体" w:eastAsia="宋体" w:cs="宋体"/>
                <w:color w:val="000000"/>
                <w:kern w:val="0"/>
                <w:sz w:val="18"/>
                <w:szCs w:val="18"/>
              </w:rPr>
            </w:pPr>
          </w:p>
        </w:tc>
        <w:tc>
          <w:tcPr>
            <w:tcW w:w="1071" w:type="dxa"/>
            <w:noWrap w:val="0"/>
            <w:vAlign w:val="center"/>
          </w:tcPr>
          <w:p w14:paraId="49758458">
            <w:pPr>
              <w:spacing w:line="280" w:lineRule="exact"/>
              <w:jc w:val="center"/>
              <w:rPr>
                <w:rFonts w:hint="eastAsia" w:ascii="宋体" w:hAnsi="宋体" w:eastAsia="宋体" w:cs="宋体"/>
                <w:color w:val="000000"/>
                <w:kern w:val="0"/>
                <w:sz w:val="18"/>
                <w:szCs w:val="18"/>
              </w:rPr>
            </w:pPr>
          </w:p>
        </w:tc>
        <w:tc>
          <w:tcPr>
            <w:tcW w:w="706" w:type="dxa"/>
            <w:noWrap w:val="0"/>
            <w:vAlign w:val="center"/>
          </w:tcPr>
          <w:p w14:paraId="10B0843E">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501" w:type="dxa"/>
            <w:gridSpan w:val="2"/>
            <w:noWrap w:val="0"/>
            <w:vAlign w:val="center"/>
          </w:tcPr>
          <w:p w14:paraId="68B95038">
            <w:pPr>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将符合条件的困难群众及时纳入保障范围</w:t>
            </w:r>
          </w:p>
        </w:tc>
      </w:tr>
      <w:tr w14:paraId="7C0A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28" w:type="dxa"/>
            <w:vMerge w:val="continue"/>
            <w:noWrap w:val="0"/>
            <w:vAlign w:val="center"/>
          </w:tcPr>
          <w:p w14:paraId="5AFE5546">
            <w:pPr>
              <w:spacing w:line="280" w:lineRule="exact"/>
              <w:jc w:val="left"/>
              <w:rPr>
                <w:rFonts w:hint="eastAsia" w:ascii="宋体" w:hAnsi="宋体" w:eastAsia="宋体" w:cs="宋体"/>
                <w:color w:val="000000"/>
                <w:kern w:val="0"/>
                <w:sz w:val="18"/>
                <w:szCs w:val="18"/>
              </w:rPr>
            </w:pPr>
          </w:p>
        </w:tc>
        <w:tc>
          <w:tcPr>
            <w:tcW w:w="1042" w:type="dxa"/>
            <w:vMerge w:val="continue"/>
            <w:noWrap w:val="0"/>
            <w:vAlign w:val="center"/>
          </w:tcPr>
          <w:p w14:paraId="12507F3B">
            <w:pPr>
              <w:spacing w:line="280" w:lineRule="exact"/>
              <w:jc w:val="left"/>
              <w:rPr>
                <w:rFonts w:hint="eastAsia" w:ascii="宋体" w:hAnsi="宋体" w:eastAsia="宋体" w:cs="宋体"/>
                <w:kern w:val="0"/>
                <w:sz w:val="18"/>
                <w:szCs w:val="18"/>
              </w:rPr>
            </w:pPr>
          </w:p>
        </w:tc>
        <w:tc>
          <w:tcPr>
            <w:tcW w:w="1240" w:type="dxa"/>
            <w:noWrap w:val="0"/>
            <w:vAlign w:val="center"/>
          </w:tcPr>
          <w:p w14:paraId="3D78DF58">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14:paraId="58B33228">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612" w:type="dxa"/>
            <w:gridSpan w:val="2"/>
            <w:noWrap w:val="0"/>
            <w:vAlign w:val="center"/>
          </w:tcPr>
          <w:p w14:paraId="13C5D0B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保障准确性　</w:t>
            </w:r>
          </w:p>
        </w:tc>
        <w:tc>
          <w:tcPr>
            <w:tcW w:w="824" w:type="dxa"/>
            <w:noWrap w:val="0"/>
            <w:vAlign w:val="center"/>
          </w:tcPr>
          <w:p w14:paraId="4E4D8720">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995" w:type="dxa"/>
            <w:noWrap w:val="0"/>
            <w:vAlign w:val="center"/>
          </w:tcPr>
          <w:p w14:paraId="22734BBD">
            <w:pPr>
              <w:spacing w:line="280" w:lineRule="exact"/>
              <w:jc w:val="center"/>
              <w:rPr>
                <w:rFonts w:hint="eastAsia" w:ascii="宋体" w:hAnsi="宋体" w:eastAsia="宋体" w:cs="宋体"/>
                <w:color w:val="000000"/>
                <w:kern w:val="0"/>
                <w:sz w:val="18"/>
                <w:szCs w:val="18"/>
              </w:rPr>
            </w:pPr>
          </w:p>
        </w:tc>
        <w:tc>
          <w:tcPr>
            <w:tcW w:w="1071" w:type="dxa"/>
            <w:noWrap w:val="0"/>
            <w:vAlign w:val="center"/>
          </w:tcPr>
          <w:p w14:paraId="5B6BB5E6">
            <w:pPr>
              <w:spacing w:line="280" w:lineRule="exact"/>
              <w:jc w:val="center"/>
              <w:rPr>
                <w:rFonts w:hint="eastAsia" w:ascii="宋体" w:hAnsi="宋体" w:eastAsia="宋体" w:cs="宋体"/>
                <w:color w:val="000000"/>
                <w:kern w:val="0"/>
                <w:sz w:val="18"/>
                <w:szCs w:val="18"/>
              </w:rPr>
            </w:pPr>
          </w:p>
        </w:tc>
        <w:tc>
          <w:tcPr>
            <w:tcW w:w="706" w:type="dxa"/>
            <w:noWrap w:val="0"/>
            <w:vAlign w:val="center"/>
          </w:tcPr>
          <w:p w14:paraId="203D84A4">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501" w:type="dxa"/>
            <w:gridSpan w:val="2"/>
            <w:noWrap w:val="0"/>
            <w:vAlign w:val="center"/>
          </w:tcPr>
          <w:p w14:paraId="32F54D4B">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46E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8" w:type="dxa"/>
            <w:vMerge w:val="continue"/>
            <w:noWrap w:val="0"/>
            <w:vAlign w:val="center"/>
          </w:tcPr>
          <w:p w14:paraId="43882135">
            <w:pPr>
              <w:spacing w:line="280" w:lineRule="exact"/>
              <w:jc w:val="left"/>
              <w:rPr>
                <w:rFonts w:hint="eastAsia" w:ascii="宋体" w:hAnsi="宋体" w:eastAsia="宋体" w:cs="宋体"/>
                <w:color w:val="000000"/>
                <w:kern w:val="0"/>
                <w:sz w:val="18"/>
                <w:szCs w:val="18"/>
              </w:rPr>
            </w:pPr>
          </w:p>
        </w:tc>
        <w:tc>
          <w:tcPr>
            <w:tcW w:w="1042" w:type="dxa"/>
            <w:vMerge w:val="continue"/>
            <w:noWrap w:val="0"/>
            <w:vAlign w:val="center"/>
          </w:tcPr>
          <w:p w14:paraId="2AE885FA">
            <w:pPr>
              <w:spacing w:line="280" w:lineRule="exact"/>
              <w:jc w:val="left"/>
              <w:rPr>
                <w:rFonts w:hint="eastAsia" w:ascii="宋体" w:hAnsi="宋体" w:eastAsia="宋体" w:cs="宋体"/>
                <w:kern w:val="0"/>
                <w:sz w:val="18"/>
                <w:szCs w:val="18"/>
              </w:rPr>
            </w:pPr>
          </w:p>
        </w:tc>
        <w:tc>
          <w:tcPr>
            <w:tcW w:w="1240" w:type="dxa"/>
            <w:noWrap w:val="0"/>
            <w:vAlign w:val="center"/>
          </w:tcPr>
          <w:p w14:paraId="0B86CBAE">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w:t>
            </w:r>
          </w:p>
          <w:p w14:paraId="55562DA9">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响指标</w:t>
            </w:r>
          </w:p>
        </w:tc>
        <w:tc>
          <w:tcPr>
            <w:tcW w:w="1612" w:type="dxa"/>
            <w:gridSpan w:val="2"/>
            <w:noWrap w:val="0"/>
            <w:vAlign w:val="center"/>
          </w:tcPr>
          <w:p w14:paraId="7230D9A7">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持续影响　</w:t>
            </w:r>
          </w:p>
        </w:tc>
        <w:tc>
          <w:tcPr>
            <w:tcW w:w="824" w:type="dxa"/>
            <w:noWrap w:val="0"/>
            <w:vAlign w:val="center"/>
          </w:tcPr>
          <w:p w14:paraId="67533355">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995" w:type="dxa"/>
            <w:noWrap w:val="0"/>
            <w:vAlign w:val="center"/>
          </w:tcPr>
          <w:p w14:paraId="472745AE">
            <w:pPr>
              <w:spacing w:line="280" w:lineRule="exact"/>
              <w:jc w:val="center"/>
              <w:rPr>
                <w:rFonts w:hint="eastAsia" w:ascii="宋体" w:hAnsi="宋体" w:eastAsia="宋体" w:cs="宋体"/>
                <w:color w:val="000000"/>
                <w:kern w:val="0"/>
                <w:sz w:val="18"/>
                <w:szCs w:val="18"/>
              </w:rPr>
            </w:pPr>
          </w:p>
        </w:tc>
        <w:tc>
          <w:tcPr>
            <w:tcW w:w="1071" w:type="dxa"/>
            <w:noWrap w:val="0"/>
            <w:vAlign w:val="center"/>
          </w:tcPr>
          <w:p w14:paraId="3A84146F">
            <w:pPr>
              <w:spacing w:line="280" w:lineRule="exact"/>
              <w:jc w:val="center"/>
              <w:rPr>
                <w:rFonts w:hint="eastAsia" w:ascii="宋体" w:hAnsi="宋体" w:eastAsia="宋体" w:cs="宋体"/>
                <w:color w:val="000000"/>
                <w:kern w:val="0"/>
                <w:sz w:val="18"/>
                <w:szCs w:val="18"/>
              </w:rPr>
            </w:pPr>
          </w:p>
        </w:tc>
        <w:tc>
          <w:tcPr>
            <w:tcW w:w="706" w:type="dxa"/>
            <w:noWrap w:val="0"/>
            <w:vAlign w:val="center"/>
          </w:tcPr>
          <w:p w14:paraId="59114A6D">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501" w:type="dxa"/>
            <w:gridSpan w:val="2"/>
            <w:noWrap w:val="0"/>
            <w:vAlign w:val="center"/>
          </w:tcPr>
          <w:p w14:paraId="1E5763FA">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FB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28" w:type="dxa"/>
            <w:vMerge w:val="continue"/>
            <w:noWrap w:val="0"/>
            <w:vAlign w:val="center"/>
          </w:tcPr>
          <w:p w14:paraId="613E0FC4">
            <w:pPr>
              <w:spacing w:line="280" w:lineRule="exact"/>
              <w:jc w:val="left"/>
              <w:rPr>
                <w:rFonts w:hint="eastAsia" w:ascii="宋体" w:hAnsi="宋体" w:eastAsia="宋体" w:cs="宋体"/>
                <w:color w:val="000000"/>
                <w:kern w:val="0"/>
                <w:sz w:val="18"/>
                <w:szCs w:val="18"/>
              </w:rPr>
            </w:pPr>
          </w:p>
        </w:tc>
        <w:tc>
          <w:tcPr>
            <w:tcW w:w="1042" w:type="dxa"/>
            <w:noWrap w:val="0"/>
            <w:vAlign w:val="center"/>
          </w:tcPr>
          <w:p w14:paraId="7C6E616C">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满意度指标(10分)</w:t>
            </w:r>
          </w:p>
        </w:tc>
        <w:tc>
          <w:tcPr>
            <w:tcW w:w="1240" w:type="dxa"/>
            <w:noWrap w:val="0"/>
            <w:vAlign w:val="center"/>
          </w:tcPr>
          <w:p w14:paraId="3849576C">
            <w:pPr>
              <w:spacing w:line="28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服务对象</w:t>
            </w:r>
          </w:p>
          <w:p w14:paraId="77929CEE">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满意度指标</w:t>
            </w:r>
          </w:p>
        </w:tc>
        <w:tc>
          <w:tcPr>
            <w:tcW w:w="1612" w:type="dxa"/>
            <w:gridSpan w:val="2"/>
            <w:noWrap w:val="0"/>
            <w:vAlign w:val="center"/>
          </w:tcPr>
          <w:p w14:paraId="5792EFEB">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受益群众满意度　</w:t>
            </w:r>
          </w:p>
        </w:tc>
        <w:tc>
          <w:tcPr>
            <w:tcW w:w="824" w:type="dxa"/>
            <w:noWrap w:val="0"/>
            <w:vAlign w:val="center"/>
          </w:tcPr>
          <w:p w14:paraId="6AE21890">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995" w:type="dxa"/>
            <w:noWrap w:val="0"/>
            <w:vAlign w:val="center"/>
          </w:tcPr>
          <w:p w14:paraId="6F2D1F78">
            <w:pPr>
              <w:spacing w:line="280" w:lineRule="exact"/>
              <w:jc w:val="center"/>
              <w:rPr>
                <w:rFonts w:hint="eastAsia" w:ascii="宋体" w:hAnsi="宋体" w:eastAsia="宋体" w:cs="宋体"/>
                <w:color w:val="000000"/>
                <w:kern w:val="0"/>
                <w:sz w:val="18"/>
                <w:szCs w:val="18"/>
              </w:rPr>
            </w:pPr>
          </w:p>
        </w:tc>
        <w:tc>
          <w:tcPr>
            <w:tcW w:w="1071" w:type="dxa"/>
            <w:noWrap w:val="0"/>
            <w:vAlign w:val="center"/>
          </w:tcPr>
          <w:p w14:paraId="4AA5CA4D">
            <w:pPr>
              <w:spacing w:line="280" w:lineRule="exact"/>
              <w:jc w:val="center"/>
              <w:rPr>
                <w:rFonts w:hint="eastAsia" w:eastAsia="仿宋_GB2312"/>
                <w:kern w:val="2"/>
                <w:sz w:val="32"/>
                <w:lang w:val="en-US" w:eastAsia="zh-CN" w:bidi="ar-SA"/>
              </w:rPr>
            </w:pPr>
          </w:p>
        </w:tc>
        <w:tc>
          <w:tcPr>
            <w:tcW w:w="706" w:type="dxa"/>
            <w:noWrap w:val="0"/>
            <w:vAlign w:val="center"/>
          </w:tcPr>
          <w:p w14:paraId="0E63F15C">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501" w:type="dxa"/>
            <w:gridSpan w:val="2"/>
            <w:noWrap w:val="0"/>
            <w:vAlign w:val="center"/>
          </w:tcPr>
          <w:p w14:paraId="7EABE353">
            <w:pPr>
              <w:spacing w:line="280" w:lineRule="exact"/>
              <w:jc w:val="both"/>
              <w:rPr>
                <w:rFonts w:hint="eastAsia" w:ascii="宋体" w:hAnsi="宋体" w:eastAsia="宋体" w:cs="宋体"/>
                <w:color w:val="000000"/>
                <w:kern w:val="0"/>
                <w:sz w:val="18"/>
                <w:szCs w:val="18"/>
              </w:rPr>
            </w:pPr>
          </w:p>
        </w:tc>
      </w:tr>
      <w:tr w14:paraId="5A90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622" w:type="dxa"/>
            <w:gridSpan w:val="5"/>
            <w:noWrap w:val="0"/>
            <w:vAlign w:val="center"/>
          </w:tcPr>
          <w:p w14:paraId="58486FFA">
            <w:pPr>
              <w:spacing w:line="28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总分</w:t>
            </w:r>
          </w:p>
        </w:tc>
        <w:tc>
          <w:tcPr>
            <w:tcW w:w="824" w:type="dxa"/>
            <w:noWrap w:val="0"/>
            <w:vAlign w:val="center"/>
          </w:tcPr>
          <w:p w14:paraId="32F599A7">
            <w:pPr>
              <w:spacing w:line="28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100</w:t>
            </w:r>
          </w:p>
        </w:tc>
        <w:tc>
          <w:tcPr>
            <w:tcW w:w="995" w:type="dxa"/>
            <w:noWrap w:val="0"/>
            <w:vAlign w:val="center"/>
          </w:tcPr>
          <w:p w14:paraId="67F6ABB9">
            <w:pPr>
              <w:spacing w:line="280" w:lineRule="exact"/>
              <w:jc w:val="center"/>
              <w:rPr>
                <w:rFonts w:hint="eastAsia" w:ascii="宋体" w:hAnsi="宋体" w:eastAsia="宋体" w:cs="宋体"/>
                <w:b w:val="0"/>
                <w:bCs w:val="0"/>
                <w:color w:val="000000"/>
                <w:kern w:val="0"/>
                <w:sz w:val="18"/>
                <w:szCs w:val="18"/>
              </w:rPr>
            </w:pPr>
          </w:p>
        </w:tc>
        <w:tc>
          <w:tcPr>
            <w:tcW w:w="1071" w:type="dxa"/>
            <w:noWrap w:val="0"/>
            <w:vAlign w:val="center"/>
          </w:tcPr>
          <w:p w14:paraId="2094918A">
            <w:pPr>
              <w:spacing w:line="280" w:lineRule="exact"/>
              <w:jc w:val="center"/>
              <w:rPr>
                <w:rFonts w:hint="eastAsia" w:ascii="宋体" w:hAnsi="宋体" w:eastAsia="宋体" w:cs="宋体"/>
                <w:b w:val="0"/>
                <w:bCs w:val="0"/>
                <w:color w:val="000000"/>
                <w:kern w:val="0"/>
                <w:sz w:val="18"/>
                <w:szCs w:val="18"/>
              </w:rPr>
            </w:pPr>
          </w:p>
        </w:tc>
        <w:tc>
          <w:tcPr>
            <w:tcW w:w="706" w:type="dxa"/>
            <w:noWrap w:val="0"/>
            <w:vAlign w:val="center"/>
          </w:tcPr>
          <w:p w14:paraId="3AF006FC">
            <w:pPr>
              <w:spacing w:line="28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100</w:t>
            </w:r>
          </w:p>
        </w:tc>
        <w:tc>
          <w:tcPr>
            <w:tcW w:w="1501" w:type="dxa"/>
            <w:gridSpan w:val="2"/>
            <w:noWrap w:val="0"/>
            <w:vAlign w:val="center"/>
          </w:tcPr>
          <w:p w14:paraId="4F333E00">
            <w:pPr>
              <w:spacing w:line="28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　</w:t>
            </w:r>
          </w:p>
        </w:tc>
      </w:tr>
    </w:tbl>
    <w:p w14:paraId="41BE95B6">
      <w:pPr>
        <w:ind w:firstLine="628" w:firstLineChars="200"/>
        <w:rPr>
          <w:rFonts w:hint="eastAsia" w:ascii="仿宋_GB2312" w:hAnsi="仿宋_GB2312" w:cs="仿宋_GB2312"/>
          <w:color w:val="auto"/>
          <w:szCs w:val="32"/>
        </w:rPr>
      </w:pPr>
    </w:p>
    <w:p w14:paraId="01BB644E">
      <w:pPr>
        <w:ind w:firstLine="628" w:firstLineChars="200"/>
        <w:rPr>
          <w:rFonts w:hint="eastAsia" w:ascii="仿宋_GB2312" w:hAnsi="仿宋_GB2312" w:eastAsia="仿宋_GB2312" w:cs="仿宋_GB2312"/>
          <w:sz w:val="32"/>
          <w:szCs w:val="32"/>
        </w:rPr>
      </w:pPr>
    </w:p>
    <w:p w14:paraId="7F5B8807">
      <w:pPr>
        <w:adjustRightInd w:val="0"/>
        <w:snapToGrid w:val="0"/>
        <w:spacing w:line="600" w:lineRule="exact"/>
        <w:ind w:firstLine="628" w:firstLineChars="200"/>
        <w:rPr>
          <w:rFonts w:hint="eastAsia" w:ascii="仿宋_GB2312" w:hAnsi="仿宋_GB2312" w:cs="仿宋_GB2312"/>
          <w:b/>
          <w:szCs w:val="32"/>
        </w:rPr>
      </w:pPr>
      <w:r>
        <w:rPr>
          <w:rFonts w:hint="eastAsia" w:ascii="仿宋_GB2312" w:hAnsi="仿宋_GB2312" w:cs="仿宋_GB2312"/>
          <w:b/>
          <w:bCs/>
          <w:szCs w:val="32"/>
        </w:rPr>
        <w:t>（</w:t>
      </w:r>
      <w:r>
        <w:rPr>
          <w:rFonts w:hint="eastAsia" w:ascii="仿宋_GB2312" w:hAnsi="仿宋_GB2312" w:cs="仿宋_GB2312"/>
          <w:b/>
          <w:bCs/>
          <w:szCs w:val="32"/>
          <w:lang w:val="en-US" w:eastAsia="zh-CN"/>
        </w:rPr>
        <w:t>3</w:t>
      </w:r>
      <w:r>
        <w:rPr>
          <w:rFonts w:hint="eastAsia" w:ascii="仿宋_GB2312" w:hAnsi="仿宋_GB2312" w:cs="仿宋_GB2312"/>
          <w:b/>
          <w:bCs/>
          <w:szCs w:val="32"/>
        </w:rPr>
        <w:t>）</w:t>
      </w:r>
      <w:r>
        <w:rPr>
          <w:rFonts w:hint="eastAsia" w:ascii="仿宋_GB2312" w:hAnsi="仿宋_GB2312" w:cs="仿宋_GB2312"/>
          <w:b/>
          <w:szCs w:val="32"/>
        </w:rPr>
        <w:t>部门评价项目绩效评价结果。</w:t>
      </w:r>
    </w:p>
    <w:p w14:paraId="40BECCB2">
      <w:pPr>
        <w:ind w:firstLine="640"/>
        <w:rPr>
          <w:rFonts w:hint="eastAsia" w:ascii="仿宋_GB2312" w:hAnsi="仿宋_GB2312" w:eastAsia="仿宋_GB2312" w:cs="仿宋_GB2312"/>
          <w:szCs w:val="32"/>
          <w:highlight w:val="none"/>
          <w:lang w:eastAsia="zh-CN"/>
        </w:rPr>
      </w:pPr>
      <w:r>
        <w:rPr>
          <w:rFonts w:hint="eastAsia" w:ascii="仿宋_GB2312" w:hAnsi="仿宋" w:cs="Times New Roman"/>
          <w:szCs w:val="32"/>
          <w:highlight w:val="none"/>
        </w:rPr>
        <w:t>淮北市相山区</w:t>
      </w:r>
      <w:r>
        <w:rPr>
          <w:rFonts w:hint="eastAsia" w:ascii="仿宋_GB2312" w:hAnsi="仿宋" w:cs="Times New Roman"/>
          <w:szCs w:val="32"/>
          <w:highlight w:val="none"/>
          <w:lang w:eastAsia="zh-CN"/>
        </w:rPr>
        <w:t>民政局</w:t>
      </w:r>
      <w:r>
        <w:rPr>
          <w:rFonts w:hint="eastAsia" w:ascii="仿宋_GB2312" w:hAnsi="仿宋"/>
          <w:szCs w:val="32"/>
        </w:rPr>
        <w:t>无绩效评价报告</w:t>
      </w:r>
      <w:r>
        <w:rPr>
          <w:rFonts w:hint="eastAsia" w:ascii="仿宋_GB2312" w:hAnsi="仿宋"/>
          <w:szCs w:val="32"/>
          <w:lang w:eastAsia="zh-CN"/>
        </w:rPr>
        <w:t>。</w:t>
      </w:r>
    </w:p>
    <w:p w14:paraId="2BDDD312">
      <w:pPr>
        <w:adjustRightInd w:val="0"/>
        <w:snapToGrid w:val="0"/>
        <w:spacing w:line="600" w:lineRule="exact"/>
        <w:ind w:firstLine="628" w:firstLineChars="200"/>
        <w:rPr>
          <w:rFonts w:hint="eastAsia" w:ascii="黑体" w:hAnsi="黑体" w:eastAsia="黑体"/>
          <w:szCs w:val="32"/>
          <w:lang w:eastAsia="zh-CN"/>
        </w:rPr>
      </w:pPr>
      <w:r>
        <w:rPr>
          <w:rFonts w:hint="eastAsia" w:ascii="黑体" w:hAnsi="黑体" w:eastAsia="黑体"/>
          <w:szCs w:val="32"/>
        </w:rPr>
        <w:t>第四部分 名词解释</w:t>
      </w:r>
    </w:p>
    <w:p w14:paraId="6395F342">
      <w:pPr>
        <w:adjustRightInd w:val="0"/>
        <w:snapToGrid w:val="0"/>
        <w:spacing w:line="600" w:lineRule="exact"/>
        <w:ind w:left="425" w:firstLine="201" w:firstLineChars="64"/>
        <w:rPr>
          <w:rFonts w:hint="eastAsia" w:ascii="仿宋_GB2312" w:hAnsi="仿宋"/>
          <w:szCs w:val="32"/>
        </w:rPr>
      </w:pPr>
      <w:r>
        <w:rPr>
          <w:rFonts w:hint="eastAsia" w:ascii="仿宋_GB2312" w:hAnsi="仿宋"/>
          <w:b/>
          <w:szCs w:val="32"/>
        </w:rPr>
        <w:t>一、财政拨款收入：</w:t>
      </w:r>
      <w:r>
        <w:rPr>
          <w:rFonts w:hint="eastAsia" w:ascii="仿宋_GB2312" w:hAnsi="仿宋"/>
          <w:szCs w:val="32"/>
        </w:rPr>
        <w:t>指单位从同级财政部门取得的财政预算资金。</w:t>
      </w:r>
    </w:p>
    <w:p w14:paraId="338957C4">
      <w:pPr>
        <w:adjustRightInd w:val="0"/>
        <w:snapToGrid w:val="0"/>
        <w:spacing w:line="600" w:lineRule="exact"/>
        <w:ind w:firstLine="628" w:firstLineChars="200"/>
        <w:rPr>
          <w:rFonts w:hint="eastAsia" w:ascii="仿宋_GB2312" w:hAnsi="仿宋"/>
          <w:szCs w:val="32"/>
        </w:rPr>
      </w:pPr>
      <w:r>
        <w:rPr>
          <w:rFonts w:hint="eastAsia" w:ascii="仿宋_GB2312" w:hAnsi="仿宋"/>
          <w:b/>
          <w:bCs/>
          <w:szCs w:val="32"/>
        </w:rPr>
        <w:t>二、事业收入：</w:t>
      </w:r>
      <w:r>
        <w:rPr>
          <w:rFonts w:hint="eastAsia" w:ascii="仿宋_GB2312" w:hAnsi="仿宋"/>
          <w:szCs w:val="32"/>
        </w:rPr>
        <w:t>指事业单位开展专业业务活动及辅助活动所取得的收入。</w:t>
      </w:r>
    </w:p>
    <w:p w14:paraId="690E52C9">
      <w:pPr>
        <w:pStyle w:val="9"/>
        <w:adjustRightInd w:val="0"/>
        <w:snapToGrid w:val="0"/>
        <w:spacing w:line="600" w:lineRule="exact"/>
        <w:ind w:firstLine="616" w:firstLineChars="196"/>
        <w:rPr>
          <w:rFonts w:ascii="仿宋_GB2312" w:hAnsi="黑体"/>
          <w:b/>
          <w:bCs/>
          <w:szCs w:val="32"/>
        </w:rPr>
      </w:pPr>
      <w:r>
        <w:rPr>
          <w:rFonts w:hint="eastAsia" w:ascii="仿宋_GB2312" w:hAnsi="黑体" w:eastAsia="仿宋_GB2312"/>
          <w:b/>
          <w:sz w:val="32"/>
          <w:szCs w:val="32"/>
        </w:rPr>
        <w:t>三、</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事业单位从主管部门和上级单位取得的非财政补助收入。</w:t>
      </w:r>
    </w:p>
    <w:p w14:paraId="2F8CCB95">
      <w:pPr>
        <w:pStyle w:val="9"/>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14:paraId="14DC680C">
      <w:pPr>
        <w:pStyle w:val="9"/>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rPr>
        <w:t>：</w:t>
      </w:r>
      <w:r>
        <w:rPr>
          <w:rFonts w:hint="eastAsia" w:ascii="仿宋_GB2312" w:hAnsi="黑体" w:eastAsia="仿宋_GB2312"/>
          <w:bCs/>
          <w:sz w:val="32"/>
          <w:szCs w:val="32"/>
        </w:rPr>
        <w:t>指事业单位在专业业务活动及其辅助活动之外开展非独立核算经营活动取得的收入。</w:t>
      </w:r>
    </w:p>
    <w:p w14:paraId="6D21179C">
      <w:pPr>
        <w:pStyle w:val="9"/>
        <w:adjustRightInd w:val="0"/>
        <w:snapToGrid w:val="0"/>
        <w:spacing w:line="600" w:lineRule="exact"/>
        <w:ind w:firstLine="616" w:firstLineChars="196"/>
        <w:rPr>
          <w:rFonts w:hint="eastAsia" w:ascii="仿宋_GB2312" w:hAnsi="黑体"/>
          <w:b/>
          <w:bCs/>
          <w:szCs w:val="32"/>
        </w:rPr>
      </w:pPr>
      <w:r>
        <w:rPr>
          <w:rFonts w:hint="eastAsia" w:ascii="仿宋_GB2312" w:hAnsi="黑体" w:eastAsia="仿宋_GB2312"/>
          <w:b/>
          <w:sz w:val="32"/>
          <w:szCs w:val="32"/>
        </w:rPr>
        <w:t>六、</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指除财政拨款收入、事业收入、上级补助收入、附属单位上缴收入、经营收入以外的各项收入。</w:t>
      </w:r>
    </w:p>
    <w:p w14:paraId="155DC135">
      <w:pPr>
        <w:pStyle w:val="9"/>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七、年初结转和结余：</w:t>
      </w:r>
      <w:r>
        <w:rPr>
          <w:rFonts w:hint="eastAsia" w:ascii="仿宋_GB2312" w:hAnsi="黑体" w:eastAsia="仿宋_GB2312"/>
          <w:bCs/>
          <w:sz w:val="32"/>
          <w:szCs w:val="32"/>
        </w:rPr>
        <w:t>指以前年度安排、结转到本年仍按原规定用途继续使用的资金。</w:t>
      </w:r>
    </w:p>
    <w:p w14:paraId="3ED752DD">
      <w:pPr>
        <w:pStyle w:val="9"/>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八、结余分配：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14:paraId="6848F277">
      <w:pPr>
        <w:pStyle w:val="9"/>
        <w:adjustRightInd w:val="0"/>
        <w:snapToGrid w:val="0"/>
        <w:spacing w:before="0" w:beforeAutospacing="0" w:after="0" w:afterAutospacing="0" w:line="600" w:lineRule="exact"/>
        <w:ind w:firstLine="616" w:firstLineChars="196"/>
        <w:rPr>
          <w:rFonts w:hint="eastAsia" w:ascii="仿宋_GB2312" w:hAnsi="黑体" w:eastAsia="仿宋_GB2312"/>
          <w:b/>
          <w:sz w:val="32"/>
          <w:szCs w:val="32"/>
        </w:rPr>
      </w:pPr>
      <w:r>
        <w:rPr>
          <w:rFonts w:hint="eastAsia" w:ascii="仿宋_GB2312" w:hAnsi="黑体" w:eastAsia="仿宋_GB2312"/>
          <w:b/>
          <w:bCs/>
          <w:sz w:val="32"/>
          <w:szCs w:val="32"/>
        </w:rPr>
        <w:t>九、年末结转和结余：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14:paraId="3C211EBD">
      <w:pPr>
        <w:pStyle w:val="9"/>
        <w:adjustRightInd w:val="0"/>
        <w:snapToGrid w:val="0"/>
        <w:spacing w:before="0" w:beforeAutospacing="0" w:after="0" w:afterAutospacing="0" w:line="600" w:lineRule="exact"/>
        <w:ind w:firstLine="616" w:firstLineChars="196"/>
        <w:rPr>
          <w:rFonts w:hint="eastAsia" w:ascii="仿宋_GB2312" w:hAnsi="黑体" w:eastAsia="仿宋_GB2312"/>
          <w:sz w:val="32"/>
          <w:szCs w:val="32"/>
        </w:rPr>
      </w:pPr>
      <w:r>
        <w:rPr>
          <w:rFonts w:hint="eastAsia" w:ascii="仿宋_GB2312" w:hAnsi="黑体" w:eastAsia="仿宋_GB2312"/>
          <w:b/>
          <w:sz w:val="32"/>
          <w:szCs w:val="32"/>
        </w:rPr>
        <w:t>十、基本支出：</w:t>
      </w:r>
      <w:r>
        <w:rPr>
          <w:rFonts w:hint="eastAsia" w:ascii="仿宋_GB2312" w:hAnsi="黑体" w:eastAsia="仿宋_GB2312"/>
          <w:sz w:val="32"/>
          <w:szCs w:val="32"/>
        </w:rPr>
        <w:t>指单位为保障其机构正常运转、完成日常工作任务而发生的人员支出和公用支出。</w:t>
      </w:r>
    </w:p>
    <w:p w14:paraId="2C72A42F">
      <w:pPr>
        <w:pStyle w:val="9"/>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十一、项目支出：</w:t>
      </w:r>
      <w:r>
        <w:rPr>
          <w:rFonts w:hint="eastAsia" w:ascii="仿宋_GB2312" w:hAnsi="黑体" w:eastAsia="仿宋_GB2312"/>
          <w:sz w:val="32"/>
          <w:szCs w:val="32"/>
        </w:rPr>
        <w:t>指单位为完成特定行政任务和事业发展目标在基本支出之外所发生的支出。</w:t>
      </w:r>
      <w:r>
        <w:rPr>
          <w:rFonts w:hint="eastAsia" w:ascii="仿宋_GB2312" w:hAnsi="黑体" w:eastAsia="仿宋_GB2312"/>
          <w:sz w:val="32"/>
          <w:szCs w:val="32"/>
        </w:rPr>
        <w:br w:type="textWrapping"/>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 xml:space="preserve">  </w:t>
      </w:r>
      <w:r>
        <w:rPr>
          <w:rFonts w:hint="eastAsia" w:ascii="仿宋_GB2312" w:hAnsi="黑体" w:eastAsia="仿宋_GB2312"/>
          <w:b/>
          <w:sz w:val="32"/>
          <w:szCs w:val="32"/>
        </w:rPr>
        <w:t>十</w:t>
      </w:r>
      <w:r>
        <w:rPr>
          <w:rFonts w:hint="eastAsia" w:ascii="仿宋_GB2312" w:hAnsi="黑体" w:eastAsia="仿宋_GB2312"/>
          <w:b/>
          <w:sz w:val="32"/>
          <w:szCs w:val="32"/>
          <w:lang w:eastAsia="zh-CN"/>
        </w:rPr>
        <w:t>二</w:t>
      </w:r>
      <w:r>
        <w:rPr>
          <w:rFonts w:hint="eastAsia" w:ascii="仿宋_GB2312" w:hAnsi="黑体" w:eastAsia="仿宋_GB2312"/>
          <w:b/>
          <w:sz w:val="32"/>
          <w:szCs w:val="32"/>
        </w:rPr>
        <w:t>、“三公”经费：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14:paraId="7DB6EFC9">
      <w:pPr>
        <w:pStyle w:val="9"/>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十四、机关运行经费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14:paraId="05B1404F">
      <w:pPr>
        <w:adjustRightInd w:val="0"/>
        <w:snapToGrid w:val="0"/>
        <w:spacing w:line="600" w:lineRule="exact"/>
        <w:ind w:firstLine="628" w:firstLineChars="200"/>
        <w:rPr>
          <w:rFonts w:hint="eastAsia"/>
        </w:rPr>
      </w:pPr>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7A05A">
    <w:pPr>
      <w:pStyle w:val="7"/>
      <w:framePr w:wrap="around" w:vAnchor="text" w:hAnchor="margin" w:xAlign="right" w:y="1"/>
      <w:rPr>
        <w:rStyle w:val="15"/>
        <w:rFonts w:ascii="仿宋_GB2312"/>
        <w:sz w:val="28"/>
      </w:rPr>
    </w:pPr>
    <w:r>
      <w:rPr>
        <w:rStyle w:val="15"/>
        <w:rFonts w:hint="eastAsia" w:ascii="仿宋_GB2312"/>
        <w:sz w:val="28"/>
      </w:rPr>
      <w:t>-</w:t>
    </w:r>
    <w:r>
      <w:rPr>
        <w:rFonts w:hint="eastAsia" w:ascii="仿宋_GB2312"/>
        <w:sz w:val="28"/>
        <w:szCs w:val="28"/>
      </w:rPr>
      <w:fldChar w:fldCharType="begin"/>
    </w:r>
    <w:r>
      <w:rPr>
        <w:rStyle w:val="15"/>
        <w:rFonts w:hint="eastAsia" w:ascii="仿宋_GB2312"/>
        <w:sz w:val="28"/>
        <w:szCs w:val="28"/>
      </w:rPr>
      <w:instrText xml:space="preserve"> PAGE </w:instrText>
    </w:r>
    <w:r>
      <w:rPr>
        <w:rFonts w:hint="eastAsia" w:ascii="仿宋_GB2312"/>
        <w:sz w:val="28"/>
        <w:szCs w:val="28"/>
      </w:rPr>
      <w:fldChar w:fldCharType="separate"/>
    </w:r>
    <w:r>
      <w:rPr>
        <w:rStyle w:val="15"/>
        <w:rFonts w:ascii="仿宋_GB2312"/>
        <w:sz w:val="28"/>
        <w:szCs w:val="28"/>
      </w:rPr>
      <w:t>1</w:t>
    </w:r>
    <w:r>
      <w:rPr>
        <w:rFonts w:hint="eastAsia" w:ascii="仿宋_GB2312"/>
        <w:sz w:val="28"/>
        <w:szCs w:val="28"/>
      </w:rPr>
      <w:fldChar w:fldCharType="end"/>
    </w:r>
    <w:r>
      <w:rPr>
        <w:rStyle w:val="15"/>
        <w:rFonts w:hint="eastAsia" w:ascii="仿宋_GB2312"/>
        <w:sz w:val="28"/>
        <w:szCs w:val="28"/>
      </w:rPr>
      <w:t>-</w:t>
    </w:r>
  </w:p>
  <w:p w14:paraId="3F751840">
    <w:pPr>
      <w:pStyle w:val="7"/>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3DA25">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14:paraId="7EB62CA0">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607CD"/>
    <w:multiLevelType w:val="singleLevel"/>
    <w:tmpl w:val="A75607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3"/>
  <w:drawingGridVerticalSpacing w:val="569"/>
  <w:displayHorizontalDrawingGridEvery w:val="1"/>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mYyM2NkZGRkZjMxODIyOTA1NWFjZGZhNzllMzIifQ=="/>
  </w:docVars>
  <w:rsids>
    <w:rsidRoot w:val="00645DD0"/>
    <w:rsid w:val="000055F6"/>
    <w:rsid w:val="00007CAB"/>
    <w:rsid w:val="00007F53"/>
    <w:rsid w:val="0001202C"/>
    <w:rsid w:val="000217E6"/>
    <w:rsid w:val="000223C6"/>
    <w:rsid w:val="00023587"/>
    <w:rsid w:val="00024795"/>
    <w:rsid w:val="00024B05"/>
    <w:rsid w:val="00026B4F"/>
    <w:rsid w:val="00033489"/>
    <w:rsid w:val="00035AC6"/>
    <w:rsid w:val="000412BB"/>
    <w:rsid w:val="000418E0"/>
    <w:rsid w:val="00046B65"/>
    <w:rsid w:val="00055FBD"/>
    <w:rsid w:val="000618F5"/>
    <w:rsid w:val="00061C67"/>
    <w:rsid w:val="00062D67"/>
    <w:rsid w:val="000646BF"/>
    <w:rsid w:val="00067C61"/>
    <w:rsid w:val="00075F50"/>
    <w:rsid w:val="00076DFE"/>
    <w:rsid w:val="00085DE8"/>
    <w:rsid w:val="00086FBE"/>
    <w:rsid w:val="00091BFC"/>
    <w:rsid w:val="00094E4D"/>
    <w:rsid w:val="000A1494"/>
    <w:rsid w:val="000A51EF"/>
    <w:rsid w:val="000A6E7C"/>
    <w:rsid w:val="000A7AB6"/>
    <w:rsid w:val="000B2178"/>
    <w:rsid w:val="000B4329"/>
    <w:rsid w:val="000B53BD"/>
    <w:rsid w:val="000B5C36"/>
    <w:rsid w:val="000C6876"/>
    <w:rsid w:val="000C7346"/>
    <w:rsid w:val="000D066A"/>
    <w:rsid w:val="000D3459"/>
    <w:rsid w:val="000E0598"/>
    <w:rsid w:val="000E0A36"/>
    <w:rsid w:val="000E6047"/>
    <w:rsid w:val="000E6C24"/>
    <w:rsid w:val="000F6748"/>
    <w:rsid w:val="000F787A"/>
    <w:rsid w:val="00105BA4"/>
    <w:rsid w:val="00105EFB"/>
    <w:rsid w:val="00110B80"/>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47E48"/>
    <w:rsid w:val="001514CB"/>
    <w:rsid w:val="00155D52"/>
    <w:rsid w:val="00156013"/>
    <w:rsid w:val="00160909"/>
    <w:rsid w:val="00161301"/>
    <w:rsid w:val="00171095"/>
    <w:rsid w:val="00173146"/>
    <w:rsid w:val="0018606D"/>
    <w:rsid w:val="001A3555"/>
    <w:rsid w:val="001A4987"/>
    <w:rsid w:val="001B7894"/>
    <w:rsid w:val="001C0AFA"/>
    <w:rsid w:val="001C4EC9"/>
    <w:rsid w:val="001C5D04"/>
    <w:rsid w:val="001C74A7"/>
    <w:rsid w:val="001D3779"/>
    <w:rsid w:val="001D7DC1"/>
    <w:rsid w:val="001E4EE1"/>
    <w:rsid w:val="001F5D31"/>
    <w:rsid w:val="001F6DDD"/>
    <w:rsid w:val="002028F1"/>
    <w:rsid w:val="00213D49"/>
    <w:rsid w:val="002215BA"/>
    <w:rsid w:val="0022189D"/>
    <w:rsid w:val="00221929"/>
    <w:rsid w:val="00222101"/>
    <w:rsid w:val="002231DA"/>
    <w:rsid w:val="00223236"/>
    <w:rsid w:val="00227888"/>
    <w:rsid w:val="00234AB7"/>
    <w:rsid w:val="002361DC"/>
    <w:rsid w:val="00236C78"/>
    <w:rsid w:val="002371EA"/>
    <w:rsid w:val="00242678"/>
    <w:rsid w:val="00242DA4"/>
    <w:rsid w:val="00244066"/>
    <w:rsid w:val="002478A7"/>
    <w:rsid w:val="00247D26"/>
    <w:rsid w:val="00250F29"/>
    <w:rsid w:val="00251545"/>
    <w:rsid w:val="002522F5"/>
    <w:rsid w:val="00260BCD"/>
    <w:rsid w:val="002636D0"/>
    <w:rsid w:val="00263B6F"/>
    <w:rsid w:val="002647AB"/>
    <w:rsid w:val="00266C66"/>
    <w:rsid w:val="00273C29"/>
    <w:rsid w:val="002741C2"/>
    <w:rsid w:val="002766EC"/>
    <w:rsid w:val="00276ABD"/>
    <w:rsid w:val="00292278"/>
    <w:rsid w:val="00296AEF"/>
    <w:rsid w:val="002A4352"/>
    <w:rsid w:val="002A66C3"/>
    <w:rsid w:val="002A7568"/>
    <w:rsid w:val="002A7702"/>
    <w:rsid w:val="002B1AB5"/>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1A91"/>
    <w:rsid w:val="002F220B"/>
    <w:rsid w:val="002F49D3"/>
    <w:rsid w:val="002F6D0F"/>
    <w:rsid w:val="00301D9F"/>
    <w:rsid w:val="00302FD4"/>
    <w:rsid w:val="003033F7"/>
    <w:rsid w:val="003041BD"/>
    <w:rsid w:val="00310B3E"/>
    <w:rsid w:val="0031401D"/>
    <w:rsid w:val="003151F1"/>
    <w:rsid w:val="00315336"/>
    <w:rsid w:val="00321DF9"/>
    <w:rsid w:val="00321FD3"/>
    <w:rsid w:val="0033036C"/>
    <w:rsid w:val="00337480"/>
    <w:rsid w:val="00341BE5"/>
    <w:rsid w:val="00341E06"/>
    <w:rsid w:val="00343A85"/>
    <w:rsid w:val="00343B78"/>
    <w:rsid w:val="00347220"/>
    <w:rsid w:val="00352854"/>
    <w:rsid w:val="00354EE1"/>
    <w:rsid w:val="00355121"/>
    <w:rsid w:val="00356313"/>
    <w:rsid w:val="00356881"/>
    <w:rsid w:val="00361010"/>
    <w:rsid w:val="0036457F"/>
    <w:rsid w:val="00364CEB"/>
    <w:rsid w:val="003700A1"/>
    <w:rsid w:val="00381D7D"/>
    <w:rsid w:val="00382B7C"/>
    <w:rsid w:val="00384352"/>
    <w:rsid w:val="00390275"/>
    <w:rsid w:val="00392922"/>
    <w:rsid w:val="0039439B"/>
    <w:rsid w:val="003968F7"/>
    <w:rsid w:val="003A1AC7"/>
    <w:rsid w:val="003B4D0D"/>
    <w:rsid w:val="003B746B"/>
    <w:rsid w:val="003C1BA2"/>
    <w:rsid w:val="003C1DAF"/>
    <w:rsid w:val="003D505D"/>
    <w:rsid w:val="003D6DA5"/>
    <w:rsid w:val="003E1A6C"/>
    <w:rsid w:val="003E1F6A"/>
    <w:rsid w:val="003E6A48"/>
    <w:rsid w:val="003F6681"/>
    <w:rsid w:val="004011E8"/>
    <w:rsid w:val="00406E83"/>
    <w:rsid w:val="004118F8"/>
    <w:rsid w:val="00415DC3"/>
    <w:rsid w:val="0041748D"/>
    <w:rsid w:val="00420F3B"/>
    <w:rsid w:val="004229C4"/>
    <w:rsid w:val="004248D2"/>
    <w:rsid w:val="004275D6"/>
    <w:rsid w:val="0043062C"/>
    <w:rsid w:val="00434763"/>
    <w:rsid w:val="00435ACD"/>
    <w:rsid w:val="00435C45"/>
    <w:rsid w:val="00451991"/>
    <w:rsid w:val="004525FA"/>
    <w:rsid w:val="00456CB7"/>
    <w:rsid w:val="004679E9"/>
    <w:rsid w:val="00470E42"/>
    <w:rsid w:val="00471239"/>
    <w:rsid w:val="00472658"/>
    <w:rsid w:val="00480204"/>
    <w:rsid w:val="00487316"/>
    <w:rsid w:val="00487F6C"/>
    <w:rsid w:val="004940DE"/>
    <w:rsid w:val="004947E3"/>
    <w:rsid w:val="004A3D4D"/>
    <w:rsid w:val="004B3598"/>
    <w:rsid w:val="004B7422"/>
    <w:rsid w:val="004C0F3B"/>
    <w:rsid w:val="004C28F9"/>
    <w:rsid w:val="004C2C03"/>
    <w:rsid w:val="004C5C25"/>
    <w:rsid w:val="004C640E"/>
    <w:rsid w:val="004D0A64"/>
    <w:rsid w:val="004D2875"/>
    <w:rsid w:val="004D354A"/>
    <w:rsid w:val="004D4EC1"/>
    <w:rsid w:val="004D72B4"/>
    <w:rsid w:val="004D7A7A"/>
    <w:rsid w:val="004E5096"/>
    <w:rsid w:val="004E7B45"/>
    <w:rsid w:val="004F5DC7"/>
    <w:rsid w:val="00500806"/>
    <w:rsid w:val="00501AB0"/>
    <w:rsid w:val="00502CDE"/>
    <w:rsid w:val="005032C3"/>
    <w:rsid w:val="005100F0"/>
    <w:rsid w:val="0051163B"/>
    <w:rsid w:val="00512596"/>
    <w:rsid w:val="005132AA"/>
    <w:rsid w:val="005140A0"/>
    <w:rsid w:val="00521E9E"/>
    <w:rsid w:val="00526F80"/>
    <w:rsid w:val="00527719"/>
    <w:rsid w:val="00527C04"/>
    <w:rsid w:val="00527FB1"/>
    <w:rsid w:val="005309B7"/>
    <w:rsid w:val="005363F6"/>
    <w:rsid w:val="0053674F"/>
    <w:rsid w:val="0054357A"/>
    <w:rsid w:val="00547A3E"/>
    <w:rsid w:val="00556DA0"/>
    <w:rsid w:val="00560768"/>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6779"/>
    <w:rsid w:val="005B7312"/>
    <w:rsid w:val="005C0655"/>
    <w:rsid w:val="005C7003"/>
    <w:rsid w:val="005D137A"/>
    <w:rsid w:val="005D4DA5"/>
    <w:rsid w:val="005D7391"/>
    <w:rsid w:val="005E3D16"/>
    <w:rsid w:val="005E3D67"/>
    <w:rsid w:val="005E617E"/>
    <w:rsid w:val="005F21C2"/>
    <w:rsid w:val="005F45F5"/>
    <w:rsid w:val="005F4CB1"/>
    <w:rsid w:val="00600FB6"/>
    <w:rsid w:val="00601BD3"/>
    <w:rsid w:val="00602648"/>
    <w:rsid w:val="006060D7"/>
    <w:rsid w:val="00614054"/>
    <w:rsid w:val="0061436A"/>
    <w:rsid w:val="0061485A"/>
    <w:rsid w:val="006176B7"/>
    <w:rsid w:val="00620DF2"/>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C1837"/>
    <w:rsid w:val="006C4058"/>
    <w:rsid w:val="006C5A1E"/>
    <w:rsid w:val="006C7AD8"/>
    <w:rsid w:val="006D7347"/>
    <w:rsid w:val="006E2802"/>
    <w:rsid w:val="006E5645"/>
    <w:rsid w:val="006F074D"/>
    <w:rsid w:val="006F1614"/>
    <w:rsid w:val="006F381B"/>
    <w:rsid w:val="006F4BF2"/>
    <w:rsid w:val="006F5B5C"/>
    <w:rsid w:val="007021E1"/>
    <w:rsid w:val="0070718B"/>
    <w:rsid w:val="00711FA0"/>
    <w:rsid w:val="007172EB"/>
    <w:rsid w:val="007211B0"/>
    <w:rsid w:val="0073091F"/>
    <w:rsid w:val="00731666"/>
    <w:rsid w:val="00736B19"/>
    <w:rsid w:val="00741930"/>
    <w:rsid w:val="00741BAB"/>
    <w:rsid w:val="0074779F"/>
    <w:rsid w:val="00747E33"/>
    <w:rsid w:val="00747E76"/>
    <w:rsid w:val="00753AC3"/>
    <w:rsid w:val="007554F7"/>
    <w:rsid w:val="00760F11"/>
    <w:rsid w:val="00761F4E"/>
    <w:rsid w:val="007669BA"/>
    <w:rsid w:val="0077243A"/>
    <w:rsid w:val="00775C05"/>
    <w:rsid w:val="00776A37"/>
    <w:rsid w:val="00776C00"/>
    <w:rsid w:val="00777E68"/>
    <w:rsid w:val="00784039"/>
    <w:rsid w:val="0078442E"/>
    <w:rsid w:val="00786257"/>
    <w:rsid w:val="00787780"/>
    <w:rsid w:val="00797048"/>
    <w:rsid w:val="00797AF5"/>
    <w:rsid w:val="007A1865"/>
    <w:rsid w:val="007A2997"/>
    <w:rsid w:val="007A34D0"/>
    <w:rsid w:val="007A3F30"/>
    <w:rsid w:val="007B2C83"/>
    <w:rsid w:val="007B4650"/>
    <w:rsid w:val="007C438E"/>
    <w:rsid w:val="007C5DE9"/>
    <w:rsid w:val="007D02C3"/>
    <w:rsid w:val="007D07B9"/>
    <w:rsid w:val="007F144E"/>
    <w:rsid w:val="007F1E7D"/>
    <w:rsid w:val="007F3A23"/>
    <w:rsid w:val="007F667C"/>
    <w:rsid w:val="008076E2"/>
    <w:rsid w:val="00810659"/>
    <w:rsid w:val="008106FC"/>
    <w:rsid w:val="00811B92"/>
    <w:rsid w:val="00816244"/>
    <w:rsid w:val="0081786D"/>
    <w:rsid w:val="00820F0B"/>
    <w:rsid w:val="00831936"/>
    <w:rsid w:val="008338D0"/>
    <w:rsid w:val="00834BDD"/>
    <w:rsid w:val="00836B82"/>
    <w:rsid w:val="0083728B"/>
    <w:rsid w:val="0084011C"/>
    <w:rsid w:val="00840EDC"/>
    <w:rsid w:val="00843AF7"/>
    <w:rsid w:val="00844B1D"/>
    <w:rsid w:val="00844DA4"/>
    <w:rsid w:val="00845AFB"/>
    <w:rsid w:val="00846E9D"/>
    <w:rsid w:val="00854155"/>
    <w:rsid w:val="00857A86"/>
    <w:rsid w:val="00860EE8"/>
    <w:rsid w:val="00862BDF"/>
    <w:rsid w:val="00864E5F"/>
    <w:rsid w:val="00866E18"/>
    <w:rsid w:val="008702BF"/>
    <w:rsid w:val="00871778"/>
    <w:rsid w:val="00872013"/>
    <w:rsid w:val="00872770"/>
    <w:rsid w:val="00874FF5"/>
    <w:rsid w:val="0088664E"/>
    <w:rsid w:val="00887266"/>
    <w:rsid w:val="00894016"/>
    <w:rsid w:val="008A20F0"/>
    <w:rsid w:val="008A2A87"/>
    <w:rsid w:val="008A7EA8"/>
    <w:rsid w:val="008B0F90"/>
    <w:rsid w:val="008B1DB6"/>
    <w:rsid w:val="008B2184"/>
    <w:rsid w:val="008B2795"/>
    <w:rsid w:val="008B3C62"/>
    <w:rsid w:val="008D0195"/>
    <w:rsid w:val="008D25FD"/>
    <w:rsid w:val="008D5067"/>
    <w:rsid w:val="008E3755"/>
    <w:rsid w:val="008F7006"/>
    <w:rsid w:val="008F74E4"/>
    <w:rsid w:val="00901A3B"/>
    <w:rsid w:val="009038F2"/>
    <w:rsid w:val="00905A78"/>
    <w:rsid w:val="00907509"/>
    <w:rsid w:val="0091224B"/>
    <w:rsid w:val="00912781"/>
    <w:rsid w:val="00916E37"/>
    <w:rsid w:val="0092215B"/>
    <w:rsid w:val="00926221"/>
    <w:rsid w:val="009315EA"/>
    <w:rsid w:val="00933F38"/>
    <w:rsid w:val="00934597"/>
    <w:rsid w:val="00943DD8"/>
    <w:rsid w:val="0095084D"/>
    <w:rsid w:val="00953828"/>
    <w:rsid w:val="009556B1"/>
    <w:rsid w:val="00956F33"/>
    <w:rsid w:val="00961396"/>
    <w:rsid w:val="009642BA"/>
    <w:rsid w:val="00964ABD"/>
    <w:rsid w:val="009702FD"/>
    <w:rsid w:val="00974FEC"/>
    <w:rsid w:val="009757C4"/>
    <w:rsid w:val="00977C9C"/>
    <w:rsid w:val="00983299"/>
    <w:rsid w:val="00994607"/>
    <w:rsid w:val="009A0C1C"/>
    <w:rsid w:val="009A204F"/>
    <w:rsid w:val="009A5DBE"/>
    <w:rsid w:val="009A6713"/>
    <w:rsid w:val="009B2D42"/>
    <w:rsid w:val="009C0491"/>
    <w:rsid w:val="009C2717"/>
    <w:rsid w:val="009C74FF"/>
    <w:rsid w:val="009D0223"/>
    <w:rsid w:val="009D2BE8"/>
    <w:rsid w:val="009D5445"/>
    <w:rsid w:val="009D59FD"/>
    <w:rsid w:val="009D6B2D"/>
    <w:rsid w:val="009E0B35"/>
    <w:rsid w:val="009E25AF"/>
    <w:rsid w:val="009E3FC2"/>
    <w:rsid w:val="009F08A3"/>
    <w:rsid w:val="009F6F2B"/>
    <w:rsid w:val="00A00858"/>
    <w:rsid w:val="00A00F89"/>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61016"/>
    <w:rsid w:val="00A64DBD"/>
    <w:rsid w:val="00A66DF5"/>
    <w:rsid w:val="00A6746C"/>
    <w:rsid w:val="00A677CC"/>
    <w:rsid w:val="00A71B59"/>
    <w:rsid w:val="00A73AC3"/>
    <w:rsid w:val="00A76D03"/>
    <w:rsid w:val="00A825D1"/>
    <w:rsid w:val="00A85EA6"/>
    <w:rsid w:val="00A86564"/>
    <w:rsid w:val="00A8768C"/>
    <w:rsid w:val="00A9074F"/>
    <w:rsid w:val="00A93304"/>
    <w:rsid w:val="00A93C3F"/>
    <w:rsid w:val="00A93D7D"/>
    <w:rsid w:val="00A965F1"/>
    <w:rsid w:val="00A96F3C"/>
    <w:rsid w:val="00A978ED"/>
    <w:rsid w:val="00AA478D"/>
    <w:rsid w:val="00AA65BB"/>
    <w:rsid w:val="00AB1271"/>
    <w:rsid w:val="00AB2C05"/>
    <w:rsid w:val="00AB79DF"/>
    <w:rsid w:val="00AC2024"/>
    <w:rsid w:val="00AC2E25"/>
    <w:rsid w:val="00AC43D3"/>
    <w:rsid w:val="00AC64A2"/>
    <w:rsid w:val="00AC7D9C"/>
    <w:rsid w:val="00AD4CA4"/>
    <w:rsid w:val="00AD57BB"/>
    <w:rsid w:val="00AE39C4"/>
    <w:rsid w:val="00AF6122"/>
    <w:rsid w:val="00B061F5"/>
    <w:rsid w:val="00B07BDC"/>
    <w:rsid w:val="00B10434"/>
    <w:rsid w:val="00B203FD"/>
    <w:rsid w:val="00B21512"/>
    <w:rsid w:val="00B22236"/>
    <w:rsid w:val="00B226BE"/>
    <w:rsid w:val="00B26488"/>
    <w:rsid w:val="00B30E7F"/>
    <w:rsid w:val="00B3615E"/>
    <w:rsid w:val="00B40DEE"/>
    <w:rsid w:val="00B45BF9"/>
    <w:rsid w:val="00B45FF5"/>
    <w:rsid w:val="00B4688C"/>
    <w:rsid w:val="00B479B2"/>
    <w:rsid w:val="00B533D5"/>
    <w:rsid w:val="00B55039"/>
    <w:rsid w:val="00B55771"/>
    <w:rsid w:val="00B67018"/>
    <w:rsid w:val="00B67DAB"/>
    <w:rsid w:val="00B73557"/>
    <w:rsid w:val="00B75F99"/>
    <w:rsid w:val="00B7762C"/>
    <w:rsid w:val="00B77B0D"/>
    <w:rsid w:val="00B8032E"/>
    <w:rsid w:val="00B810C1"/>
    <w:rsid w:val="00B81279"/>
    <w:rsid w:val="00B85C02"/>
    <w:rsid w:val="00B86418"/>
    <w:rsid w:val="00B95DBD"/>
    <w:rsid w:val="00BA0B79"/>
    <w:rsid w:val="00BA0E08"/>
    <w:rsid w:val="00BA2CC6"/>
    <w:rsid w:val="00BA41E8"/>
    <w:rsid w:val="00BA58C3"/>
    <w:rsid w:val="00BB0EF3"/>
    <w:rsid w:val="00BB2FE4"/>
    <w:rsid w:val="00BC6F43"/>
    <w:rsid w:val="00BD1FD1"/>
    <w:rsid w:val="00BD4C9C"/>
    <w:rsid w:val="00BD4EF8"/>
    <w:rsid w:val="00BD6D69"/>
    <w:rsid w:val="00BE16EC"/>
    <w:rsid w:val="00BE4188"/>
    <w:rsid w:val="00BE6E01"/>
    <w:rsid w:val="00BF057F"/>
    <w:rsid w:val="00BF58FE"/>
    <w:rsid w:val="00BF7747"/>
    <w:rsid w:val="00C01E3C"/>
    <w:rsid w:val="00C05039"/>
    <w:rsid w:val="00C050A3"/>
    <w:rsid w:val="00C06BF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C71"/>
    <w:rsid w:val="00C671FE"/>
    <w:rsid w:val="00C7277B"/>
    <w:rsid w:val="00C727C0"/>
    <w:rsid w:val="00C73CE7"/>
    <w:rsid w:val="00C75ADA"/>
    <w:rsid w:val="00C75CC2"/>
    <w:rsid w:val="00C762E8"/>
    <w:rsid w:val="00C77DE2"/>
    <w:rsid w:val="00C83B60"/>
    <w:rsid w:val="00C86F11"/>
    <w:rsid w:val="00C9341E"/>
    <w:rsid w:val="00C9433E"/>
    <w:rsid w:val="00CB41FF"/>
    <w:rsid w:val="00CB4740"/>
    <w:rsid w:val="00CB7DA4"/>
    <w:rsid w:val="00CC0A79"/>
    <w:rsid w:val="00CC3AE1"/>
    <w:rsid w:val="00CC4A14"/>
    <w:rsid w:val="00CC5DDE"/>
    <w:rsid w:val="00CD1386"/>
    <w:rsid w:val="00CE0752"/>
    <w:rsid w:val="00CE0B8F"/>
    <w:rsid w:val="00CE0E8F"/>
    <w:rsid w:val="00CE7E37"/>
    <w:rsid w:val="00CF5474"/>
    <w:rsid w:val="00CF579F"/>
    <w:rsid w:val="00D056DB"/>
    <w:rsid w:val="00D05DC0"/>
    <w:rsid w:val="00D1232A"/>
    <w:rsid w:val="00D14812"/>
    <w:rsid w:val="00D17262"/>
    <w:rsid w:val="00D2288B"/>
    <w:rsid w:val="00D2790A"/>
    <w:rsid w:val="00D421C8"/>
    <w:rsid w:val="00D424D8"/>
    <w:rsid w:val="00D47CC7"/>
    <w:rsid w:val="00D51AE3"/>
    <w:rsid w:val="00D52E12"/>
    <w:rsid w:val="00D5372E"/>
    <w:rsid w:val="00D5756E"/>
    <w:rsid w:val="00D66266"/>
    <w:rsid w:val="00D720E7"/>
    <w:rsid w:val="00D72B7F"/>
    <w:rsid w:val="00D740F6"/>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18CE"/>
    <w:rsid w:val="00DE6159"/>
    <w:rsid w:val="00DE6A50"/>
    <w:rsid w:val="00DF156B"/>
    <w:rsid w:val="00DF2702"/>
    <w:rsid w:val="00DF30AE"/>
    <w:rsid w:val="00E01744"/>
    <w:rsid w:val="00E036DB"/>
    <w:rsid w:val="00E12924"/>
    <w:rsid w:val="00E202B3"/>
    <w:rsid w:val="00E23EE7"/>
    <w:rsid w:val="00E25ABF"/>
    <w:rsid w:val="00E27AEB"/>
    <w:rsid w:val="00E30102"/>
    <w:rsid w:val="00E32E67"/>
    <w:rsid w:val="00E33EA6"/>
    <w:rsid w:val="00E367B6"/>
    <w:rsid w:val="00E37703"/>
    <w:rsid w:val="00E41868"/>
    <w:rsid w:val="00E428C3"/>
    <w:rsid w:val="00E4355A"/>
    <w:rsid w:val="00E44992"/>
    <w:rsid w:val="00E515ED"/>
    <w:rsid w:val="00E54E1E"/>
    <w:rsid w:val="00E551F0"/>
    <w:rsid w:val="00E552A3"/>
    <w:rsid w:val="00E5593A"/>
    <w:rsid w:val="00E55E45"/>
    <w:rsid w:val="00E577D9"/>
    <w:rsid w:val="00E60B63"/>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72F6"/>
    <w:rsid w:val="00EF3B3E"/>
    <w:rsid w:val="00EF4B63"/>
    <w:rsid w:val="00EF4B7F"/>
    <w:rsid w:val="00EF5617"/>
    <w:rsid w:val="00EF7FC7"/>
    <w:rsid w:val="00EF7FE3"/>
    <w:rsid w:val="00F00DB1"/>
    <w:rsid w:val="00F02139"/>
    <w:rsid w:val="00F10F7C"/>
    <w:rsid w:val="00F12AC4"/>
    <w:rsid w:val="00F12BD9"/>
    <w:rsid w:val="00F13A12"/>
    <w:rsid w:val="00F1523B"/>
    <w:rsid w:val="00F25727"/>
    <w:rsid w:val="00F25C57"/>
    <w:rsid w:val="00F31AF5"/>
    <w:rsid w:val="00F31FE3"/>
    <w:rsid w:val="00F32974"/>
    <w:rsid w:val="00F36309"/>
    <w:rsid w:val="00F50D7E"/>
    <w:rsid w:val="00F51412"/>
    <w:rsid w:val="00F51CB8"/>
    <w:rsid w:val="00F541A1"/>
    <w:rsid w:val="00F54DF4"/>
    <w:rsid w:val="00F550DD"/>
    <w:rsid w:val="00F6040D"/>
    <w:rsid w:val="00F6358F"/>
    <w:rsid w:val="00F63A32"/>
    <w:rsid w:val="00F73F1A"/>
    <w:rsid w:val="00F77498"/>
    <w:rsid w:val="00F869C1"/>
    <w:rsid w:val="00FA2319"/>
    <w:rsid w:val="00FA7B06"/>
    <w:rsid w:val="00FB0251"/>
    <w:rsid w:val="00FB3EE8"/>
    <w:rsid w:val="00FB3F7C"/>
    <w:rsid w:val="00FB62CF"/>
    <w:rsid w:val="00FC2853"/>
    <w:rsid w:val="00FC78CD"/>
    <w:rsid w:val="00FD4EB0"/>
    <w:rsid w:val="00FD6A94"/>
    <w:rsid w:val="00FE1814"/>
    <w:rsid w:val="00FE7737"/>
    <w:rsid w:val="00FF5E8D"/>
    <w:rsid w:val="00FF6ACD"/>
    <w:rsid w:val="01735DA2"/>
    <w:rsid w:val="07CA2C72"/>
    <w:rsid w:val="08140D25"/>
    <w:rsid w:val="086F1377"/>
    <w:rsid w:val="09D8474E"/>
    <w:rsid w:val="0AEF7181"/>
    <w:rsid w:val="0B105C3D"/>
    <w:rsid w:val="0B2B4E4B"/>
    <w:rsid w:val="0C2E0118"/>
    <w:rsid w:val="0E5909A6"/>
    <w:rsid w:val="0FC268FA"/>
    <w:rsid w:val="10923D08"/>
    <w:rsid w:val="11653954"/>
    <w:rsid w:val="117B27EC"/>
    <w:rsid w:val="124D39E5"/>
    <w:rsid w:val="128751C5"/>
    <w:rsid w:val="12AD1419"/>
    <w:rsid w:val="13583569"/>
    <w:rsid w:val="17B91FAA"/>
    <w:rsid w:val="18B708FC"/>
    <w:rsid w:val="19062B2E"/>
    <w:rsid w:val="1A6C68D0"/>
    <w:rsid w:val="1B4F4C01"/>
    <w:rsid w:val="1C8328DB"/>
    <w:rsid w:val="1CE61736"/>
    <w:rsid w:val="1CEB4EF0"/>
    <w:rsid w:val="1DB101A6"/>
    <w:rsid w:val="1DF15265"/>
    <w:rsid w:val="1E356B14"/>
    <w:rsid w:val="1F7F4E5C"/>
    <w:rsid w:val="21432525"/>
    <w:rsid w:val="23E62863"/>
    <w:rsid w:val="24196C1F"/>
    <w:rsid w:val="28026729"/>
    <w:rsid w:val="29CE665E"/>
    <w:rsid w:val="2BE7031D"/>
    <w:rsid w:val="2CE00C6B"/>
    <w:rsid w:val="2D2D49F0"/>
    <w:rsid w:val="2EAC0272"/>
    <w:rsid w:val="2EDF19C0"/>
    <w:rsid w:val="2FBE6B51"/>
    <w:rsid w:val="2FE40D78"/>
    <w:rsid w:val="309A4933"/>
    <w:rsid w:val="31372A24"/>
    <w:rsid w:val="326C5661"/>
    <w:rsid w:val="34E0421D"/>
    <w:rsid w:val="353B5DF8"/>
    <w:rsid w:val="365C63D1"/>
    <w:rsid w:val="37F52655"/>
    <w:rsid w:val="382A650A"/>
    <w:rsid w:val="3B7740E2"/>
    <w:rsid w:val="3B7E3AE6"/>
    <w:rsid w:val="3B9D0BF6"/>
    <w:rsid w:val="3DC54E47"/>
    <w:rsid w:val="41D164EC"/>
    <w:rsid w:val="41DC5F52"/>
    <w:rsid w:val="422917F8"/>
    <w:rsid w:val="42D707AF"/>
    <w:rsid w:val="44AF103D"/>
    <w:rsid w:val="44E23D1F"/>
    <w:rsid w:val="45B22677"/>
    <w:rsid w:val="46923B15"/>
    <w:rsid w:val="471269E3"/>
    <w:rsid w:val="497E1F7C"/>
    <w:rsid w:val="4A9816CD"/>
    <w:rsid w:val="4AB73EEE"/>
    <w:rsid w:val="4B0F33F1"/>
    <w:rsid w:val="4B7B4853"/>
    <w:rsid w:val="4C001815"/>
    <w:rsid w:val="4ED36FD8"/>
    <w:rsid w:val="51113276"/>
    <w:rsid w:val="516E106E"/>
    <w:rsid w:val="52065DB8"/>
    <w:rsid w:val="522E3600"/>
    <w:rsid w:val="527C26D4"/>
    <w:rsid w:val="535D2F83"/>
    <w:rsid w:val="53E577F0"/>
    <w:rsid w:val="541616CD"/>
    <w:rsid w:val="568A5004"/>
    <w:rsid w:val="568C79B1"/>
    <w:rsid w:val="57DB53EB"/>
    <w:rsid w:val="59493633"/>
    <w:rsid w:val="5A9C0987"/>
    <w:rsid w:val="5F4A15F7"/>
    <w:rsid w:val="63A616EE"/>
    <w:rsid w:val="643375DD"/>
    <w:rsid w:val="643A6841"/>
    <w:rsid w:val="657333CA"/>
    <w:rsid w:val="65E3738D"/>
    <w:rsid w:val="66F47C9F"/>
    <w:rsid w:val="69B92841"/>
    <w:rsid w:val="6A403B6B"/>
    <w:rsid w:val="6C643B8E"/>
    <w:rsid w:val="6C6B6F3C"/>
    <w:rsid w:val="6CDB76EC"/>
    <w:rsid w:val="6CE448A1"/>
    <w:rsid w:val="6D135A81"/>
    <w:rsid w:val="6D201733"/>
    <w:rsid w:val="6E125AE1"/>
    <w:rsid w:val="6FC80E13"/>
    <w:rsid w:val="71F055C6"/>
    <w:rsid w:val="7337170E"/>
    <w:rsid w:val="740742C5"/>
    <w:rsid w:val="761F7357"/>
    <w:rsid w:val="76412F66"/>
    <w:rsid w:val="76BD7D00"/>
    <w:rsid w:val="775E1164"/>
    <w:rsid w:val="778F3CF8"/>
    <w:rsid w:val="78841034"/>
    <w:rsid w:val="79CD6420"/>
    <w:rsid w:val="79CF54C3"/>
    <w:rsid w:val="79E96DB7"/>
    <w:rsid w:val="7D781589"/>
    <w:rsid w:val="7DC037B5"/>
    <w:rsid w:val="7E5010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3">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spacing w:line="360" w:lineRule="auto"/>
    </w:pPr>
    <w:rPr>
      <w:rFonts w:ascii="Arial" w:hAnsi="Arial"/>
      <w:sz w:val="24"/>
    </w:rPr>
  </w:style>
  <w:style w:type="paragraph" w:styleId="5">
    <w:name w:val="Date"/>
    <w:basedOn w:val="1"/>
    <w:next w:val="1"/>
    <w:link w:val="16"/>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3"/>
    <w:next w:val="1"/>
    <w:autoRedefine/>
    <w:qFormat/>
    <w:uiPriority w:val="0"/>
    <w:pPr>
      <w:ind w:left="0" w:leftChars="0" w:firstLine="420" w:firstLineChars="200"/>
      <w:jc w:val="left"/>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character" w:customStyle="1" w:styleId="16">
    <w:name w:val="日期 Char"/>
    <w:basedOn w:val="13"/>
    <w:link w:val="5"/>
    <w:qFormat/>
    <w:uiPriority w:val="0"/>
    <w:rPr>
      <w:rFonts w:eastAsia="仿宋_GB2312"/>
      <w:kern w:val="2"/>
      <w:sz w:val="32"/>
    </w:rPr>
  </w:style>
  <w:style w:type="character" w:customStyle="1" w:styleId="17">
    <w:name w:val="15"/>
    <w:basedOn w:val="13"/>
    <w:autoRedefine/>
    <w:qFormat/>
    <w:uiPriority w:val="0"/>
    <w:rPr>
      <w:rFonts w:hint="default" w:ascii="Calibri" w:hAnsi="Calibri"/>
      <w:color w:val="0000FF"/>
      <w:u w:val="single"/>
    </w:rPr>
  </w:style>
  <w:style w:type="paragraph" w:customStyle="1" w:styleId="18">
    <w:name w:val="List Paragraph"/>
    <w:basedOn w:val="1"/>
    <w:qFormat/>
    <w:uiPriority w:val="0"/>
    <w:pPr>
      <w:ind w:firstLine="420" w:firstLineChars="200"/>
    </w:pPr>
    <w:rPr>
      <w:rFonts w:ascii="Calibri" w:hAnsi="Calibri"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8025</Words>
  <Characters>8787</Characters>
  <Lines>36</Lines>
  <Paragraphs>10</Paragraphs>
  <TotalTime>2</TotalTime>
  <ScaleCrop>false</ScaleCrop>
  <LinksUpToDate>false</LinksUpToDate>
  <CharactersWithSpaces>8865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2021-07-16T00:54:00Z</dcterms:created>
  <dc:creator>杨丽</dc:creator>
  <cp:lastModifiedBy>Administrator</cp:lastModifiedBy>
  <cp:lastPrinted>2020-09-11T00:30:00Z</cp:lastPrinted>
  <dcterms:modified xsi:type="dcterms:W3CDTF">2024-09-26T07:36:06Z</dcterms:modified>
  <dc:title>财〔2002〕号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63D9D32A23E9485FA0627AD793C12572_13</vt:lpwstr>
  </property>
</Properties>
</file>