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7432B"/>
    <w:p w14:paraId="7CC88157">
      <w:pPr>
        <w:ind w:left="480"/>
      </w:pPr>
    </w:p>
    <w:p w14:paraId="3316D3B4">
      <w:pPr>
        <w:ind w:left="480"/>
      </w:pPr>
    </w:p>
    <w:p w14:paraId="0DC465DA">
      <w:pPr>
        <w:adjustRightInd w:val="0"/>
        <w:snapToGrid w:val="0"/>
        <w:ind w:firstLine="0" w:firstLineChars="0"/>
        <w:outlineLvl w:val="0"/>
        <w:rPr>
          <w:bCs/>
          <w:sz w:val="72"/>
          <w:szCs w:val="72"/>
        </w:rPr>
      </w:pPr>
      <w:bookmarkStart w:id="0" w:name="_Toc5337"/>
      <w:bookmarkStart w:id="1" w:name="_Toc21174"/>
      <w:r>
        <w:rPr>
          <w:rFonts w:hint="eastAsia"/>
          <w:bCs/>
          <w:sz w:val="72"/>
          <w:szCs w:val="72"/>
        </w:rPr>
        <w:t>建设项目环境影响报告表</w:t>
      </w:r>
      <w:bookmarkEnd w:id="0"/>
      <w:bookmarkEnd w:id="1"/>
    </w:p>
    <w:p w14:paraId="42841E48">
      <w:pPr>
        <w:adjustRightInd w:val="0"/>
        <w:snapToGrid w:val="0"/>
        <w:spacing w:before="249" w:beforeLines="80"/>
        <w:ind w:firstLine="0" w:firstLineChars="0"/>
        <w:jc w:val="center"/>
        <w:rPr>
          <w:bCs/>
          <w:sz w:val="48"/>
          <w:szCs w:val="48"/>
        </w:rPr>
      </w:pPr>
      <w:bookmarkStart w:id="2" w:name="_Toc12840"/>
      <w:r>
        <w:rPr>
          <w:rFonts w:hint="eastAsia"/>
          <w:bCs/>
          <w:sz w:val="48"/>
          <w:szCs w:val="48"/>
        </w:rPr>
        <w:t>（污染影响类）</w:t>
      </w:r>
      <w:bookmarkEnd w:id="2"/>
    </w:p>
    <w:p w14:paraId="618A91F0"/>
    <w:p w14:paraId="1C0D7F9A"/>
    <w:p w14:paraId="4CE50180"/>
    <w:p w14:paraId="08775B14">
      <w:pPr>
        <w:ind w:firstLine="1040"/>
        <w:jc w:val="center"/>
        <w:rPr>
          <w:sz w:val="52"/>
          <w:szCs w:val="52"/>
        </w:rPr>
      </w:pPr>
    </w:p>
    <w:p w14:paraId="65EDBDFE">
      <w:pPr>
        <w:ind w:left="480"/>
      </w:pPr>
    </w:p>
    <w:p w14:paraId="6C9EAE29"/>
    <w:p w14:paraId="1E8C4286">
      <w:pPr>
        <w:ind w:firstLine="880"/>
        <w:rPr>
          <w:sz w:val="44"/>
          <w:szCs w:val="44"/>
        </w:rPr>
      </w:pPr>
    </w:p>
    <w:p w14:paraId="05E0CA40">
      <w:pPr>
        <w:adjustRightInd w:val="0"/>
        <w:snapToGrid w:val="0"/>
        <w:spacing w:line="288" w:lineRule="auto"/>
        <w:ind w:left="360" w:leftChars="150" w:firstLine="0" w:firstLineChars="0"/>
        <w:rPr>
          <w:sz w:val="36"/>
          <w:szCs w:val="36"/>
          <w:u w:val="single"/>
        </w:rPr>
      </w:pPr>
      <w:bookmarkStart w:id="3" w:name="_Toc14219"/>
      <w:r>
        <w:rPr>
          <w:rFonts w:hint="eastAsia"/>
          <w:sz w:val="36"/>
          <w:szCs w:val="36"/>
        </w:rPr>
        <w:t>项目名称：</w:t>
      </w:r>
      <w:r>
        <w:rPr>
          <w:rFonts w:hint="eastAsia"/>
          <w:sz w:val="36"/>
          <w:szCs w:val="36"/>
          <w:u w:val="single"/>
        </w:rPr>
        <w:t xml:space="preserve"> </w:t>
      </w:r>
      <w:bookmarkEnd w:id="3"/>
      <w:r>
        <w:rPr>
          <w:rFonts w:hint="eastAsia"/>
          <w:sz w:val="36"/>
          <w:szCs w:val="36"/>
          <w:u w:val="single"/>
        </w:rPr>
        <w:t xml:space="preserve">年产1000吨速冻食品项目  </w:t>
      </w:r>
    </w:p>
    <w:p w14:paraId="1BBBBC3D">
      <w:pPr>
        <w:adjustRightInd w:val="0"/>
        <w:snapToGrid w:val="0"/>
        <w:spacing w:line="288" w:lineRule="auto"/>
        <w:ind w:left="1800" w:leftChars="150" w:hanging="1440" w:hangingChars="400"/>
        <w:rPr>
          <w:sz w:val="36"/>
          <w:szCs w:val="36"/>
          <w:u w:val="single"/>
        </w:rPr>
      </w:pPr>
      <w:bookmarkStart w:id="4" w:name="_Toc13664"/>
      <w:r>
        <w:rPr>
          <w:rFonts w:hint="eastAsia"/>
          <w:sz w:val="36"/>
          <w:szCs w:val="36"/>
        </w:rPr>
        <w:t>建设单位（盖章）：</w:t>
      </w:r>
      <w:bookmarkEnd w:id="4"/>
      <w:r>
        <w:rPr>
          <w:rFonts w:hint="eastAsia"/>
          <w:sz w:val="36"/>
          <w:szCs w:val="36"/>
          <w:u w:val="single"/>
        </w:rPr>
        <w:t xml:space="preserve">安徽麦锦餐饮管理有限公司 </w:t>
      </w:r>
    </w:p>
    <w:p w14:paraId="0C31327A">
      <w:pPr>
        <w:adjustRightInd w:val="0"/>
        <w:snapToGrid w:val="0"/>
        <w:spacing w:line="288" w:lineRule="auto"/>
        <w:ind w:firstLine="360" w:firstLineChars="100"/>
        <w:rPr>
          <w:sz w:val="36"/>
          <w:szCs w:val="36"/>
          <w:u w:val="single"/>
        </w:rPr>
      </w:pPr>
      <w:bookmarkStart w:id="5" w:name="_Toc24599"/>
      <w:r>
        <w:rPr>
          <w:rFonts w:hint="eastAsia"/>
          <w:sz w:val="36"/>
          <w:szCs w:val="36"/>
        </w:rPr>
        <w:t>编制日期：</w:t>
      </w:r>
      <w:bookmarkEnd w:id="5"/>
      <w:r>
        <w:rPr>
          <w:rFonts w:hint="eastAsia"/>
          <w:sz w:val="36"/>
          <w:szCs w:val="36"/>
          <w:u w:val="single"/>
        </w:rPr>
        <w:t xml:space="preserve">            2024年9月                  </w:t>
      </w:r>
    </w:p>
    <w:p w14:paraId="566A1C47">
      <w:pPr>
        <w:adjustRightInd w:val="0"/>
        <w:snapToGrid w:val="0"/>
        <w:spacing w:line="288" w:lineRule="auto"/>
        <w:ind w:firstLine="0" w:firstLineChars="0"/>
        <w:jc w:val="center"/>
        <w:rPr>
          <w:sz w:val="36"/>
          <w:szCs w:val="36"/>
        </w:rPr>
      </w:pPr>
      <w:bookmarkStart w:id="6" w:name="_Toc24757"/>
      <w:bookmarkStart w:id="7" w:name="_Toc18621"/>
    </w:p>
    <w:p w14:paraId="3FCBC535">
      <w:pPr>
        <w:adjustRightInd w:val="0"/>
        <w:snapToGrid w:val="0"/>
        <w:spacing w:line="288" w:lineRule="auto"/>
        <w:ind w:firstLine="0" w:firstLineChars="0"/>
        <w:jc w:val="center"/>
        <w:rPr>
          <w:sz w:val="36"/>
          <w:szCs w:val="36"/>
        </w:rPr>
      </w:pPr>
    </w:p>
    <w:p w14:paraId="07594DEF">
      <w:pPr>
        <w:adjustRightInd w:val="0"/>
        <w:snapToGrid w:val="0"/>
        <w:spacing w:line="288" w:lineRule="auto"/>
        <w:ind w:firstLine="0" w:firstLineChars="0"/>
        <w:jc w:val="center"/>
        <w:rPr>
          <w:sz w:val="36"/>
          <w:szCs w:val="36"/>
        </w:rPr>
      </w:pPr>
    </w:p>
    <w:p w14:paraId="080F8ED6">
      <w:pPr>
        <w:adjustRightInd w:val="0"/>
        <w:snapToGrid w:val="0"/>
        <w:spacing w:line="288" w:lineRule="auto"/>
        <w:ind w:firstLine="0" w:firstLineChars="0"/>
        <w:jc w:val="center"/>
        <w:rPr>
          <w:sz w:val="36"/>
          <w:szCs w:val="36"/>
        </w:rPr>
      </w:pPr>
    </w:p>
    <w:p w14:paraId="57E76662">
      <w:pPr>
        <w:adjustRightInd w:val="0"/>
        <w:snapToGrid w:val="0"/>
        <w:spacing w:line="288" w:lineRule="auto"/>
        <w:ind w:firstLine="0" w:firstLineChars="0"/>
        <w:jc w:val="center"/>
        <w:rPr>
          <w:sz w:val="36"/>
          <w:szCs w:val="36"/>
        </w:rPr>
      </w:pPr>
    </w:p>
    <w:p w14:paraId="634F91BF">
      <w:pPr>
        <w:adjustRightInd w:val="0"/>
        <w:snapToGrid w:val="0"/>
        <w:spacing w:line="288" w:lineRule="auto"/>
        <w:ind w:firstLine="0" w:firstLineChars="0"/>
        <w:jc w:val="center"/>
        <w:rPr>
          <w:sz w:val="36"/>
          <w:szCs w:val="36"/>
        </w:rPr>
      </w:pPr>
    </w:p>
    <w:p w14:paraId="7E97258C">
      <w:pPr>
        <w:adjustRightInd w:val="0"/>
        <w:snapToGrid w:val="0"/>
        <w:spacing w:line="288" w:lineRule="auto"/>
        <w:ind w:firstLine="0" w:firstLineChars="0"/>
        <w:jc w:val="center"/>
        <w:rPr>
          <w:sz w:val="36"/>
          <w:szCs w:val="36"/>
        </w:rPr>
      </w:pPr>
    </w:p>
    <w:p w14:paraId="4ECB0E87">
      <w:pPr>
        <w:adjustRightInd w:val="0"/>
        <w:snapToGrid w:val="0"/>
        <w:spacing w:line="288" w:lineRule="auto"/>
        <w:ind w:firstLine="0" w:firstLineChars="0"/>
        <w:jc w:val="center"/>
        <w:rPr>
          <w:sz w:val="36"/>
          <w:szCs w:val="36"/>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pPr>
      <w:r>
        <w:rPr>
          <w:rFonts w:hint="eastAsia"/>
          <w:sz w:val="36"/>
          <w:szCs w:val="36"/>
        </w:rPr>
        <w:t>中华人民共和国生态环境部制</w:t>
      </w:r>
      <w:bookmarkEnd w:id="6"/>
      <w:bookmarkEnd w:id="7"/>
    </w:p>
    <w:p w14:paraId="1886A979">
      <w:pPr>
        <w:pStyle w:val="15"/>
        <w:ind w:firstLine="360"/>
      </w:pPr>
    </w:p>
    <w:p w14:paraId="012058C8">
      <w:pPr>
        <w:ind w:firstLine="720"/>
        <w:rPr>
          <w:sz w:val="36"/>
          <w:szCs w:val="36"/>
        </w:rPr>
      </w:pPr>
      <w:r>
        <w:rPr>
          <w:rFonts w:hint="eastAsia"/>
          <w:sz w:val="36"/>
          <w:szCs w:val="36"/>
        </w:rPr>
        <w:br w:type="page"/>
      </w:r>
    </w:p>
    <w:p w14:paraId="0E3869AE">
      <w:pPr>
        <w:numPr>
          <w:ilvl w:val="0"/>
          <w:numId w:val="1"/>
        </w:numPr>
        <w:ind w:firstLine="0" w:firstLineChars="0"/>
        <w:jc w:val="center"/>
        <w:outlineLvl w:val="0"/>
        <w:rPr>
          <w:rFonts w:hint="eastAsia" w:ascii="黑体" w:hAnsi="黑体" w:eastAsia="黑体"/>
          <w:snapToGrid w:val="0"/>
          <w:sz w:val="30"/>
          <w:szCs w:val="30"/>
        </w:rPr>
        <w:sectPr>
          <w:pgSz w:w="11906" w:h="16838"/>
          <w:pgMar w:top="1440" w:right="1800" w:bottom="1440" w:left="1800" w:header="851" w:footer="992" w:gutter="0"/>
          <w:cols w:space="425" w:num="1"/>
          <w:docGrid w:type="lines" w:linePitch="312" w:charSpace="0"/>
        </w:sectPr>
      </w:pPr>
      <w:bookmarkStart w:id="8" w:name="_Toc23625"/>
    </w:p>
    <w:p w14:paraId="3C7CE6BF">
      <w:pPr>
        <w:numPr>
          <w:ilvl w:val="0"/>
          <w:numId w:val="1"/>
        </w:numPr>
        <w:ind w:firstLine="0" w:firstLineChars="0"/>
        <w:jc w:val="center"/>
        <w:outlineLvl w:val="0"/>
        <w:rPr>
          <w:rFonts w:hint="eastAsia" w:ascii="黑体" w:hAnsi="黑体" w:eastAsia="黑体"/>
          <w:snapToGrid w:val="0"/>
          <w:sz w:val="30"/>
          <w:szCs w:val="30"/>
        </w:rPr>
      </w:pPr>
      <w:r>
        <w:rPr>
          <w:rFonts w:hint="eastAsia" w:ascii="黑体" w:hAnsi="黑体" w:eastAsia="黑体"/>
          <w:snapToGrid w:val="0"/>
          <w:sz w:val="30"/>
          <w:szCs w:val="30"/>
        </w:rPr>
        <w:t>建设项目基本情况</w:t>
      </w:r>
      <w:bookmarkEnd w:id="8"/>
    </w:p>
    <w:tbl>
      <w:tblPr>
        <w:tblStyle w:val="22"/>
        <w:tblW w:w="88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18"/>
        <w:gridCol w:w="615"/>
        <w:gridCol w:w="2055"/>
        <w:gridCol w:w="2078"/>
        <w:gridCol w:w="2904"/>
      </w:tblGrid>
      <w:tr w14:paraId="6B6AB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1EAD055B">
            <w:pPr>
              <w:ind w:firstLine="0" w:firstLineChars="0"/>
              <w:jc w:val="center"/>
            </w:pPr>
            <w:r>
              <w:rPr>
                <w:rFonts w:hint="eastAsia"/>
              </w:rPr>
              <w:t>建设项目名称</w:t>
            </w:r>
          </w:p>
        </w:tc>
        <w:tc>
          <w:tcPr>
            <w:tcW w:w="7037" w:type="dxa"/>
            <w:gridSpan w:val="3"/>
            <w:tcBorders>
              <w:tl2br w:val="nil"/>
              <w:tr2bl w:val="nil"/>
            </w:tcBorders>
            <w:vAlign w:val="center"/>
          </w:tcPr>
          <w:p w14:paraId="6EB330F9">
            <w:pPr>
              <w:ind w:firstLine="0" w:firstLineChars="0"/>
              <w:jc w:val="center"/>
            </w:pPr>
            <w:r>
              <w:rPr>
                <w:rFonts w:hint="eastAsia"/>
              </w:rPr>
              <w:t>年产1000吨速冻食品项目</w:t>
            </w:r>
          </w:p>
        </w:tc>
      </w:tr>
      <w:tr w14:paraId="664C9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778DDAA9">
            <w:pPr>
              <w:ind w:firstLine="0" w:firstLineChars="0"/>
              <w:jc w:val="center"/>
            </w:pPr>
            <w:r>
              <w:rPr>
                <w:rFonts w:hint="eastAsia"/>
              </w:rPr>
              <w:t>项目代码</w:t>
            </w:r>
          </w:p>
        </w:tc>
        <w:tc>
          <w:tcPr>
            <w:tcW w:w="7037" w:type="dxa"/>
            <w:gridSpan w:val="3"/>
            <w:tcBorders>
              <w:tl2br w:val="nil"/>
              <w:tr2bl w:val="nil"/>
            </w:tcBorders>
            <w:vAlign w:val="center"/>
          </w:tcPr>
          <w:p w14:paraId="180A82E7">
            <w:pPr>
              <w:ind w:firstLine="0" w:firstLineChars="0"/>
              <w:jc w:val="center"/>
            </w:pPr>
            <w:r>
              <w:rPr>
                <w:rFonts w:hint="eastAsia"/>
              </w:rPr>
              <w:t>2408-340603-04-01-886796</w:t>
            </w:r>
          </w:p>
        </w:tc>
      </w:tr>
      <w:tr w14:paraId="5F5EA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22FC62D0">
            <w:pPr>
              <w:ind w:firstLine="0" w:firstLineChars="0"/>
              <w:jc w:val="center"/>
            </w:pPr>
            <w:r>
              <w:rPr>
                <w:rFonts w:hint="eastAsia"/>
              </w:rPr>
              <w:t>建设单位联系人</w:t>
            </w:r>
          </w:p>
        </w:tc>
        <w:tc>
          <w:tcPr>
            <w:tcW w:w="2055" w:type="dxa"/>
            <w:tcBorders>
              <w:tl2br w:val="nil"/>
              <w:tr2bl w:val="nil"/>
            </w:tcBorders>
            <w:vAlign w:val="center"/>
          </w:tcPr>
          <w:p w14:paraId="4767822E">
            <w:pPr>
              <w:ind w:firstLine="0" w:firstLineChars="0"/>
              <w:jc w:val="center"/>
            </w:pPr>
            <w:r>
              <w:rPr>
                <w:rFonts w:hint="eastAsia"/>
              </w:rPr>
              <w:t>阚</w:t>
            </w:r>
            <w:r>
              <w:rPr>
                <w:rFonts w:hint="eastAsia"/>
                <w:lang w:val="en-US" w:eastAsia="zh-CN"/>
              </w:rPr>
              <w:t>*</w:t>
            </w:r>
            <w:bookmarkStart w:id="44" w:name="_GoBack"/>
            <w:bookmarkEnd w:id="44"/>
            <w:r>
              <w:rPr>
                <w:rFonts w:hint="eastAsia"/>
              </w:rPr>
              <w:t>学</w:t>
            </w:r>
          </w:p>
        </w:tc>
        <w:tc>
          <w:tcPr>
            <w:tcW w:w="2078" w:type="dxa"/>
            <w:tcBorders>
              <w:tl2br w:val="nil"/>
              <w:tr2bl w:val="nil"/>
            </w:tcBorders>
            <w:vAlign w:val="center"/>
          </w:tcPr>
          <w:p w14:paraId="68F9F686">
            <w:pPr>
              <w:ind w:firstLine="0" w:firstLineChars="0"/>
              <w:jc w:val="center"/>
            </w:pPr>
            <w:r>
              <w:rPr>
                <w:rFonts w:hint="eastAsia"/>
              </w:rPr>
              <w:t>联系方式</w:t>
            </w:r>
          </w:p>
        </w:tc>
        <w:tc>
          <w:tcPr>
            <w:tcW w:w="2904" w:type="dxa"/>
            <w:tcBorders>
              <w:tl2br w:val="nil"/>
              <w:tr2bl w:val="nil"/>
            </w:tcBorders>
            <w:vAlign w:val="center"/>
          </w:tcPr>
          <w:p w14:paraId="58736E63">
            <w:pPr>
              <w:ind w:firstLine="0" w:firstLineChars="0"/>
              <w:jc w:val="center"/>
            </w:pPr>
          </w:p>
        </w:tc>
      </w:tr>
      <w:tr w14:paraId="395B8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4C67C8E1">
            <w:pPr>
              <w:ind w:firstLine="0" w:firstLineChars="0"/>
              <w:jc w:val="center"/>
            </w:pPr>
            <w:r>
              <w:rPr>
                <w:rFonts w:hint="eastAsia"/>
              </w:rPr>
              <w:t>建设地点</w:t>
            </w:r>
          </w:p>
        </w:tc>
        <w:tc>
          <w:tcPr>
            <w:tcW w:w="7037" w:type="dxa"/>
            <w:gridSpan w:val="3"/>
            <w:tcBorders>
              <w:tl2br w:val="nil"/>
              <w:tr2bl w:val="nil"/>
            </w:tcBorders>
            <w:vAlign w:val="center"/>
          </w:tcPr>
          <w:p w14:paraId="44923DD9">
            <w:pPr>
              <w:ind w:firstLine="0" w:firstLineChars="0"/>
              <w:jc w:val="center"/>
            </w:pPr>
            <w:r>
              <w:rPr>
                <w:color w:val="0000FF"/>
              </w:rPr>
              <w:t>安徽淮北相山经济开发区凤冠路3号</w:t>
            </w:r>
          </w:p>
        </w:tc>
      </w:tr>
      <w:tr w14:paraId="472FD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083F99D9">
            <w:pPr>
              <w:ind w:firstLine="0" w:firstLineChars="0"/>
              <w:jc w:val="center"/>
            </w:pPr>
            <w:r>
              <w:rPr>
                <w:rFonts w:hint="eastAsia"/>
              </w:rPr>
              <w:t>地理坐标</w:t>
            </w:r>
          </w:p>
        </w:tc>
        <w:tc>
          <w:tcPr>
            <w:tcW w:w="7037" w:type="dxa"/>
            <w:gridSpan w:val="3"/>
            <w:tcBorders>
              <w:tl2br w:val="nil"/>
              <w:tr2bl w:val="nil"/>
            </w:tcBorders>
            <w:vAlign w:val="center"/>
          </w:tcPr>
          <w:p w14:paraId="0AFDD70D">
            <w:pPr>
              <w:ind w:firstLine="0" w:firstLineChars="0"/>
              <w:jc w:val="center"/>
              <w:rPr>
                <w:color w:val="0000FF"/>
              </w:rPr>
            </w:pPr>
            <w:r>
              <w:rPr>
                <w:rFonts w:hint="eastAsia"/>
                <w:color w:val="0000FF"/>
              </w:rPr>
              <w:t>（</w:t>
            </w:r>
            <w:r>
              <w:rPr>
                <w:rFonts w:hint="eastAsia"/>
                <w:color w:val="0000FF"/>
                <w:u w:val="single"/>
              </w:rPr>
              <w:t>116</w:t>
            </w:r>
            <w:r>
              <w:rPr>
                <w:rFonts w:hint="eastAsia"/>
                <w:color w:val="0000FF"/>
              </w:rPr>
              <w:t>度</w:t>
            </w:r>
            <w:r>
              <w:rPr>
                <w:rFonts w:hint="eastAsia"/>
                <w:color w:val="0000FF"/>
                <w:u w:val="single"/>
              </w:rPr>
              <w:t>45</w:t>
            </w:r>
            <w:r>
              <w:rPr>
                <w:rFonts w:hint="eastAsia"/>
                <w:color w:val="0000FF"/>
              </w:rPr>
              <w:t>分</w:t>
            </w:r>
            <w:r>
              <w:rPr>
                <w:rFonts w:hint="eastAsia"/>
                <w:color w:val="0000FF"/>
                <w:u w:val="single"/>
              </w:rPr>
              <w:t>14.989</w:t>
            </w:r>
            <w:r>
              <w:rPr>
                <w:rFonts w:hint="eastAsia"/>
                <w:color w:val="0000FF"/>
              </w:rPr>
              <w:t>秒，</w:t>
            </w:r>
            <w:r>
              <w:rPr>
                <w:rFonts w:hint="eastAsia"/>
                <w:color w:val="0000FF"/>
                <w:u w:val="single"/>
              </w:rPr>
              <w:t>33</w:t>
            </w:r>
            <w:r>
              <w:rPr>
                <w:rFonts w:hint="eastAsia"/>
                <w:color w:val="0000FF"/>
              </w:rPr>
              <w:t>度</w:t>
            </w:r>
            <w:r>
              <w:rPr>
                <w:rFonts w:hint="eastAsia"/>
                <w:color w:val="0000FF"/>
                <w:u w:val="single"/>
              </w:rPr>
              <w:t>59</w:t>
            </w:r>
            <w:r>
              <w:rPr>
                <w:rFonts w:hint="eastAsia"/>
                <w:color w:val="0000FF"/>
              </w:rPr>
              <w:t>分</w:t>
            </w:r>
            <w:r>
              <w:rPr>
                <w:rFonts w:hint="eastAsia"/>
                <w:color w:val="0000FF"/>
                <w:u w:val="single"/>
              </w:rPr>
              <w:t>46.493</w:t>
            </w:r>
            <w:r>
              <w:rPr>
                <w:rFonts w:hint="eastAsia"/>
                <w:color w:val="0000FF"/>
              </w:rPr>
              <w:t>秒）</w:t>
            </w:r>
          </w:p>
        </w:tc>
      </w:tr>
      <w:tr w14:paraId="50D38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1" w:hRule="atLeast"/>
          <w:jc w:val="center"/>
        </w:trPr>
        <w:tc>
          <w:tcPr>
            <w:tcW w:w="1833" w:type="dxa"/>
            <w:gridSpan w:val="2"/>
            <w:tcBorders>
              <w:tl2br w:val="nil"/>
              <w:tr2bl w:val="nil"/>
            </w:tcBorders>
            <w:tcMar>
              <w:top w:w="16" w:type="dxa"/>
              <w:left w:w="16" w:type="dxa"/>
              <w:right w:w="16" w:type="dxa"/>
            </w:tcMar>
            <w:vAlign w:val="center"/>
          </w:tcPr>
          <w:p w14:paraId="1060D8B1">
            <w:pPr>
              <w:ind w:firstLine="0" w:firstLineChars="0"/>
              <w:jc w:val="center"/>
            </w:pPr>
            <w:r>
              <w:rPr>
                <w:rFonts w:hint="eastAsia"/>
              </w:rPr>
              <w:t>国民经济</w:t>
            </w:r>
          </w:p>
          <w:p w14:paraId="6E65B080">
            <w:pPr>
              <w:ind w:firstLine="0" w:firstLineChars="0"/>
              <w:jc w:val="center"/>
            </w:pPr>
            <w:r>
              <w:rPr>
                <w:rFonts w:hint="eastAsia"/>
              </w:rPr>
              <w:t>行业类别</w:t>
            </w:r>
          </w:p>
        </w:tc>
        <w:tc>
          <w:tcPr>
            <w:tcW w:w="2055" w:type="dxa"/>
            <w:tcBorders>
              <w:tl2br w:val="nil"/>
              <w:tr2bl w:val="nil"/>
            </w:tcBorders>
            <w:vAlign w:val="center"/>
          </w:tcPr>
          <w:p w14:paraId="4E31132A">
            <w:pPr>
              <w:ind w:firstLine="0" w:firstLineChars="0"/>
              <w:jc w:val="center"/>
              <w:rPr>
                <w:color w:val="0000FF"/>
              </w:rPr>
            </w:pPr>
            <w:r>
              <w:rPr>
                <w:rFonts w:hint="eastAsia"/>
                <w:color w:val="0000FF"/>
              </w:rPr>
              <w:t>C1432速冻食品</w:t>
            </w:r>
          </w:p>
          <w:p w14:paraId="4BB9050E">
            <w:pPr>
              <w:ind w:firstLine="0" w:firstLineChars="0"/>
              <w:jc w:val="center"/>
              <w:rPr>
                <w:color w:val="0000FF"/>
              </w:rPr>
            </w:pPr>
            <w:r>
              <w:rPr>
                <w:rFonts w:hint="eastAsia"/>
                <w:color w:val="0000FF"/>
              </w:rPr>
              <w:t>制造</w:t>
            </w:r>
          </w:p>
        </w:tc>
        <w:tc>
          <w:tcPr>
            <w:tcW w:w="2078" w:type="dxa"/>
            <w:tcBorders>
              <w:tl2br w:val="nil"/>
              <w:tr2bl w:val="nil"/>
            </w:tcBorders>
            <w:vAlign w:val="center"/>
          </w:tcPr>
          <w:p w14:paraId="1403B8EA">
            <w:pPr>
              <w:ind w:firstLine="0" w:firstLineChars="0"/>
              <w:jc w:val="center"/>
              <w:rPr>
                <w:color w:val="0000FF"/>
              </w:rPr>
            </w:pPr>
            <w:bookmarkStart w:id="9" w:name="_Hlk49843745"/>
            <w:r>
              <w:rPr>
                <w:rFonts w:hint="eastAsia"/>
                <w:color w:val="0000FF"/>
              </w:rPr>
              <w:t>建设项目行业类别</w:t>
            </w:r>
            <w:bookmarkEnd w:id="9"/>
          </w:p>
        </w:tc>
        <w:tc>
          <w:tcPr>
            <w:tcW w:w="2904" w:type="dxa"/>
            <w:tcBorders>
              <w:tl2br w:val="nil"/>
              <w:tr2bl w:val="nil"/>
            </w:tcBorders>
            <w:vAlign w:val="center"/>
          </w:tcPr>
          <w:p w14:paraId="6DD99FC7">
            <w:pPr>
              <w:ind w:firstLine="0" w:firstLineChars="0"/>
              <w:jc w:val="center"/>
              <w:rPr>
                <w:color w:val="0000FF"/>
              </w:rPr>
            </w:pPr>
            <w:r>
              <w:rPr>
                <w:rFonts w:hint="eastAsia"/>
                <w:color w:val="0000FF"/>
              </w:rPr>
              <w:t>十一、食品制造业14-21方便食品制造 143*</w:t>
            </w:r>
          </w:p>
        </w:tc>
      </w:tr>
      <w:tr w14:paraId="58EDFF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9" w:hRule="atLeast"/>
          <w:jc w:val="center"/>
        </w:trPr>
        <w:tc>
          <w:tcPr>
            <w:tcW w:w="1833" w:type="dxa"/>
            <w:gridSpan w:val="2"/>
            <w:tcBorders>
              <w:tl2br w:val="nil"/>
              <w:tr2bl w:val="nil"/>
            </w:tcBorders>
            <w:tcMar>
              <w:top w:w="16" w:type="dxa"/>
              <w:left w:w="16" w:type="dxa"/>
              <w:right w:w="16" w:type="dxa"/>
            </w:tcMar>
            <w:vAlign w:val="center"/>
          </w:tcPr>
          <w:p w14:paraId="5ED62992">
            <w:pPr>
              <w:ind w:firstLine="0" w:firstLineChars="0"/>
              <w:jc w:val="center"/>
            </w:pPr>
            <w:r>
              <w:rPr>
                <w:rFonts w:hint="eastAsia"/>
              </w:rPr>
              <w:t>建设性质</w:t>
            </w:r>
          </w:p>
        </w:tc>
        <w:tc>
          <w:tcPr>
            <w:tcW w:w="2055" w:type="dxa"/>
            <w:tcBorders>
              <w:tl2br w:val="nil"/>
              <w:tr2bl w:val="nil"/>
            </w:tcBorders>
            <w:vAlign w:val="center"/>
          </w:tcPr>
          <w:p w14:paraId="5905B2AF">
            <w:pPr>
              <w:ind w:firstLine="0" w:firstLineChars="0"/>
              <w:rPr>
                <w:color w:val="0000FF"/>
              </w:rPr>
            </w:pPr>
            <w:r>
              <w:rPr>
                <w:rFonts w:hint="eastAsia"/>
                <w:color w:val="0000FF"/>
              </w:rPr>
              <w:t>☑新建（迁建）</w:t>
            </w:r>
          </w:p>
          <w:p w14:paraId="4AA4CBF3">
            <w:pPr>
              <w:ind w:firstLine="0" w:firstLineChars="0"/>
              <w:rPr>
                <w:color w:val="0000FF"/>
              </w:rPr>
            </w:pPr>
            <w:r>
              <w:rPr>
                <w:rFonts w:hint="eastAsia"/>
                <w:color w:val="0000FF"/>
              </w:rPr>
              <w:t>□改建</w:t>
            </w:r>
          </w:p>
          <w:p w14:paraId="2F310417">
            <w:pPr>
              <w:ind w:firstLine="0" w:firstLineChars="0"/>
              <w:rPr>
                <w:color w:val="0000FF"/>
              </w:rPr>
            </w:pPr>
            <w:r>
              <w:rPr>
                <w:rFonts w:hint="eastAsia"/>
                <w:color w:val="0000FF"/>
              </w:rPr>
              <w:t>□扩建</w:t>
            </w:r>
          </w:p>
          <w:p w14:paraId="0676C5E5">
            <w:pPr>
              <w:ind w:firstLine="0" w:firstLineChars="0"/>
              <w:rPr>
                <w:color w:val="0000FF"/>
              </w:rPr>
            </w:pPr>
            <w:r>
              <w:rPr>
                <w:rFonts w:hint="eastAsia"/>
                <w:color w:val="0000FF"/>
              </w:rPr>
              <w:t>□技术改造</w:t>
            </w:r>
          </w:p>
        </w:tc>
        <w:tc>
          <w:tcPr>
            <w:tcW w:w="2078" w:type="dxa"/>
            <w:tcBorders>
              <w:tl2br w:val="nil"/>
              <w:tr2bl w:val="nil"/>
            </w:tcBorders>
            <w:vAlign w:val="center"/>
          </w:tcPr>
          <w:p w14:paraId="15928603">
            <w:pPr>
              <w:ind w:firstLine="0" w:firstLineChars="0"/>
              <w:jc w:val="center"/>
              <w:rPr>
                <w:color w:val="0000FF"/>
              </w:rPr>
            </w:pPr>
            <w:r>
              <w:rPr>
                <w:rFonts w:hint="eastAsia"/>
                <w:color w:val="0000FF"/>
              </w:rPr>
              <w:t>建设项目</w:t>
            </w:r>
          </w:p>
          <w:p w14:paraId="312BCDD3">
            <w:pPr>
              <w:ind w:firstLine="0" w:firstLineChars="0"/>
              <w:jc w:val="center"/>
              <w:rPr>
                <w:color w:val="0000FF"/>
              </w:rPr>
            </w:pPr>
            <w:r>
              <w:rPr>
                <w:rFonts w:hint="eastAsia"/>
                <w:color w:val="0000FF"/>
              </w:rPr>
              <w:t>申报情形</w:t>
            </w:r>
          </w:p>
        </w:tc>
        <w:tc>
          <w:tcPr>
            <w:tcW w:w="2904" w:type="dxa"/>
            <w:tcBorders>
              <w:tl2br w:val="nil"/>
              <w:tr2bl w:val="nil"/>
            </w:tcBorders>
            <w:vAlign w:val="center"/>
          </w:tcPr>
          <w:p w14:paraId="7883DBFC">
            <w:pPr>
              <w:ind w:firstLine="0" w:firstLineChars="0"/>
              <w:rPr>
                <w:color w:val="0000FF"/>
              </w:rPr>
            </w:pPr>
            <w:r>
              <w:rPr>
                <w:rFonts w:hint="eastAsia"/>
                <w:color w:val="0000FF"/>
              </w:rPr>
              <w:t>☑首次申报项目</w:t>
            </w:r>
          </w:p>
          <w:p w14:paraId="759B458F">
            <w:pPr>
              <w:ind w:firstLine="0" w:firstLineChars="0"/>
              <w:jc w:val="center"/>
              <w:rPr>
                <w:color w:val="0000FF"/>
              </w:rPr>
            </w:pPr>
            <w:r>
              <w:rPr>
                <w:rFonts w:hint="eastAsia"/>
                <w:color w:val="0000FF"/>
              </w:rPr>
              <w:t>□不予批准后再次申报项目</w:t>
            </w:r>
          </w:p>
          <w:p w14:paraId="60C87842">
            <w:pPr>
              <w:ind w:firstLine="0" w:firstLineChars="0"/>
              <w:rPr>
                <w:color w:val="0000FF"/>
              </w:rPr>
            </w:pPr>
            <w:r>
              <w:rPr>
                <w:rFonts w:hint="eastAsia"/>
                <w:color w:val="0000FF"/>
              </w:rPr>
              <w:t>□超五年重新审核项目</w:t>
            </w:r>
          </w:p>
          <w:p w14:paraId="05BA58D1">
            <w:pPr>
              <w:ind w:firstLine="0" w:firstLineChars="0"/>
              <w:rPr>
                <w:color w:val="0000FF"/>
              </w:rPr>
            </w:pPr>
            <w:r>
              <w:rPr>
                <w:rFonts w:hint="eastAsia"/>
                <w:color w:val="0000FF"/>
              </w:rPr>
              <w:t>□重大变动重新报批项目</w:t>
            </w:r>
          </w:p>
        </w:tc>
      </w:tr>
      <w:tr w14:paraId="7D923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2" w:hRule="atLeast"/>
          <w:jc w:val="center"/>
        </w:trPr>
        <w:tc>
          <w:tcPr>
            <w:tcW w:w="1833" w:type="dxa"/>
            <w:gridSpan w:val="2"/>
            <w:tcBorders>
              <w:tl2br w:val="nil"/>
              <w:tr2bl w:val="nil"/>
            </w:tcBorders>
            <w:tcMar>
              <w:top w:w="16" w:type="dxa"/>
              <w:left w:w="16" w:type="dxa"/>
              <w:right w:w="16" w:type="dxa"/>
            </w:tcMar>
            <w:vAlign w:val="center"/>
          </w:tcPr>
          <w:p w14:paraId="3D6CC699">
            <w:pPr>
              <w:ind w:firstLine="0" w:firstLineChars="0"/>
              <w:jc w:val="center"/>
            </w:pPr>
            <w:r>
              <w:rPr>
                <w:rFonts w:hint="eastAsia"/>
              </w:rPr>
              <w:t>项目审批（核准/备案）部门（选填）</w:t>
            </w:r>
          </w:p>
        </w:tc>
        <w:tc>
          <w:tcPr>
            <w:tcW w:w="2055" w:type="dxa"/>
            <w:tcBorders>
              <w:tl2br w:val="nil"/>
              <w:tr2bl w:val="nil"/>
            </w:tcBorders>
            <w:vAlign w:val="center"/>
          </w:tcPr>
          <w:p w14:paraId="110BB8CC">
            <w:pPr>
              <w:ind w:firstLine="0" w:firstLineChars="0"/>
              <w:jc w:val="center"/>
              <w:rPr>
                <w:color w:val="0000FF"/>
              </w:rPr>
            </w:pPr>
            <w:r>
              <w:rPr>
                <w:rFonts w:hint="eastAsia"/>
                <w:color w:val="0000FF"/>
              </w:rPr>
              <w:t>安徽淮北相山经济开发区管理委员会</w:t>
            </w:r>
          </w:p>
        </w:tc>
        <w:tc>
          <w:tcPr>
            <w:tcW w:w="2078" w:type="dxa"/>
            <w:tcBorders>
              <w:tl2br w:val="nil"/>
              <w:tr2bl w:val="nil"/>
            </w:tcBorders>
            <w:vAlign w:val="center"/>
          </w:tcPr>
          <w:p w14:paraId="09BD1C17">
            <w:pPr>
              <w:ind w:firstLine="0" w:firstLineChars="0"/>
              <w:jc w:val="center"/>
              <w:rPr>
                <w:color w:val="0000FF"/>
              </w:rPr>
            </w:pPr>
            <w:r>
              <w:rPr>
                <w:rFonts w:hint="eastAsia"/>
                <w:color w:val="0000FF"/>
              </w:rPr>
              <w:t>项目审批（核准/备案）文号（选填）</w:t>
            </w:r>
          </w:p>
        </w:tc>
        <w:tc>
          <w:tcPr>
            <w:tcW w:w="2904" w:type="dxa"/>
            <w:tcBorders>
              <w:tl2br w:val="nil"/>
              <w:tr2bl w:val="nil"/>
            </w:tcBorders>
            <w:vAlign w:val="center"/>
          </w:tcPr>
          <w:p w14:paraId="36EB57C0">
            <w:pPr>
              <w:ind w:firstLine="0" w:firstLineChars="0"/>
              <w:jc w:val="center"/>
              <w:rPr>
                <w:color w:val="0000FF"/>
              </w:rPr>
            </w:pPr>
            <w:r>
              <w:rPr>
                <w:rFonts w:hint="eastAsia"/>
                <w:color w:val="0000FF"/>
              </w:rPr>
              <w:t>相经开备案〔2024〕35号</w:t>
            </w:r>
          </w:p>
        </w:tc>
      </w:tr>
      <w:tr w14:paraId="64A1C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6EA7BB79">
            <w:pPr>
              <w:ind w:firstLine="0" w:firstLineChars="0"/>
              <w:jc w:val="center"/>
            </w:pPr>
            <w:r>
              <w:rPr>
                <w:rFonts w:hint="eastAsia"/>
              </w:rPr>
              <w:t>总投资（万元）</w:t>
            </w:r>
          </w:p>
        </w:tc>
        <w:tc>
          <w:tcPr>
            <w:tcW w:w="2055" w:type="dxa"/>
            <w:tcBorders>
              <w:tl2br w:val="nil"/>
              <w:tr2bl w:val="nil"/>
            </w:tcBorders>
            <w:vAlign w:val="center"/>
          </w:tcPr>
          <w:p w14:paraId="33CFFCC8">
            <w:pPr>
              <w:ind w:firstLine="0" w:firstLineChars="0"/>
              <w:jc w:val="center"/>
            </w:pPr>
            <w:r>
              <w:rPr>
                <w:rFonts w:hint="eastAsia"/>
              </w:rPr>
              <w:t>1000</w:t>
            </w:r>
          </w:p>
        </w:tc>
        <w:tc>
          <w:tcPr>
            <w:tcW w:w="2078" w:type="dxa"/>
            <w:tcBorders>
              <w:tl2br w:val="nil"/>
              <w:tr2bl w:val="nil"/>
            </w:tcBorders>
            <w:tcMar>
              <w:top w:w="16" w:type="dxa"/>
              <w:left w:w="16" w:type="dxa"/>
              <w:right w:w="16" w:type="dxa"/>
            </w:tcMar>
            <w:vAlign w:val="center"/>
          </w:tcPr>
          <w:p w14:paraId="4D2146D1">
            <w:pPr>
              <w:ind w:firstLine="0" w:firstLineChars="0"/>
              <w:jc w:val="center"/>
            </w:pPr>
            <w:r>
              <w:rPr>
                <w:rFonts w:hint="eastAsia"/>
              </w:rPr>
              <w:t>环保投资（万元）</w:t>
            </w:r>
          </w:p>
        </w:tc>
        <w:tc>
          <w:tcPr>
            <w:tcW w:w="2904" w:type="dxa"/>
            <w:tcBorders>
              <w:tl2br w:val="nil"/>
              <w:tr2bl w:val="nil"/>
            </w:tcBorders>
            <w:vAlign w:val="center"/>
          </w:tcPr>
          <w:p w14:paraId="10A6A8AE">
            <w:pPr>
              <w:ind w:firstLine="0" w:firstLineChars="0"/>
              <w:jc w:val="center"/>
            </w:pPr>
            <w:r>
              <w:rPr>
                <w:rFonts w:hint="eastAsia"/>
              </w:rPr>
              <w:t>53</w:t>
            </w:r>
          </w:p>
        </w:tc>
      </w:tr>
      <w:tr w14:paraId="68FCA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2E214C02">
            <w:pPr>
              <w:ind w:firstLine="0" w:firstLineChars="0"/>
              <w:jc w:val="center"/>
            </w:pPr>
            <w:r>
              <w:rPr>
                <w:rFonts w:hint="eastAsia"/>
              </w:rPr>
              <w:t>环保投资占比（%）</w:t>
            </w:r>
          </w:p>
        </w:tc>
        <w:tc>
          <w:tcPr>
            <w:tcW w:w="2055" w:type="dxa"/>
            <w:tcBorders>
              <w:tl2br w:val="nil"/>
              <w:tr2bl w:val="nil"/>
            </w:tcBorders>
            <w:vAlign w:val="center"/>
          </w:tcPr>
          <w:p w14:paraId="4E6DB4C7">
            <w:pPr>
              <w:ind w:firstLine="0" w:firstLineChars="0"/>
              <w:jc w:val="center"/>
            </w:pPr>
            <w:r>
              <w:rPr>
                <w:rFonts w:hint="eastAsia"/>
              </w:rPr>
              <w:t>5.3</w:t>
            </w:r>
          </w:p>
        </w:tc>
        <w:tc>
          <w:tcPr>
            <w:tcW w:w="2078" w:type="dxa"/>
            <w:tcBorders>
              <w:tl2br w:val="nil"/>
              <w:tr2bl w:val="nil"/>
            </w:tcBorders>
            <w:tcMar>
              <w:top w:w="16" w:type="dxa"/>
              <w:left w:w="16" w:type="dxa"/>
              <w:right w:w="16" w:type="dxa"/>
            </w:tcMar>
            <w:vAlign w:val="center"/>
          </w:tcPr>
          <w:p w14:paraId="61BD1E24">
            <w:pPr>
              <w:ind w:firstLine="0" w:firstLineChars="0"/>
              <w:jc w:val="center"/>
            </w:pPr>
            <w:r>
              <w:rPr>
                <w:rFonts w:hint="eastAsia"/>
              </w:rPr>
              <w:t>施工工期</w:t>
            </w:r>
          </w:p>
        </w:tc>
        <w:tc>
          <w:tcPr>
            <w:tcW w:w="2904" w:type="dxa"/>
            <w:tcBorders>
              <w:tl2br w:val="nil"/>
              <w:tr2bl w:val="nil"/>
            </w:tcBorders>
            <w:vAlign w:val="center"/>
          </w:tcPr>
          <w:p w14:paraId="2F3A41D7">
            <w:pPr>
              <w:ind w:firstLine="0" w:firstLineChars="0"/>
              <w:jc w:val="center"/>
            </w:pPr>
            <w:r>
              <w:rPr>
                <w:rFonts w:hint="eastAsia"/>
              </w:rPr>
              <w:t>3个月</w:t>
            </w:r>
          </w:p>
        </w:tc>
      </w:tr>
      <w:tr w14:paraId="713C7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1833" w:type="dxa"/>
            <w:gridSpan w:val="2"/>
            <w:tcBorders>
              <w:tl2br w:val="nil"/>
              <w:tr2bl w:val="nil"/>
            </w:tcBorders>
            <w:tcMar>
              <w:top w:w="16" w:type="dxa"/>
              <w:left w:w="16" w:type="dxa"/>
              <w:right w:w="16" w:type="dxa"/>
            </w:tcMar>
            <w:vAlign w:val="center"/>
          </w:tcPr>
          <w:p w14:paraId="403DB22F">
            <w:pPr>
              <w:ind w:firstLine="0" w:firstLineChars="0"/>
              <w:jc w:val="center"/>
            </w:pPr>
            <w:r>
              <w:rPr>
                <w:rFonts w:hint="eastAsia"/>
              </w:rPr>
              <w:t>是否开工建设</w:t>
            </w:r>
          </w:p>
        </w:tc>
        <w:tc>
          <w:tcPr>
            <w:tcW w:w="2055" w:type="dxa"/>
            <w:tcBorders>
              <w:tl2br w:val="nil"/>
              <w:tr2bl w:val="nil"/>
            </w:tcBorders>
            <w:vAlign w:val="center"/>
          </w:tcPr>
          <w:p w14:paraId="19E97A76">
            <w:pPr>
              <w:jc w:val="center"/>
            </w:pPr>
            <w:r>
              <w:rPr>
                <w:rFonts w:hint="eastAsia"/>
              </w:rPr>
              <w:t>☑否</w:t>
            </w:r>
          </w:p>
          <w:p w14:paraId="2D0BBBFD">
            <w:pPr>
              <w:jc w:val="center"/>
            </w:pPr>
            <w:r>
              <w:rPr>
                <w:rFonts w:hint="eastAsia"/>
              </w:rPr>
              <w:t>□是</w:t>
            </w:r>
          </w:p>
        </w:tc>
        <w:tc>
          <w:tcPr>
            <w:tcW w:w="2078" w:type="dxa"/>
            <w:tcBorders>
              <w:tl2br w:val="nil"/>
              <w:tr2bl w:val="nil"/>
            </w:tcBorders>
            <w:tcMar>
              <w:top w:w="16" w:type="dxa"/>
              <w:left w:w="16" w:type="dxa"/>
              <w:right w:w="16" w:type="dxa"/>
            </w:tcMar>
            <w:vAlign w:val="center"/>
          </w:tcPr>
          <w:p w14:paraId="36379873">
            <w:pPr>
              <w:ind w:firstLine="0" w:firstLineChars="0"/>
              <w:jc w:val="center"/>
            </w:pPr>
            <w:r>
              <w:rPr>
                <w:rFonts w:hint="eastAsia"/>
              </w:rPr>
              <w:t>用地（用海）面积（m</w:t>
            </w:r>
            <w:r>
              <w:rPr>
                <w:rFonts w:hint="eastAsia"/>
                <w:vertAlign w:val="superscript"/>
              </w:rPr>
              <w:t>2</w:t>
            </w:r>
            <w:r>
              <w:rPr>
                <w:rFonts w:hint="eastAsia"/>
              </w:rPr>
              <w:t>）</w:t>
            </w:r>
          </w:p>
        </w:tc>
        <w:tc>
          <w:tcPr>
            <w:tcW w:w="2904" w:type="dxa"/>
            <w:tcBorders>
              <w:tl2br w:val="nil"/>
              <w:tr2bl w:val="nil"/>
            </w:tcBorders>
            <w:vAlign w:val="center"/>
          </w:tcPr>
          <w:p w14:paraId="0DE04ED2">
            <w:pPr>
              <w:ind w:firstLine="0" w:firstLineChars="0"/>
              <w:jc w:val="center"/>
            </w:pPr>
            <w:r>
              <w:rPr>
                <w:rFonts w:hint="eastAsia"/>
              </w:rPr>
              <w:t>1300</w:t>
            </w:r>
          </w:p>
        </w:tc>
      </w:tr>
      <w:tr w14:paraId="707E9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1218" w:type="dxa"/>
            <w:tcBorders>
              <w:tl2br w:val="nil"/>
              <w:tr2bl w:val="nil"/>
            </w:tcBorders>
            <w:vAlign w:val="center"/>
          </w:tcPr>
          <w:p w14:paraId="3787C22E">
            <w:pPr>
              <w:ind w:firstLine="0" w:firstLineChars="0"/>
              <w:jc w:val="center"/>
            </w:pPr>
            <w:r>
              <w:rPr>
                <w:rFonts w:hint="eastAsia"/>
              </w:rPr>
              <w:t>专项评价设置情况</w:t>
            </w:r>
          </w:p>
        </w:tc>
        <w:tc>
          <w:tcPr>
            <w:tcW w:w="7652" w:type="dxa"/>
            <w:gridSpan w:val="4"/>
            <w:tcBorders>
              <w:tl2br w:val="nil"/>
              <w:tr2bl w:val="nil"/>
            </w:tcBorders>
            <w:vAlign w:val="center"/>
          </w:tcPr>
          <w:p w14:paraId="6E313301">
            <w:pPr>
              <w:ind w:firstLine="0" w:firstLineChars="0"/>
              <w:jc w:val="center"/>
            </w:pPr>
            <w:r>
              <w:rPr>
                <w:rFonts w:hint="eastAsia"/>
              </w:rPr>
              <w:t>无</w:t>
            </w:r>
          </w:p>
        </w:tc>
      </w:tr>
      <w:tr w14:paraId="1921E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7" w:hRule="atLeast"/>
          <w:jc w:val="center"/>
        </w:trPr>
        <w:tc>
          <w:tcPr>
            <w:tcW w:w="1218" w:type="dxa"/>
            <w:tcBorders>
              <w:tl2br w:val="nil"/>
              <w:tr2bl w:val="nil"/>
            </w:tcBorders>
            <w:vAlign w:val="center"/>
          </w:tcPr>
          <w:p w14:paraId="431270AC">
            <w:pPr>
              <w:autoSpaceDE w:val="0"/>
              <w:autoSpaceDN w:val="0"/>
              <w:adjustRightInd w:val="0"/>
              <w:snapToGrid w:val="0"/>
              <w:ind w:firstLine="0" w:firstLineChars="0"/>
              <w:jc w:val="center"/>
              <w:rPr>
                <w:rFonts w:hint="eastAsia" w:ascii="宋体" w:hAnsi="宋体" w:cs="宋体"/>
              </w:rPr>
            </w:pPr>
            <w:r>
              <w:rPr>
                <w:rFonts w:hint="eastAsia" w:ascii="宋体" w:hAnsi="宋体" w:cs="宋体"/>
              </w:rPr>
              <w:t>规划情况</w:t>
            </w:r>
          </w:p>
        </w:tc>
        <w:tc>
          <w:tcPr>
            <w:tcW w:w="7652" w:type="dxa"/>
            <w:gridSpan w:val="4"/>
            <w:tcBorders>
              <w:tl2br w:val="nil"/>
              <w:tr2bl w:val="nil"/>
            </w:tcBorders>
            <w:vAlign w:val="center"/>
          </w:tcPr>
          <w:p w14:paraId="35794F6D">
            <w:pPr>
              <w:autoSpaceDE w:val="0"/>
              <w:autoSpaceDN w:val="0"/>
              <w:adjustRightInd w:val="0"/>
              <w:snapToGrid w:val="0"/>
              <w:ind w:firstLine="0" w:firstLineChars="0"/>
            </w:pPr>
            <w:r>
              <w:rPr>
                <w:rFonts w:hint="eastAsia"/>
              </w:rPr>
              <w:t>规划名称：《安徽淮北相山经济开发区产业发展规划》（2</w:t>
            </w:r>
            <w:r>
              <w:t>019-2030</w:t>
            </w:r>
            <w:r>
              <w:rPr>
                <w:rFonts w:hint="eastAsia"/>
              </w:rPr>
              <w:t>年）</w:t>
            </w:r>
          </w:p>
          <w:p w14:paraId="09E8D361">
            <w:pPr>
              <w:autoSpaceDE w:val="0"/>
              <w:autoSpaceDN w:val="0"/>
              <w:adjustRightInd w:val="0"/>
              <w:snapToGrid w:val="0"/>
              <w:ind w:firstLine="0" w:firstLineChars="0"/>
            </w:pPr>
            <w:r>
              <w:rPr>
                <w:rFonts w:hint="eastAsia"/>
              </w:rPr>
              <w:t>规划审批机关：安徽省人民政府</w:t>
            </w:r>
          </w:p>
          <w:p w14:paraId="4401EE5B">
            <w:pPr>
              <w:autoSpaceDE w:val="0"/>
              <w:autoSpaceDN w:val="0"/>
              <w:adjustRightInd w:val="0"/>
              <w:snapToGrid w:val="0"/>
              <w:ind w:firstLine="0" w:firstLineChars="0"/>
            </w:pPr>
            <w:r>
              <w:rPr>
                <w:rFonts w:hint="eastAsia"/>
              </w:rPr>
              <w:t>规划审批文件：《关于淮北市省级以上开发区优化整合方案的批复》（皖政秘〔2018〕</w:t>
            </w:r>
            <w:r>
              <w:t>136</w:t>
            </w:r>
            <w:r>
              <w:rPr>
                <w:rFonts w:hint="eastAsia"/>
              </w:rPr>
              <w:t>号）。</w:t>
            </w:r>
          </w:p>
        </w:tc>
      </w:tr>
      <w:tr w14:paraId="409C8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18" w:type="dxa"/>
            <w:tcBorders>
              <w:tl2br w:val="nil"/>
              <w:tr2bl w:val="nil"/>
            </w:tcBorders>
            <w:vAlign w:val="center"/>
          </w:tcPr>
          <w:p w14:paraId="44062F08">
            <w:pPr>
              <w:adjustRightInd w:val="0"/>
              <w:snapToGrid w:val="0"/>
              <w:spacing w:line="240" w:lineRule="auto"/>
              <w:ind w:firstLine="0" w:firstLineChars="0"/>
              <w:jc w:val="center"/>
              <w:rPr>
                <w:rFonts w:hint="eastAsia" w:ascii="宋体" w:hAnsi="宋体" w:cs="宋体"/>
              </w:rPr>
            </w:pPr>
            <w:r>
              <w:rPr>
                <w:rFonts w:hint="eastAsia" w:ascii="宋体" w:hAnsi="宋体" w:cs="宋体"/>
              </w:rPr>
              <w:t>规划环境影响评价情况</w:t>
            </w:r>
          </w:p>
        </w:tc>
        <w:tc>
          <w:tcPr>
            <w:tcW w:w="7652" w:type="dxa"/>
            <w:gridSpan w:val="4"/>
            <w:tcBorders>
              <w:tl2br w:val="nil"/>
              <w:tr2bl w:val="nil"/>
            </w:tcBorders>
            <w:vAlign w:val="center"/>
          </w:tcPr>
          <w:p w14:paraId="3C4722F8">
            <w:pPr>
              <w:autoSpaceDE w:val="0"/>
              <w:autoSpaceDN w:val="0"/>
              <w:adjustRightInd w:val="0"/>
              <w:snapToGrid w:val="0"/>
              <w:ind w:firstLine="0" w:firstLineChars="0"/>
            </w:pPr>
            <w:r>
              <w:rPr>
                <w:rFonts w:hint="eastAsia"/>
              </w:rPr>
              <w:t>规划环境影响评价文件名称：《安徽淮北相山经济开发区产业发展规划（2</w:t>
            </w:r>
            <w:r>
              <w:t>019-2030</w:t>
            </w:r>
            <w:r>
              <w:rPr>
                <w:rFonts w:hint="eastAsia"/>
              </w:rPr>
              <w:t>年）环境影响报告书》；</w:t>
            </w:r>
          </w:p>
          <w:p w14:paraId="10154E80">
            <w:pPr>
              <w:autoSpaceDE w:val="0"/>
              <w:autoSpaceDN w:val="0"/>
              <w:adjustRightInd w:val="0"/>
              <w:snapToGrid w:val="0"/>
              <w:ind w:firstLine="0" w:firstLineChars="0"/>
              <w:rPr>
                <w:color w:val="0000FF"/>
              </w:rPr>
            </w:pPr>
            <w:r>
              <w:rPr>
                <w:rFonts w:hint="eastAsia"/>
                <w:color w:val="0000FF"/>
              </w:rPr>
              <w:t>召集审查机关：安徽省生态环境厅；</w:t>
            </w:r>
          </w:p>
          <w:p w14:paraId="1C714624">
            <w:pPr>
              <w:autoSpaceDE w:val="0"/>
              <w:autoSpaceDN w:val="0"/>
              <w:adjustRightInd w:val="0"/>
              <w:snapToGrid w:val="0"/>
              <w:ind w:firstLine="0" w:firstLineChars="0"/>
            </w:pPr>
            <w:r>
              <w:rPr>
                <w:rFonts w:hint="eastAsia"/>
              </w:rPr>
              <w:t>审查文件名称及文号：《安徽省生态环境厅关于印发《安徽淮北相山经济开发区产业发展规划（2</w:t>
            </w:r>
            <w:r>
              <w:t>019-2030</w:t>
            </w:r>
            <w:r>
              <w:rPr>
                <w:rFonts w:hint="eastAsia"/>
              </w:rPr>
              <w:t>年）环境影响报告书审查意见》的函》，皖环函〔</w:t>
            </w:r>
            <w:r>
              <w:t>2019</w:t>
            </w:r>
            <w:r>
              <w:rPr>
                <w:rFonts w:hint="eastAsia"/>
              </w:rPr>
              <w:t>〕</w:t>
            </w:r>
            <w:r>
              <w:t>972</w:t>
            </w:r>
            <w:r>
              <w:rPr>
                <w:rFonts w:hint="eastAsia"/>
              </w:rPr>
              <w:t>号。</w:t>
            </w:r>
          </w:p>
        </w:tc>
      </w:tr>
      <w:tr w14:paraId="6DC91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18" w:type="dxa"/>
            <w:tcBorders>
              <w:tl2br w:val="nil"/>
              <w:tr2bl w:val="nil"/>
            </w:tcBorders>
            <w:vAlign w:val="center"/>
          </w:tcPr>
          <w:p w14:paraId="508F3F7F">
            <w:pPr>
              <w:adjustRightInd w:val="0"/>
              <w:snapToGrid w:val="0"/>
              <w:spacing w:line="240" w:lineRule="auto"/>
              <w:ind w:firstLine="0" w:firstLineChars="0"/>
              <w:jc w:val="center"/>
              <w:rPr>
                <w:rFonts w:hint="eastAsia" w:ascii="宋体" w:hAnsi="宋体" w:cs="宋体"/>
              </w:rPr>
            </w:pPr>
            <w:r>
              <w:rPr>
                <w:rFonts w:hint="eastAsia" w:ascii="宋体" w:hAnsi="宋体" w:cs="宋体"/>
              </w:rPr>
              <w:t>规划及规划环境影响评价符合性分析</w:t>
            </w:r>
          </w:p>
        </w:tc>
        <w:tc>
          <w:tcPr>
            <w:tcW w:w="7652" w:type="dxa"/>
            <w:gridSpan w:val="4"/>
            <w:tcBorders>
              <w:tl2br w:val="nil"/>
              <w:tr2bl w:val="nil"/>
            </w:tcBorders>
            <w:vAlign w:val="center"/>
          </w:tcPr>
          <w:p w14:paraId="2283D9CF">
            <w:r>
              <w:t>1、</w:t>
            </w:r>
            <w:r>
              <w:rPr>
                <w:rFonts w:hint="eastAsia"/>
              </w:rPr>
              <w:t>与《安徽淮北相山经济开发区产业发展规划》（2019-2030年）相符性分析</w:t>
            </w:r>
          </w:p>
          <w:p w14:paraId="3747988A">
            <w:r>
              <w:rPr>
                <w:rFonts w:hint="eastAsia"/>
              </w:rPr>
              <w:t>根据《安徽淮北相山经济开发区产业发展规划》（2019-2030年），安徽淮北相山经济开发区的规划范围为东至老202省道，南至人民路，西至东流路、刘河路，北至风竹路、北环路，总体发展规划面积为15.3平方公里。</w:t>
            </w:r>
          </w:p>
          <w:p w14:paraId="50B3C4C4">
            <w:r>
              <w:rPr>
                <w:rFonts w:hint="eastAsia"/>
              </w:rPr>
              <w:t>功能定位：以食品制造、信息产业为主，现代服务业聚集、宜业宜商宜居的产业主导型开发区。</w:t>
            </w:r>
          </w:p>
          <w:p w14:paraId="1B907CDB">
            <w:r>
              <w:rPr>
                <w:rFonts w:hint="eastAsia"/>
              </w:rPr>
              <w:t>规划目标：逐步培育壮大形成食品制造、信息产业等行业产业集群以及与之相配套的电子商务、高端彩印包装、物流仓储配送等产业，使相山经济开发区成为现代产业的聚集区、产城融合的示范区、集约绿色的创新区、生态宜居的新城区。</w:t>
            </w:r>
          </w:p>
          <w:p w14:paraId="11129562">
            <w:r>
              <w:rPr>
                <w:rFonts w:hint="eastAsia"/>
              </w:rPr>
              <w:t>主导产业：以绿色食品、信息产业等为主导产业。</w:t>
            </w:r>
          </w:p>
          <w:p w14:paraId="10F99072">
            <w:r>
              <w:rPr>
                <w:rFonts w:hint="eastAsia"/>
              </w:rPr>
              <w:t>本项目属于速冻食品制造，位于淮北相山经济开发区食品制造片区详见附图5，符合安徽淮北相山经济开发区规划目标要求。</w:t>
            </w:r>
          </w:p>
          <w:p w14:paraId="51270F99">
            <w:r>
              <w:rPr>
                <w:rFonts w:hint="eastAsia"/>
              </w:rPr>
              <w:t>2、规划环评符合性分析</w:t>
            </w:r>
          </w:p>
          <w:p w14:paraId="628E4489">
            <w:r>
              <w:rPr>
                <w:rFonts w:hint="eastAsia"/>
              </w:rPr>
              <w:t>根据安徽省环境保护厅《安徽省生态环境厅关于印发《安徽淮北相山经济开发区产业发展规划（2</w:t>
            </w:r>
            <w:r>
              <w:t>019-2030</w:t>
            </w:r>
            <w:r>
              <w:rPr>
                <w:rFonts w:hint="eastAsia"/>
              </w:rPr>
              <w:t>年）环境影响报告书审查意见》的函》，皖环函〔</w:t>
            </w:r>
            <w:r>
              <w:t>2019</w:t>
            </w:r>
            <w:r>
              <w:rPr>
                <w:rFonts w:hint="eastAsia"/>
              </w:rPr>
              <w:t>〕</w:t>
            </w:r>
            <w:r>
              <w:t>972</w:t>
            </w:r>
            <w:r>
              <w:rPr>
                <w:rFonts w:hint="eastAsia"/>
              </w:rPr>
              <w:t>号，本项目与之相符性分析见下表。</w:t>
            </w:r>
          </w:p>
          <w:p w14:paraId="06E82173">
            <w:pPr>
              <w:pStyle w:val="32"/>
              <w:rPr>
                <w:rFonts w:hint="default"/>
              </w:rPr>
            </w:pPr>
            <w:r>
              <w:t>表1-1  本项目与皖环函〔2019〕972号相符性分析一览表</w:t>
            </w:r>
          </w:p>
          <w:tbl>
            <w:tblPr>
              <w:tblStyle w:val="22"/>
              <w:tblW w:w="74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4"/>
              <w:gridCol w:w="2912"/>
              <w:gridCol w:w="3257"/>
              <w:gridCol w:w="678"/>
            </w:tblGrid>
            <w:tr w14:paraId="2D3BD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24" w:type="pct"/>
                  <w:tcBorders>
                    <w:tl2br w:val="nil"/>
                    <w:tr2bl w:val="nil"/>
                  </w:tcBorders>
                  <w:vAlign w:val="center"/>
                </w:tcPr>
                <w:p w14:paraId="1257FEEA">
                  <w:pPr>
                    <w:pStyle w:val="29"/>
                  </w:pPr>
                  <w:r>
                    <w:t>序号</w:t>
                  </w:r>
                </w:p>
              </w:tc>
              <w:tc>
                <w:tcPr>
                  <w:tcW w:w="1945" w:type="pct"/>
                  <w:tcBorders>
                    <w:tl2br w:val="nil"/>
                    <w:tr2bl w:val="nil"/>
                  </w:tcBorders>
                  <w:vAlign w:val="center"/>
                </w:tcPr>
                <w:p w14:paraId="54DB0B15">
                  <w:pPr>
                    <w:pStyle w:val="29"/>
                  </w:pPr>
                  <w:r>
                    <w:t>规划环评审查意见要求</w:t>
                  </w:r>
                </w:p>
              </w:tc>
              <w:tc>
                <w:tcPr>
                  <w:tcW w:w="2176" w:type="pct"/>
                  <w:tcBorders>
                    <w:tl2br w:val="nil"/>
                    <w:tr2bl w:val="nil"/>
                  </w:tcBorders>
                  <w:vAlign w:val="center"/>
                </w:tcPr>
                <w:p w14:paraId="724507AE">
                  <w:pPr>
                    <w:pStyle w:val="29"/>
                  </w:pPr>
                  <w:r>
                    <w:t>本项目情况</w:t>
                  </w:r>
                </w:p>
              </w:tc>
              <w:tc>
                <w:tcPr>
                  <w:tcW w:w="453" w:type="pct"/>
                  <w:tcBorders>
                    <w:tl2br w:val="nil"/>
                    <w:tr2bl w:val="nil"/>
                  </w:tcBorders>
                  <w:vAlign w:val="center"/>
                </w:tcPr>
                <w:p w14:paraId="5D44A35B">
                  <w:pPr>
                    <w:pStyle w:val="29"/>
                  </w:pPr>
                  <w:r>
                    <w:t>符合性</w:t>
                  </w:r>
                </w:p>
              </w:tc>
            </w:tr>
            <w:tr w14:paraId="3F54D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24" w:type="pct"/>
                  <w:tcBorders>
                    <w:tl2br w:val="nil"/>
                    <w:tr2bl w:val="nil"/>
                  </w:tcBorders>
                  <w:vAlign w:val="center"/>
                </w:tcPr>
                <w:p w14:paraId="6AE95CC1">
                  <w:pPr>
                    <w:pStyle w:val="29"/>
                  </w:pPr>
                  <w:r>
                    <w:t>1</w:t>
                  </w:r>
                </w:p>
              </w:tc>
              <w:tc>
                <w:tcPr>
                  <w:tcW w:w="1945" w:type="pct"/>
                  <w:tcBorders>
                    <w:tl2br w:val="nil"/>
                    <w:tr2bl w:val="nil"/>
                  </w:tcBorders>
                  <w:vAlign w:val="center"/>
                </w:tcPr>
                <w:p w14:paraId="15983AF2">
                  <w:pPr>
                    <w:pStyle w:val="29"/>
                  </w:pPr>
                  <w:r>
                    <w:rPr>
                      <w:rFonts w:hint="eastAsia"/>
                    </w:rPr>
                    <w:t>严格落实环境管理要求。《规划》应与城市总体规划、土地利用总体规划、淮河绿色生态经济带规划等相衔接，与安徽省污染防治攻坚战行动方案、安徽省“三大一强”专项攻坚行动和“三线一单”等相符合</w:t>
                  </w:r>
                  <w:r>
                    <w:t>。</w:t>
                  </w:r>
                </w:p>
              </w:tc>
              <w:tc>
                <w:tcPr>
                  <w:tcW w:w="2176" w:type="pct"/>
                  <w:tcBorders>
                    <w:tl2br w:val="nil"/>
                    <w:tr2bl w:val="nil"/>
                  </w:tcBorders>
                  <w:vAlign w:val="center"/>
                </w:tcPr>
                <w:p w14:paraId="0C1A1FDF">
                  <w:pPr>
                    <w:pStyle w:val="29"/>
                  </w:pPr>
                  <w:r>
                    <w:t>本项目</w:t>
                  </w:r>
                  <w:r>
                    <w:rPr>
                      <w:rFonts w:hint="eastAsia"/>
                    </w:rPr>
                    <w:t>位于</w:t>
                  </w:r>
                  <w:r>
                    <w:rPr>
                      <w:rFonts w:hint="eastAsia"/>
                      <w:color w:val="0000FF"/>
                    </w:rPr>
                    <w:t>安徽淮北相山经济开发区凤冠路3号</w:t>
                  </w:r>
                  <w:r>
                    <w:t>，属于</w:t>
                  </w:r>
                  <w:r>
                    <w:rPr>
                      <w:rFonts w:hint="eastAsia"/>
                    </w:rPr>
                    <w:t>速冻食品制造</w:t>
                  </w:r>
                  <w:r>
                    <w:t>，符合《安徽淮北相山</w:t>
                  </w:r>
                  <w:r>
                    <w:rPr>
                      <w:rFonts w:hint="eastAsia"/>
                    </w:rPr>
                    <w:t>经济开发区产业发展规划》（2019-2030年），与《安徽省贯彻落实淮河生态经济带发展规划实施方案》重点培育发展新一代信息技术、人工智能、新能源和智能网联汽车、智能制造、现代家电、新材料、节能环保、生命健康、绿色食品、文化旅游等十大新兴产业，大力培育未来产业，强化龙头带动，增强创新能力，完善产业配套，促进集群集聚发展方向一致，符合安徽省“三大一强”专项攻坚行动和“三线一单”等。</w:t>
                  </w:r>
                </w:p>
              </w:tc>
              <w:tc>
                <w:tcPr>
                  <w:tcW w:w="453" w:type="pct"/>
                  <w:tcBorders>
                    <w:tl2br w:val="nil"/>
                    <w:tr2bl w:val="nil"/>
                  </w:tcBorders>
                  <w:vAlign w:val="center"/>
                </w:tcPr>
                <w:p w14:paraId="61456C33">
                  <w:pPr>
                    <w:pStyle w:val="29"/>
                  </w:pPr>
                  <w:r>
                    <w:t>符合</w:t>
                  </w:r>
                </w:p>
              </w:tc>
            </w:tr>
            <w:tr w14:paraId="0D5D3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24" w:type="pct"/>
                  <w:tcBorders>
                    <w:tl2br w:val="nil"/>
                    <w:tr2bl w:val="nil"/>
                  </w:tcBorders>
                  <w:vAlign w:val="center"/>
                </w:tcPr>
                <w:p w14:paraId="34DF8762">
                  <w:pPr>
                    <w:pStyle w:val="29"/>
                  </w:pPr>
                  <w:r>
                    <w:t>2</w:t>
                  </w:r>
                </w:p>
              </w:tc>
              <w:tc>
                <w:tcPr>
                  <w:tcW w:w="1945" w:type="pct"/>
                  <w:tcBorders>
                    <w:tl2br w:val="nil"/>
                    <w:tr2bl w:val="nil"/>
                  </w:tcBorders>
                  <w:vAlign w:val="center"/>
                </w:tcPr>
                <w:p w14:paraId="7E599809">
                  <w:pPr>
                    <w:pStyle w:val="29"/>
                  </w:pPr>
                  <w:r>
                    <w:rPr>
                      <w:rFonts w:hint="eastAsia"/>
                    </w:rPr>
                    <w:t>根据国家和区域发展战略，结合区域生态环境质量，严格产业的环境准入，细化环境准入清单，重点明确涉重企业的行业准入要求。结合产业片区定位，合理规划不同产业片区间的隔离带</w:t>
                  </w:r>
                  <w:r>
                    <w:t>。</w:t>
                  </w:r>
                </w:p>
              </w:tc>
              <w:tc>
                <w:tcPr>
                  <w:tcW w:w="2176" w:type="pct"/>
                  <w:tcBorders>
                    <w:tl2br w:val="nil"/>
                    <w:tr2bl w:val="nil"/>
                  </w:tcBorders>
                  <w:vAlign w:val="center"/>
                </w:tcPr>
                <w:p w14:paraId="4E2A7E84">
                  <w:pPr>
                    <w:pStyle w:val="29"/>
                  </w:pPr>
                  <w:r>
                    <w:rPr>
                      <w:rFonts w:hint="eastAsia"/>
                    </w:rPr>
                    <w:t>本项目位于安徽淮北相山经济开发区凤冠路3号，属于速冻食品制造，根据《安徽淮北相山经济开发区产业发展规划（2019-2030）》以食品制造和信息产业为主导产业。符合产业片区定位。</w:t>
                  </w:r>
                </w:p>
              </w:tc>
              <w:tc>
                <w:tcPr>
                  <w:tcW w:w="453" w:type="pct"/>
                  <w:tcBorders>
                    <w:tl2br w:val="nil"/>
                    <w:tr2bl w:val="nil"/>
                  </w:tcBorders>
                  <w:vAlign w:val="center"/>
                </w:tcPr>
                <w:p w14:paraId="4F44617F">
                  <w:pPr>
                    <w:pStyle w:val="29"/>
                  </w:pPr>
                  <w:r>
                    <w:t>符合</w:t>
                  </w:r>
                </w:p>
              </w:tc>
            </w:tr>
            <w:tr w14:paraId="4B7E0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24" w:type="pct"/>
                  <w:tcBorders>
                    <w:tl2br w:val="nil"/>
                    <w:tr2bl w:val="nil"/>
                  </w:tcBorders>
                  <w:vAlign w:val="center"/>
                </w:tcPr>
                <w:p w14:paraId="4B852B72">
                  <w:pPr>
                    <w:pStyle w:val="29"/>
                  </w:pPr>
                  <w:r>
                    <w:t>3</w:t>
                  </w:r>
                </w:p>
              </w:tc>
              <w:tc>
                <w:tcPr>
                  <w:tcW w:w="1945" w:type="pct"/>
                  <w:tcBorders>
                    <w:tl2br w:val="nil"/>
                    <w:tr2bl w:val="nil"/>
                  </w:tcBorders>
                  <w:vAlign w:val="center"/>
                </w:tcPr>
                <w:p w14:paraId="4EE08988">
                  <w:pPr>
                    <w:pStyle w:val="29"/>
                  </w:pPr>
                  <w:r>
                    <w:rPr>
                      <w:rFonts w:hint="eastAsia"/>
                    </w:rPr>
                    <w:t>强化污染防治基础设施建设，明确园区集中供热和清洁能源替代方案，结合开发区供水、中水回用、管网及信息产业片区污水处理厂规划。结合区域地表水系及水环境质量现状，优化开发区排水规划</w:t>
                  </w:r>
                  <w:r>
                    <w:t>。</w:t>
                  </w:r>
                </w:p>
              </w:tc>
              <w:tc>
                <w:tcPr>
                  <w:tcW w:w="2176" w:type="pct"/>
                  <w:tcBorders>
                    <w:tl2br w:val="nil"/>
                    <w:tr2bl w:val="nil"/>
                  </w:tcBorders>
                  <w:vAlign w:val="center"/>
                </w:tcPr>
                <w:p w14:paraId="17090D6F">
                  <w:pPr>
                    <w:pStyle w:val="29"/>
                    <w:rPr>
                      <w:highlight w:val="yellow"/>
                    </w:rPr>
                  </w:pPr>
                  <w:r>
                    <w:rPr>
                      <w:rFonts w:hint="eastAsia"/>
                    </w:rPr>
                    <w:t>本</w:t>
                  </w:r>
                  <w:r>
                    <w:t>项目</w:t>
                  </w:r>
                  <w:r>
                    <w:rPr>
                      <w:rFonts w:hint="eastAsia"/>
                    </w:rPr>
                    <w:t>新建项目，使用园区供电管网、供水管网，生活污水经化粪池进行处理后与经过新建污水处理站处理的生产废水，排入污水管网，进入安徽淮相科技发展有限公司第二污水处理厂。</w:t>
                  </w:r>
                </w:p>
              </w:tc>
              <w:tc>
                <w:tcPr>
                  <w:tcW w:w="453" w:type="pct"/>
                  <w:tcBorders>
                    <w:tl2br w:val="nil"/>
                    <w:tr2bl w:val="nil"/>
                  </w:tcBorders>
                  <w:vAlign w:val="center"/>
                </w:tcPr>
                <w:p w14:paraId="51552BCC">
                  <w:pPr>
                    <w:pStyle w:val="29"/>
                  </w:pPr>
                  <w:r>
                    <w:t>符合</w:t>
                  </w:r>
                </w:p>
              </w:tc>
            </w:tr>
            <w:tr w14:paraId="56078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4" w:type="pct"/>
                  <w:tcBorders>
                    <w:tl2br w:val="nil"/>
                    <w:tr2bl w:val="nil"/>
                  </w:tcBorders>
                  <w:vAlign w:val="center"/>
                </w:tcPr>
                <w:p w14:paraId="3DEF9885">
                  <w:pPr>
                    <w:pStyle w:val="29"/>
                  </w:pPr>
                  <w:r>
                    <w:t>4</w:t>
                  </w:r>
                </w:p>
              </w:tc>
              <w:tc>
                <w:tcPr>
                  <w:tcW w:w="1945" w:type="pct"/>
                  <w:tcBorders>
                    <w:tl2br w:val="nil"/>
                    <w:tr2bl w:val="nil"/>
                  </w:tcBorders>
                  <w:vAlign w:val="center"/>
                </w:tcPr>
                <w:p w14:paraId="2BBAEC14">
                  <w:pPr>
                    <w:pStyle w:val="29"/>
                  </w:pPr>
                  <w:r>
                    <w:rPr>
                      <w:rFonts w:hint="eastAsia"/>
                    </w:rPr>
                    <w:t>统筹考虑区内污染物排放、水环境保护、生态恢复、环境风险防范、环境管理等事宜。建立健全全区域风险防范体系和生态安全保障体系，加强区内重要环境风险源的管控，完善环境风险防范应急措施</w:t>
                  </w:r>
                  <w:r>
                    <w:t>。</w:t>
                  </w:r>
                </w:p>
              </w:tc>
              <w:tc>
                <w:tcPr>
                  <w:tcW w:w="2176" w:type="pct"/>
                  <w:tcBorders>
                    <w:tl2br w:val="nil"/>
                    <w:tr2bl w:val="nil"/>
                  </w:tcBorders>
                  <w:vAlign w:val="center"/>
                </w:tcPr>
                <w:p w14:paraId="3CFF72DD">
                  <w:pPr>
                    <w:pStyle w:val="29"/>
                    <w:rPr>
                      <w:highlight w:val="yellow"/>
                    </w:rPr>
                  </w:pPr>
                  <w:r>
                    <w:rPr>
                      <w:rFonts w:hint="eastAsia"/>
                    </w:rPr>
                    <w:t>本项目编制并落实环境风险应急预案，健全区域风险防范体系和生态安全保障体系，加强区内重要环境风险源的管控，完善环境风险防范应急措施。</w:t>
                  </w:r>
                </w:p>
              </w:tc>
              <w:tc>
                <w:tcPr>
                  <w:tcW w:w="453" w:type="pct"/>
                  <w:tcBorders>
                    <w:tl2br w:val="nil"/>
                    <w:tr2bl w:val="nil"/>
                  </w:tcBorders>
                  <w:vAlign w:val="center"/>
                </w:tcPr>
                <w:p w14:paraId="2EE65995">
                  <w:pPr>
                    <w:pStyle w:val="29"/>
                  </w:pPr>
                  <w:r>
                    <w:t>符合</w:t>
                  </w:r>
                </w:p>
              </w:tc>
            </w:tr>
            <w:tr w14:paraId="77FBD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24" w:type="pct"/>
                  <w:tcBorders>
                    <w:tl2br w:val="nil"/>
                    <w:tr2bl w:val="nil"/>
                  </w:tcBorders>
                  <w:vAlign w:val="center"/>
                </w:tcPr>
                <w:p w14:paraId="79AE1076">
                  <w:pPr>
                    <w:pStyle w:val="29"/>
                  </w:pPr>
                  <w:r>
                    <w:t>5</w:t>
                  </w:r>
                </w:p>
              </w:tc>
              <w:tc>
                <w:tcPr>
                  <w:tcW w:w="1945" w:type="pct"/>
                  <w:tcBorders>
                    <w:tl2br w:val="nil"/>
                    <w:tr2bl w:val="nil"/>
                  </w:tcBorders>
                  <w:vAlign w:val="center"/>
                </w:tcPr>
                <w:p w14:paraId="25BA6F1D">
                  <w:pPr>
                    <w:pStyle w:val="29"/>
                  </w:pPr>
                  <w:r>
                    <w:rPr>
                      <w:rFonts w:hint="eastAsia"/>
                    </w:rPr>
                    <w:t>落实开发区区域环境质量管控，切实保障区域环境质量持续优化。加强危险废物管理，完善危险废物贮存、处置规划。完善规划实施过程中环境监控计划</w:t>
                  </w:r>
                  <w:r>
                    <w:t>。</w:t>
                  </w:r>
                </w:p>
              </w:tc>
              <w:tc>
                <w:tcPr>
                  <w:tcW w:w="2176" w:type="pct"/>
                  <w:tcBorders>
                    <w:tl2br w:val="nil"/>
                    <w:tr2bl w:val="nil"/>
                  </w:tcBorders>
                  <w:vAlign w:val="center"/>
                </w:tcPr>
                <w:p w14:paraId="7C4562E7">
                  <w:pPr>
                    <w:pStyle w:val="29"/>
                    <w:rPr>
                      <w:highlight w:val="yellow"/>
                    </w:rPr>
                  </w:pPr>
                  <w:r>
                    <w:t>项目建设完善一般固废贮存设施。按照排污许可规范实施环境监控计划。</w:t>
                  </w:r>
                </w:p>
              </w:tc>
              <w:tc>
                <w:tcPr>
                  <w:tcW w:w="453" w:type="pct"/>
                  <w:tcBorders>
                    <w:tl2br w:val="nil"/>
                    <w:tr2bl w:val="nil"/>
                  </w:tcBorders>
                  <w:vAlign w:val="center"/>
                </w:tcPr>
                <w:p w14:paraId="0CF0410A">
                  <w:pPr>
                    <w:pStyle w:val="29"/>
                  </w:pPr>
                  <w:r>
                    <w:t>符合</w:t>
                  </w:r>
                </w:p>
              </w:tc>
            </w:tr>
          </w:tbl>
          <w:p w14:paraId="14C178F2">
            <w:r>
              <w:rPr>
                <w:rFonts w:hint="eastAsia"/>
              </w:rPr>
              <w:t>由上表中的分析可知，本项目符合安徽淮北相山经济开发区产业发展规划（2</w:t>
            </w:r>
            <w:r>
              <w:t>019-2030</w:t>
            </w:r>
            <w:r>
              <w:rPr>
                <w:rFonts w:hint="eastAsia"/>
              </w:rPr>
              <w:t>年）环境影响报告书审查意见的相关要求。</w:t>
            </w:r>
          </w:p>
          <w:p w14:paraId="5D49A844">
            <w:pPr>
              <w:ind w:firstLine="0" w:firstLineChars="0"/>
            </w:pPr>
          </w:p>
        </w:tc>
      </w:tr>
      <w:tr w14:paraId="173F0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4" w:hRule="atLeast"/>
          <w:jc w:val="center"/>
        </w:trPr>
        <w:tc>
          <w:tcPr>
            <w:tcW w:w="1218" w:type="dxa"/>
            <w:tcBorders>
              <w:tl2br w:val="nil"/>
              <w:tr2bl w:val="nil"/>
            </w:tcBorders>
            <w:vAlign w:val="center"/>
          </w:tcPr>
          <w:p w14:paraId="56604A17">
            <w:pPr>
              <w:autoSpaceDE w:val="0"/>
              <w:autoSpaceDN w:val="0"/>
              <w:adjustRightInd w:val="0"/>
              <w:snapToGrid w:val="0"/>
              <w:spacing w:line="240" w:lineRule="auto"/>
              <w:ind w:firstLine="0" w:firstLineChars="0"/>
              <w:jc w:val="center"/>
              <w:rPr>
                <w:rFonts w:hint="eastAsia" w:ascii="宋体" w:hAnsi="宋体" w:cs="宋体"/>
                <w:szCs w:val="21"/>
              </w:rPr>
            </w:pPr>
            <w:r>
              <w:rPr>
                <w:rFonts w:hint="eastAsia" w:ascii="宋体" w:hAnsi="宋体" w:cs="宋体"/>
              </w:rPr>
              <w:t>其他符合性分析</w:t>
            </w:r>
          </w:p>
        </w:tc>
        <w:tc>
          <w:tcPr>
            <w:tcW w:w="7652" w:type="dxa"/>
            <w:gridSpan w:val="4"/>
            <w:tcBorders>
              <w:tl2br w:val="nil"/>
              <w:tr2bl w:val="nil"/>
            </w:tcBorders>
            <w:vAlign w:val="center"/>
          </w:tcPr>
          <w:p w14:paraId="47072BF2">
            <w:pPr>
              <w:ind w:firstLine="482"/>
              <w:rPr>
                <w:b/>
                <w:bCs/>
              </w:rPr>
            </w:pPr>
            <w:r>
              <w:rPr>
                <w:b/>
                <w:bCs/>
              </w:rPr>
              <w:t>1</w:t>
            </w:r>
            <w:r>
              <w:rPr>
                <w:rFonts w:hint="eastAsia"/>
                <w:b/>
                <w:bCs/>
              </w:rPr>
              <w:t>、</w:t>
            </w:r>
            <w:r>
              <w:rPr>
                <w:b/>
                <w:bCs/>
              </w:rPr>
              <w:t>产业相符性分析</w:t>
            </w:r>
          </w:p>
          <w:p w14:paraId="792DC9B6">
            <w:r>
              <w:rPr>
                <w:rFonts w:hint="eastAsia"/>
              </w:rPr>
              <w:t>（1）</w:t>
            </w:r>
            <w:r>
              <w:t>规划符合性</w:t>
            </w:r>
          </w:p>
          <w:p w14:paraId="6CA05369">
            <w:r>
              <w:t>本项目不属于《禁止用地项目目录（2012年本）》、《限制用地项目目录（2012年本）》中禁止和限制类用地项目。拟建项目位于</w:t>
            </w:r>
            <w:r>
              <w:rPr>
                <w:rFonts w:hint="eastAsia"/>
              </w:rPr>
              <w:t>安徽淮北相山经济开发区凤冠路3号</w:t>
            </w:r>
            <w:r>
              <w:t>，根据《安徽淮北相山经济开发区产业发展规划》（2019-2030年），</w:t>
            </w:r>
            <w:r>
              <w:rPr>
                <w:rFonts w:hint="eastAsia"/>
              </w:rPr>
              <w:t>本</w:t>
            </w:r>
            <w:r>
              <w:t>项目</w:t>
            </w:r>
            <w:r>
              <w:rPr>
                <w:rFonts w:hint="eastAsia"/>
              </w:rPr>
              <w:t>租赁</w:t>
            </w:r>
            <w:r>
              <w:t>用地类型为工业用地，符合安徽淮北相山经济开发区的用地规划要求。</w:t>
            </w:r>
          </w:p>
          <w:p w14:paraId="5DACCC91">
            <w:r>
              <w:t>（2）与产业发展定位及目标的符合性分析</w:t>
            </w:r>
          </w:p>
          <w:p w14:paraId="4930C665">
            <w:r>
              <w:t>规划明确安徽淮北相山经济开发区发展定位为：以食品制造、信息产业为主，现代服务业聚集、宜业宜商宜居的产业主导型开发区。</w:t>
            </w:r>
          </w:p>
          <w:p w14:paraId="6F37E3DC">
            <w:r>
              <w:t>拟建项目为</w:t>
            </w:r>
            <w:r>
              <w:rPr>
                <w:rFonts w:hint="eastAsia"/>
              </w:rPr>
              <w:t>速冻食品制造</w:t>
            </w:r>
            <w:r>
              <w:t>，符合安徽淮北相山经济开发区定位。</w:t>
            </w:r>
          </w:p>
          <w:p w14:paraId="4E2D6096">
            <w:r>
              <w:rPr>
                <w:rFonts w:hint="eastAsia"/>
              </w:rPr>
              <w:t>（</w:t>
            </w:r>
            <w:r>
              <w:t>3）</w:t>
            </w:r>
            <w:r>
              <w:rPr>
                <w:rFonts w:hint="eastAsia"/>
              </w:rPr>
              <w:t>产业政策相符性分析</w:t>
            </w:r>
          </w:p>
          <w:p w14:paraId="3DDF4976">
            <w:r>
              <w:t>本项目</w:t>
            </w:r>
            <w:r>
              <w:rPr>
                <w:rFonts w:hint="eastAsia"/>
              </w:rPr>
              <w:t>为C1432速冻食品制造</w:t>
            </w:r>
            <w:r>
              <w:t>，属于《国民经济行业分类》（GB/T4754-2017）中C类“制造业”第1</w:t>
            </w:r>
            <w:r>
              <w:rPr>
                <w:rFonts w:hint="eastAsia"/>
              </w:rPr>
              <w:t>1</w:t>
            </w:r>
            <w:r>
              <w:t>大项目“</w:t>
            </w:r>
            <w:r>
              <w:rPr>
                <w:rFonts w:hint="eastAsia"/>
              </w:rPr>
              <w:t>食品制造业</w:t>
            </w:r>
            <w:r>
              <w:t>”。根据《产业结构调整指导目录（20</w:t>
            </w:r>
            <w:r>
              <w:rPr>
                <w:rFonts w:hint="eastAsia"/>
              </w:rPr>
              <w:t>24</w:t>
            </w:r>
            <w:r>
              <w:t>年本）》，</w:t>
            </w:r>
            <w:r>
              <w:rPr>
                <w:rFonts w:hint="eastAsia"/>
              </w:rPr>
              <w:t>本项目不属于“淘汰类”、“限制类”，视为允许类，安徽淮北相山经济开发区管理委员会</w:t>
            </w:r>
            <w:r>
              <w:t>于202</w:t>
            </w:r>
            <w:r>
              <w:rPr>
                <w:rFonts w:hint="eastAsia"/>
              </w:rPr>
              <w:t>4</w:t>
            </w:r>
            <w:r>
              <w:t>年</w:t>
            </w:r>
            <w:r>
              <w:rPr>
                <w:rFonts w:hint="eastAsia"/>
              </w:rPr>
              <w:t>09</w:t>
            </w:r>
            <w:r>
              <w:t>月</w:t>
            </w:r>
            <w:r>
              <w:rPr>
                <w:rFonts w:hint="eastAsia"/>
              </w:rPr>
              <w:t>04</w:t>
            </w:r>
            <w:r>
              <w:t>日同意本项目备案，</w:t>
            </w:r>
            <w:r>
              <w:rPr>
                <w:rFonts w:hint="eastAsia"/>
              </w:rPr>
              <w:t>备案号为相经开备案〔2024〕35号。本项目的建设符合国家和地方产业政策要求</w:t>
            </w:r>
            <w:r>
              <w:t>。</w:t>
            </w:r>
          </w:p>
          <w:p w14:paraId="3A120E15">
            <w:r>
              <w:rPr>
                <w:rFonts w:hint="eastAsia"/>
              </w:rPr>
              <w:t>（4）项目选址合理性分析</w:t>
            </w:r>
          </w:p>
          <w:p w14:paraId="61B309C7">
            <w:r>
              <w:rPr>
                <w:rFonts w:hint="eastAsia"/>
              </w:rPr>
              <w:t>本项目租赁安徽淮北相山经济开发区凤冠路3号已建2#厂房进行生产运营，用地性质为工业用地，符合</w:t>
            </w:r>
            <w:r>
              <w:t>淮北相山经济开发区</w:t>
            </w:r>
            <w:r>
              <w:rPr>
                <w:rFonts w:hint="eastAsia"/>
              </w:rPr>
              <w:t>相关规划。</w:t>
            </w:r>
          </w:p>
          <w:p w14:paraId="2C8B0271">
            <w:r>
              <w:rPr>
                <w:rFonts w:hint="eastAsia"/>
              </w:rPr>
              <w:t>项目不侵占基本农田，项目周边无风景名胜区及自然保护区，项目周边与周边居民均保持一定距离，且项目工艺较为简单，排放污染物在采取本报告提出的措施后，对环境无明显影响，不会改变环境功能。因此从选址的敏感性、产业政策及环境影响可接受性等分析结果综合来看，其选址及建设具有环境可行性。</w:t>
            </w:r>
          </w:p>
          <w:p w14:paraId="6BE97926">
            <w:r>
              <w:rPr>
                <w:rFonts w:hint="eastAsia"/>
              </w:rPr>
              <w:t>综上，本项目选址符合要求。</w:t>
            </w:r>
          </w:p>
          <w:p w14:paraId="76D9874F">
            <w:r>
              <w:rPr>
                <w:rFonts w:hint="eastAsia"/>
              </w:rPr>
              <w:t>（5）周边环境相容性分析</w:t>
            </w:r>
          </w:p>
          <w:p w14:paraId="1228E01B">
            <w:r>
              <w:t>项目周边无特殊保护文物古迹、自然保护区和特殊环境制约因素。本项目用地为工业用地，项目建设后不会改变用地类型。</w:t>
            </w:r>
            <w:r>
              <w:rPr>
                <w:rFonts w:hint="eastAsia"/>
              </w:rPr>
              <w:t>本项目租赁凤凰山工业园凤冠路3号已建2#厂房，东侧为汉亨食品有限公司，</w:t>
            </w:r>
            <w:r>
              <w:rPr>
                <w:rFonts w:hint="eastAsia"/>
                <w:color w:val="0000FF"/>
              </w:rPr>
              <w:t>南侧为</w:t>
            </w:r>
            <w:commentRangeStart w:id="0"/>
            <w:r>
              <w:rPr>
                <w:rFonts w:hint="eastAsia"/>
                <w:color w:val="0000FF"/>
              </w:rPr>
              <w:t>厂区</w:t>
            </w:r>
            <w:commentRangeEnd w:id="0"/>
            <w:r>
              <w:rPr>
                <w:rStyle w:val="27"/>
              </w:rPr>
              <w:commentReference w:id="0"/>
            </w:r>
            <w:r>
              <w:rPr>
                <w:rFonts w:hint="eastAsia"/>
                <w:color w:val="0000FF"/>
              </w:rPr>
              <w:t>内3#厂房，西侧为麦康隆食品科技有限公司，北侧为厂区内圆通分拣公司。项目周边无对环境敏感企业</w:t>
            </w:r>
            <w:r>
              <w:rPr>
                <w:rFonts w:hint="eastAsia"/>
              </w:rPr>
              <w:t>，无自然保护区、风景名胜区及文物保护区等敏感目标。项目在严格落实本评价要求的各项污染防治措施且正常运行后，各项污染达标排放情况下，对周围环境影响较小，</w:t>
            </w:r>
            <w:r>
              <w:t>因此项目与周边环境相容，选址符合要求。通过采取相应的环保措施，项目的运营对周边环境影响较小。</w:t>
            </w:r>
          </w:p>
          <w:p w14:paraId="452A2FC5">
            <w:r>
              <w:t>因此，项目的建设与周边企业环境相容。</w:t>
            </w:r>
          </w:p>
          <w:p w14:paraId="7E7768BC">
            <w:pPr>
              <w:ind w:firstLine="482"/>
              <w:rPr>
                <w:b/>
                <w:bCs/>
              </w:rPr>
            </w:pPr>
            <w:r>
              <w:rPr>
                <w:rFonts w:hint="eastAsia"/>
                <w:b/>
                <w:bCs/>
              </w:rPr>
              <w:t>2</w:t>
            </w:r>
            <w:r>
              <w:rPr>
                <w:b/>
                <w:bCs/>
              </w:rPr>
              <w:t>、“三线一单”相符性分析</w:t>
            </w:r>
          </w:p>
          <w:p w14:paraId="45FA0223">
            <w:r>
              <w:t>根据《关于以改善环境质量为核心加强环境影响评价管理的通知》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w:t>
            </w:r>
          </w:p>
          <w:p w14:paraId="2330CCB6">
            <w:r>
              <w:t>（1）与安徽省生态红线区域环保规划的相符性</w:t>
            </w:r>
          </w:p>
          <w:p w14:paraId="222A2D59">
            <w:r>
              <w:t>本项目位于</w:t>
            </w:r>
            <w:r>
              <w:rPr>
                <w:rFonts w:hint="eastAsia"/>
              </w:rPr>
              <w:t>安徽淮北相山经济开发区凤冠路3号</w:t>
            </w:r>
            <w:r>
              <w:t>，用地类型属于工业用地，本项目厂界距离</w:t>
            </w:r>
            <w:r>
              <w:rPr>
                <w:rFonts w:hint="eastAsia"/>
              </w:rPr>
              <w:t>萧濉新</w:t>
            </w:r>
            <w:r>
              <w:t>河最近距离约</w:t>
            </w:r>
            <w:r>
              <w:rPr>
                <w:rFonts w:hint="eastAsia"/>
              </w:rPr>
              <w:t>267</w:t>
            </w:r>
            <w:r>
              <w:t>m，项目评价区域内无生态红线区域</w:t>
            </w:r>
            <w:r>
              <w:rPr>
                <w:rFonts w:hint="eastAsia"/>
              </w:rPr>
              <w:t>（详见附图4）</w:t>
            </w:r>
            <w:r>
              <w:t>，项目用地不在管控区范围内，故符合生态红线要求。</w:t>
            </w:r>
          </w:p>
          <w:p w14:paraId="471A70E5">
            <w:r>
              <w:t>（2）与环境质量底线</w:t>
            </w:r>
            <w:r>
              <w:rPr>
                <w:rFonts w:hint="eastAsia"/>
              </w:rPr>
              <w:t>及环境分区管控</w:t>
            </w:r>
          </w:p>
          <w:p w14:paraId="5C69D88E">
            <w:r>
              <w:rPr>
                <w:rFonts w:hint="eastAsia"/>
              </w:rPr>
              <w:t>1）环境质量底线</w:t>
            </w:r>
          </w:p>
          <w:p w14:paraId="63A5B7D8">
            <w:pPr>
              <w:rPr>
                <w:color w:val="0000FF"/>
              </w:rPr>
            </w:pPr>
            <w:r>
              <w:rPr>
                <w:color w:val="0000FF"/>
              </w:rPr>
              <w:t>①</w:t>
            </w:r>
            <w:r>
              <w:rPr>
                <w:rFonts w:hint="eastAsia"/>
                <w:color w:val="0000FF"/>
              </w:rPr>
              <w:t xml:space="preserve"> </w:t>
            </w:r>
            <w:r>
              <w:rPr>
                <w:color w:val="0000FF"/>
              </w:rPr>
              <w:t>根据《202</w:t>
            </w:r>
            <w:r>
              <w:rPr>
                <w:rFonts w:hint="eastAsia"/>
                <w:color w:val="0000FF"/>
              </w:rPr>
              <w:t>3</w:t>
            </w:r>
            <w:r>
              <w:rPr>
                <w:color w:val="0000FF"/>
              </w:rPr>
              <w:t>年度淮北市生态环境状况公报》显示</w:t>
            </w:r>
            <w:r>
              <w:rPr>
                <w:rStyle w:val="27"/>
                <w:rFonts w:hint="eastAsia"/>
                <w:color w:val="0000FF"/>
              </w:rPr>
              <w:t>，</w:t>
            </w:r>
            <w:r>
              <w:rPr>
                <w:rFonts w:hint="eastAsia"/>
                <w:color w:val="0000FF"/>
              </w:rPr>
              <w:t>项目区域SO</w:t>
            </w:r>
            <w:r>
              <w:rPr>
                <w:rFonts w:hint="eastAsia"/>
                <w:color w:val="0000FF"/>
                <w:vertAlign w:val="subscript"/>
              </w:rPr>
              <w:t>2</w:t>
            </w:r>
            <w:r>
              <w:rPr>
                <w:color w:val="0000FF"/>
              </w:rPr>
              <w:t>、</w:t>
            </w:r>
            <w:r>
              <w:rPr>
                <w:rFonts w:hint="eastAsia"/>
                <w:color w:val="0000FF"/>
              </w:rPr>
              <w:t>NO</w:t>
            </w:r>
            <w:r>
              <w:rPr>
                <w:rFonts w:hint="eastAsia"/>
                <w:color w:val="0000FF"/>
                <w:vertAlign w:val="subscript"/>
              </w:rPr>
              <w:t>2</w:t>
            </w:r>
            <w:r>
              <w:rPr>
                <w:rFonts w:hint="eastAsia"/>
                <w:color w:val="0000FF"/>
              </w:rPr>
              <w:t>、PM</w:t>
            </w:r>
            <w:r>
              <w:rPr>
                <w:rFonts w:hint="eastAsia"/>
                <w:color w:val="0000FF"/>
                <w:vertAlign w:val="subscript"/>
              </w:rPr>
              <w:t>10</w:t>
            </w:r>
            <w:r>
              <w:rPr>
                <w:color w:val="0000FF"/>
              </w:rPr>
              <w:t>年平均浓度</w:t>
            </w:r>
            <w:r>
              <w:rPr>
                <w:rFonts w:hint="eastAsia"/>
                <w:color w:val="0000FF"/>
              </w:rPr>
              <w:t>及CO</w:t>
            </w:r>
            <w:r>
              <w:rPr>
                <w:color w:val="0000FF"/>
              </w:rPr>
              <w:t>日均值第95百分位数均达到《环境空气质量标准》（GB3095-2012）</w:t>
            </w:r>
            <w:r>
              <w:rPr>
                <w:rFonts w:hint="eastAsia"/>
                <w:color w:val="0000FF"/>
              </w:rPr>
              <w:t>二</w:t>
            </w:r>
            <w:r>
              <w:rPr>
                <w:color w:val="0000FF"/>
              </w:rPr>
              <w:t>级标准要求；</w:t>
            </w:r>
            <w:r>
              <w:rPr>
                <w:rFonts w:hint="eastAsia"/>
                <w:color w:val="0000FF"/>
              </w:rPr>
              <w:t>PM</w:t>
            </w:r>
            <w:r>
              <w:rPr>
                <w:rFonts w:hint="eastAsia"/>
                <w:color w:val="0000FF"/>
                <w:vertAlign w:val="subscript"/>
              </w:rPr>
              <w:t>2.5</w:t>
            </w:r>
            <w:r>
              <w:rPr>
                <w:color w:val="0000FF"/>
              </w:rPr>
              <w:t>年均浓度和</w:t>
            </w:r>
            <w:r>
              <w:rPr>
                <w:rFonts w:hint="eastAsia"/>
                <w:color w:val="0000FF"/>
              </w:rPr>
              <w:t>O</w:t>
            </w:r>
            <w:r>
              <w:rPr>
                <w:rFonts w:hint="eastAsia"/>
                <w:color w:val="0000FF"/>
                <w:vertAlign w:val="subscript"/>
              </w:rPr>
              <w:t>3</w:t>
            </w:r>
            <w:r>
              <w:rPr>
                <w:color w:val="0000FF"/>
              </w:rPr>
              <w:t>日最大8小时平均值第90百分位数均超过二级标准要求。因此，项目所在区域属于环境空气属于不达标区。</w:t>
            </w:r>
          </w:p>
          <w:p w14:paraId="678AC7C3">
            <w:r>
              <w:t>②</w:t>
            </w:r>
            <w:r>
              <w:rPr>
                <w:rFonts w:hint="eastAsia"/>
              </w:rPr>
              <w:t xml:space="preserve"> </w:t>
            </w:r>
            <w:r>
              <w:t>根据《</w:t>
            </w:r>
            <w:r>
              <w:rPr>
                <w:rFonts w:hint="eastAsia"/>
              </w:rPr>
              <w:t>安徽淮北相山经济开发区环境影响区域评估+环境标准报告</w:t>
            </w:r>
            <w:r>
              <w:t>》，地表水</w:t>
            </w:r>
            <w:r>
              <w:rPr>
                <w:rFonts w:hint="eastAsia"/>
              </w:rPr>
              <w:t>萧濉新</w:t>
            </w:r>
            <w:r>
              <w:t>河</w:t>
            </w:r>
            <w:r>
              <w:rPr>
                <w:rFonts w:hint="eastAsia"/>
              </w:rPr>
              <w:t>及老濉河</w:t>
            </w:r>
            <w:r>
              <w:t>各水质监测因子均符合《地表水环境质量标准》（GB3838-2002）Ⅳ标准要求。本项目生产过程废水主要为</w:t>
            </w:r>
            <w:r>
              <w:rPr>
                <w:rFonts w:hint="eastAsia"/>
              </w:rPr>
              <w:t>泡米废水、纯净水设备废水、原辅料清洗废水、设备清洗废水、地面清洗废水、员工消毒废水</w:t>
            </w:r>
            <w:r>
              <w:t>，排放量较小，本项目建成后对区域地表水体影响小。</w:t>
            </w:r>
          </w:p>
          <w:p w14:paraId="521E6C10">
            <w:r>
              <w:t>本项目通过采取相应的废气、</w:t>
            </w:r>
            <w:r>
              <w:rPr>
                <w:rFonts w:hint="eastAsia"/>
              </w:rPr>
              <w:t>废水、</w:t>
            </w:r>
            <w:r>
              <w:t>噪声、固废治理措施，污染物排放量较小，对周边环境影响较小；噪声预测结果表明，在采取相应的隔声降噪措施处理后，生产过程中厂内各种设备运转产生的噪声均能满足《工业企业厂界环境噪声排放标准》</w:t>
            </w:r>
            <w:r>
              <w:rPr>
                <w:rFonts w:hint="eastAsia"/>
              </w:rPr>
              <w:t>（</w:t>
            </w:r>
            <w:r>
              <w:t>GB12348-2008</w:t>
            </w:r>
            <w:r>
              <w:rPr>
                <w:rFonts w:hint="eastAsia"/>
              </w:rPr>
              <w:t>）</w:t>
            </w:r>
            <w:r>
              <w:t>中3类标准的要求；本次项目</w:t>
            </w:r>
            <w:r>
              <w:rPr>
                <w:rFonts w:hint="eastAsia"/>
              </w:rPr>
              <w:t>生活污水经化粪池预处理后排入园区污水管网；生产废水经污水处理站处理达标后排入园区污水管网，最终排入</w:t>
            </w:r>
            <w:r>
              <w:rPr>
                <w:rFonts w:hint="eastAsia"/>
                <w:color w:val="0000FF"/>
              </w:rPr>
              <w:t>安徽淮相科技发展有限公司第二污水处理厂</w:t>
            </w:r>
            <w:r>
              <w:t>。项目实施后通过采取相应的污染防治措施，各类废气、噪声可以做到稳定达标排放，不会降低评价区域大气、地表水及声环境质量原有功能级别。</w:t>
            </w:r>
          </w:p>
          <w:p w14:paraId="7424950D">
            <w:r>
              <w:t>综上所述，项目的建设符合环境质量底线要求。</w:t>
            </w:r>
          </w:p>
          <w:p w14:paraId="3A76FB80">
            <w:r>
              <w:rPr>
                <w:rFonts w:hint="eastAsia"/>
              </w:rPr>
              <w:t>2）水环境分区管控</w:t>
            </w:r>
          </w:p>
          <w:p w14:paraId="019B2702">
            <w:r>
              <w:t>对照淮北市水环境分区管控图，项目位于</w:t>
            </w:r>
            <w:r>
              <w:rPr>
                <w:rFonts w:hint="eastAsia"/>
              </w:rPr>
              <w:t>工业污染重点管控</w:t>
            </w:r>
            <w:r>
              <w:t>区。具体管理要求：依据《中华人民共和国水污染防治法》《水污染防治行动计划》《安徽省水污染防治工作方案》及《淮北市水污染防治工作方案》对重点管控区实施管控；依据开发区规划、规划环评及审查意见相关要求对开发区实施管控；落实《“十三五”生态环境保护规划》《安徽省“十三五”环境保护规划》《安徽省“十三五”节能减排实施方案》等要求，新建、改建和扩建项目水污染物实施“等量替代”。</w:t>
            </w:r>
          </w:p>
          <w:p w14:paraId="38343279">
            <w:r>
              <w:t>项目不直接向地表水体排放废水，本次项目</w:t>
            </w:r>
            <w:r>
              <w:rPr>
                <w:rFonts w:hint="eastAsia"/>
              </w:rPr>
              <w:t>生活污水经化粪池预处理后排入园区污水管网；生产废水经污水处理站处理达标后排入园区污水管网，最终排入安徽淮相科技发展有限公司第二污水处理厂</w:t>
            </w:r>
            <w:r>
              <w:t>；对区域环境影响较小。项目建设能够满足水环境重点管控区的管控要求。淮北市水环境分区管控图见</w:t>
            </w:r>
            <w:r>
              <w:rPr>
                <w:rFonts w:hint="eastAsia"/>
              </w:rPr>
              <w:t>附图7</w:t>
            </w:r>
            <w:r>
              <w:t>。</w:t>
            </w:r>
          </w:p>
          <w:p w14:paraId="45810F05">
            <w:r>
              <w:rPr>
                <w:rFonts w:hint="eastAsia"/>
              </w:rPr>
              <w:t>3）大气环境分区管控</w:t>
            </w:r>
          </w:p>
          <w:p w14:paraId="032A0790">
            <w:r>
              <w:t>对照淮北市大气管控分区图，项目位于大气重点管控区（淮北市大气环境分区管控图见</w:t>
            </w:r>
            <w:r>
              <w:rPr>
                <w:rFonts w:hint="eastAsia"/>
              </w:rPr>
              <w:t>附图8</w:t>
            </w:r>
            <w:r>
              <w:t>）。具体管理要求：落实《安徽省大气污染防治条例》《“十三五”生态环境保护规划》《安徽省“十三五”环境保护规划》等要求，严格目标实施计划，加强环境监管，促进生态环境质好转。上年度PM</w:t>
            </w:r>
            <w:r>
              <w:rPr>
                <w:vertAlign w:val="subscript"/>
              </w:rPr>
              <w:t>2.5</w:t>
            </w:r>
            <w:r>
              <w:t>不达标城市新建、改建和扩建项目大气污染物实施“倍量替代”，执行特别排放标准的行业实施提标升级改造。</w:t>
            </w:r>
          </w:p>
          <w:p w14:paraId="7E70E37E">
            <w:r>
              <w:rPr>
                <w:rFonts w:hint="eastAsia"/>
              </w:rPr>
              <w:t>本项目炒制过程产生油烟废气经静电油烟处理器处理后15m高排气筒（DA001）排放；</w:t>
            </w:r>
            <w:r>
              <w:rPr>
                <w:rFonts w:hint="eastAsia"/>
                <w:color w:val="0000FF"/>
              </w:rPr>
              <w:t>蒸汽发生器安装低氮燃烧器，烟气通过15m高排气筒（DA002）排放</w:t>
            </w:r>
            <w:r>
              <w:rPr>
                <w:rFonts w:hint="eastAsia"/>
              </w:rPr>
              <w:t>。对区域环境影响较小，项目建设能够满足大气环境重点管控区的要求。</w:t>
            </w:r>
          </w:p>
          <w:p w14:paraId="4BD46438">
            <w:pPr>
              <w:numPr>
                <w:ilvl w:val="0"/>
                <w:numId w:val="2"/>
              </w:numPr>
            </w:pPr>
            <w:r>
              <w:rPr>
                <w:rFonts w:hint="eastAsia"/>
              </w:rPr>
              <w:t>生态环境分区管控</w:t>
            </w:r>
          </w:p>
          <w:p w14:paraId="2E158419">
            <w:r>
              <w:rPr>
                <w:lang w:bidi="ar"/>
              </w:rPr>
              <w:t>根据《淮北市生态环境分区管控成果动态更新情况说明》，淮北市生态保护红线总面积为33.89km</w:t>
            </w:r>
            <w:r>
              <w:rPr>
                <w:rFonts w:hint="eastAsia"/>
                <w:vertAlign w:val="superscript"/>
                <w:lang w:bidi="ar"/>
              </w:rPr>
              <w:t>2</w:t>
            </w:r>
            <w:r>
              <w:rPr>
                <w:rFonts w:hint="eastAsia"/>
                <w:lang w:bidi="ar"/>
              </w:rPr>
              <w:t>，</w:t>
            </w:r>
            <w:r>
              <w:rPr>
                <w:lang w:bidi="ar"/>
              </w:rPr>
              <w:t>占全市国土总面</w:t>
            </w:r>
            <w:r>
              <w:rPr>
                <w:rFonts w:hint="eastAsia"/>
                <w:lang w:bidi="ar"/>
              </w:rPr>
              <w:t>积</w:t>
            </w:r>
            <w:r>
              <w:rPr>
                <w:lang w:bidi="ar"/>
              </w:rPr>
              <w:t>的1.24%</w:t>
            </w:r>
            <w:r>
              <w:rPr>
                <w:rFonts w:hint="eastAsia"/>
                <w:lang w:bidi="ar"/>
              </w:rPr>
              <w:t>，</w:t>
            </w:r>
            <w:r>
              <w:rPr>
                <w:lang w:bidi="ar"/>
              </w:rPr>
              <w:t>其中相山区生态保护红线总面积为10.67km</w:t>
            </w:r>
            <w:r>
              <w:rPr>
                <w:rFonts w:hint="eastAsia"/>
                <w:vertAlign w:val="superscript"/>
                <w:lang w:bidi="ar"/>
              </w:rPr>
              <w:t>2</w:t>
            </w:r>
            <w:r>
              <w:rPr>
                <w:lang w:bidi="ar"/>
              </w:rPr>
              <w:t>，占区域国土总面</w:t>
            </w:r>
            <w:r>
              <w:rPr>
                <w:rFonts w:hint="eastAsia"/>
                <w:lang w:bidi="ar"/>
              </w:rPr>
              <w:t>积</w:t>
            </w:r>
            <w:r>
              <w:rPr>
                <w:lang w:bidi="ar"/>
              </w:rPr>
              <w:t>的7.53%。本项目位于</w:t>
            </w:r>
            <w:r>
              <w:rPr>
                <w:rFonts w:hint="eastAsia"/>
                <w:lang w:bidi="ar"/>
              </w:rPr>
              <w:t>安徽淮北相山经济开发区凤冠路3号，</w:t>
            </w:r>
            <w:r>
              <w:rPr>
                <w:lang w:bidi="ar"/>
              </w:rPr>
              <w:t>对照淮北市生态保护红线图以及在安徽省“三线一单”公众平台查询，本项目所在环境管控单元编码为</w:t>
            </w:r>
            <w:r>
              <w:rPr>
                <w:rFonts w:hint="eastAsia"/>
                <w:lang w:bidi="ar"/>
              </w:rPr>
              <w:t>：ZH34060320275，</w:t>
            </w:r>
            <w:r>
              <w:rPr>
                <w:lang w:bidi="ar"/>
              </w:rPr>
              <w:t>涉及管控单元为重点管控单元</w:t>
            </w:r>
            <w:r>
              <w:rPr>
                <w:rFonts w:hint="eastAsia"/>
                <w:lang w:bidi="ar"/>
              </w:rPr>
              <w:t>（附图10）</w:t>
            </w:r>
            <w:r>
              <w:rPr>
                <w:lang w:bidi="ar"/>
              </w:rPr>
              <w:t>，不涉及生态保护红线。</w:t>
            </w:r>
          </w:p>
          <w:p w14:paraId="0A797F10">
            <w:r>
              <w:t>对照淮北市环境管控单元图，项目位于生态环境重点管控单元（淮北市环境管控单元图见</w:t>
            </w:r>
            <w:r>
              <w:rPr>
                <w:rFonts w:hint="eastAsia"/>
              </w:rPr>
              <w:t>附图9</w:t>
            </w:r>
            <w:r>
              <w:t>）。重点管控单元管控要求：对于重点管控单元，着重从现有源排放削减、新增源等量或倍量替代、排放标准加严、区域污染联防联控或污染物允许排放量等方面提出污染物排放管控要求；从土地用途管控、环境基础设施布局优化、环境事故风险防控、有毒有害污染物和易燃易爆物质环境风险防控等方面提出环境风险防控要求；从水资源开发利用效率、地下水开采禁止或者限制要求，土地资源集约利用要求，能源利用效率、禁燃区要求等方面提出资源开发效率要求，并提出相关基础设施建设和管理的要求。</w:t>
            </w:r>
          </w:p>
          <w:p w14:paraId="720C4354">
            <w:r>
              <w:t>项目位于淮北市相山经济开发区，不涉及国家公园、自然保护区、风景名胜区、森林公园、地质公园、世界自然遗产、湿地公园、饮用水水源保护区、天然林、生态公益林等，符合生态环境重点管控单元要求。</w:t>
            </w:r>
          </w:p>
          <w:p w14:paraId="5B7FE866">
            <w:pPr>
              <w:ind w:left="480" w:leftChars="200" w:firstLine="0" w:firstLineChars="0"/>
            </w:pPr>
            <w:r>
              <w:rPr>
                <w:rFonts w:hint="eastAsia"/>
              </w:rPr>
              <w:t>（3）资源利用上线及自然资源开发分区管控</w:t>
            </w:r>
          </w:p>
          <w:p w14:paraId="550366B2">
            <w:r>
              <w:t>资源是环境的载体，资源利用上线是各地区能源、水、土地等资源消耗不得突破的</w:t>
            </w:r>
            <w:r>
              <w:rPr>
                <w:rFonts w:hint="eastAsia"/>
              </w:rPr>
              <w:t>“</w:t>
            </w:r>
            <w:r>
              <w:t>天花板</w:t>
            </w:r>
            <w:r>
              <w:rPr>
                <w:rFonts w:hint="eastAsia"/>
              </w:rPr>
              <w:t>”</w:t>
            </w:r>
            <w:r>
              <w:t>。项目用水由市自来水公司进行统一供水；用电由园区供电管网所供给；用地为工业用地，符合当地土地规划要求。项目对当地资源利用的影响较小</w:t>
            </w:r>
            <w:r>
              <w:rPr>
                <w:rFonts w:hint="eastAsia"/>
              </w:rPr>
              <w:t>。</w:t>
            </w:r>
          </w:p>
          <w:p w14:paraId="7E87AC1A">
            <w:r>
              <w:t>（4）与生态环境准入清单相符性</w:t>
            </w:r>
          </w:p>
          <w:p w14:paraId="35E261CC">
            <w:pPr>
              <w:rPr>
                <w:rFonts w:hint="eastAsia" w:ascii="宋体" w:hAnsi="宋体" w:cs="宋体"/>
                <w:color w:val="0000FF"/>
              </w:rPr>
            </w:pPr>
            <w:r>
              <w:rPr>
                <w:rFonts w:hint="eastAsia" w:ascii="宋体" w:hAnsi="宋体" w:cs="宋体"/>
                <w:color w:val="0000FF"/>
              </w:rPr>
              <w:t>对照《淮北市“三线一单”生态环境准入清单》（淮北市生态</w:t>
            </w:r>
            <w:r>
              <w:rPr>
                <w:color w:val="0000FF"/>
              </w:rPr>
              <w:t>环境局，2020年12月</w:t>
            </w:r>
            <w:r>
              <w:rPr>
                <w:rFonts w:hint="eastAsia" w:ascii="宋体" w:hAnsi="宋体" w:cs="宋体"/>
                <w:color w:val="0000FF"/>
              </w:rPr>
              <w:t>）</w:t>
            </w:r>
            <w:r>
              <w:rPr>
                <w:color w:val="0000FF"/>
              </w:rPr>
              <w:t>附件4</w:t>
            </w:r>
            <w:r>
              <w:rPr>
                <w:rFonts w:hint="eastAsia" w:ascii="宋体" w:hAnsi="宋体" w:cs="宋体"/>
                <w:color w:val="0000FF"/>
              </w:rPr>
              <w:t>-开发区（相山经济开发区）重点管控要求。</w:t>
            </w:r>
          </w:p>
          <w:p w14:paraId="48CEAECB">
            <w:pPr>
              <w:spacing w:line="240" w:lineRule="auto"/>
              <w:ind w:firstLine="0" w:firstLineChars="0"/>
              <w:jc w:val="center"/>
              <w:rPr>
                <w:rFonts w:hint="eastAsia" w:ascii="宋体" w:hAnsi="宋体" w:cs="宋体"/>
                <w:color w:val="0000FF"/>
              </w:rPr>
            </w:pPr>
            <w:r>
              <w:rPr>
                <w:b/>
                <w:bCs/>
                <w:color w:val="0000FF"/>
              </w:rPr>
              <w:t>表1-2  与《淮北市“三线一单”生态环境准入清单》相符性分析</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54"/>
              <w:gridCol w:w="4057"/>
              <w:gridCol w:w="1134"/>
            </w:tblGrid>
            <w:tr w14:paraId="2018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6" w:type="pct"/>
                  <w:vAlign w:val="center"/>
                </w:tcPr>
                <w:p w14:paraId="3C1479DD">
                  <w:pPr>
                    <w:spacing w:line="240" w:lineRule="auto"/>
                    <w:ind w:firstLine="0" w:firstLineChars="0"/>
                    <w:jc w:val="center"/>
                    <w:rPr>
                      <w:color w:val="0000FF"/>
                      <w:sz w:val="21"/>
                      <w:szCs w:val="21"/>
                    </w:rPr>
                  </w:pPr>
                  <w:r>
                    <w:rPr>
                      <w:color w:val="0000FF"/>
                      <w:sz w:val="21"/>
                      <w:szCs w:val="21"/>
                    </w:rPr>
                    <w:t>序号</w:t>
                  </w:r>
                </w:p>
              </w:tc>
              <w:tc>
                <w:tcPr>
                  <w:tcW w:w="1047" w:type="pct"/>
                  <w:vAlign w:val="center"/>
                </w:tcPr>
                <w:p w14:paraId="7893DE23">
                  <w:pPr>
                    <w:spacing w:line="240" w:lineRule="auto"/>
                    <w:ind w:firstLine="0" w:firstLineChars="0"/>
                    <w:jc w:val="center"/>
                    <w:rPr>
                      <w:color w:val="0000FF"/>
                      <w:sz w:val="21"/>
                      <w:szCs w:val="21"/>
                    </w:rPr>
                  </w:pPr>
                  <w:r>
                    <w:rPr>
                      <w:color w:val="0000FF"/>
                      <w:sz w:val="21"/>
                      <w:szCs w:val="21"/>
                    </w:rPr>
                    <w:t>产业定位</w:t>
                  </w:r>
                </w:p>
              </w:tc>
              <w:tc>
                <w:tcPr>
                  <w:tcW w:w="2732" w:type="pct"/>
                  <w:vAlign w:val="center"/>
                </w:tcPr>
                <w:p w14:paraId="5BBDD029">
                  <w:pPr>
                    <w:spacing w:line="240" w:lineRule="auto"/>
                    <w:ind w:firstLine="0" w:firstLineChars="0"/>
                    <w:jc w:val="center"/>
                    <w:rPr>
                      <w:color w:val="0000FF"/>
                      <w:sz w:val="21"/>
                      <w:szCs w:val="21"/>
                    </w:rPr>
                  </w:pPr>
                  <w:r>
                    <w:rPr>
                      <w:color w:val="0000FF"/>
                      <w:sz w:val="21"/>
                      <w:szCs w:val="21"/>
                      <w:lang w:bidi="ar"/>
                    </w:rPr>
                    <w:t>产业准入要求</w:t>
                  </w:r>
                </w:p>
              </w:tc>
              <w:tc>
                <w:tcPr>
                  <w:tcW w:w="764" w:type="pct"/>
                  <w:vAlign w:val="center"/>
                </w:tcPr>
                <w:p w14:paraId="1BE7A105">
                  <w:pPr>
                    <w:spacing w:line="240" w:lineRule="auto"/>
                    <w:ind w:firstLine="0" w:firstLineChars="0"/>
                    <w:jc w:val="center"/>
                    <w:rPr>
                      <w:color w:val="0000FF"/>
                      <w:sz w:val="21"/>
                      <w:szCs w:val="21"/>
                      <w:lang w:bidi="ar"/>
                    </w:rPr>
                  </w:pPr>
                  <w:r>
                    <w:rPr>
                      <w:rFonts w:hint="eastAsia"/>
                      <w:color w:val="0000FF"/>
                      <w:sz w:val="21"/>
                      <w:szCs w:val="21"/>
                      <w:lang w:bidi="ar"/>
                    </w:rPr>
                    <w:t>本项目情况</w:t>
                  </w:r>
                </w:p>
              </w:tc>
            </w:tr>
            <w:tr w14:paraId="0539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6" w:type="pct"/>
                  <w:vAlign w:val="center"/>
                </w:tcPr>
                <w:p w14:paraId="786557CD">
                  <w:pPr>
                    <w:spacing w:line="240" w:lineRule="auto"/>
                    <w:ind w:firstLine="0" w:firstLineChars="0"/>
                    <w:jc w:val="center"/>
                    <w:rPr>
                      <w:color w:val="0000FF"/>
                      <w:sz w:val="21"/>
                      <w:szCs w:val="21"/>
                    </w:rPr>
                  </w:pPr>
                  <w:r>
                    <w:rPr>
                      <w:color w:val="0000FF"/>
                      <w:sz w:val="21"/>
                      <w:szCs w:val="21"/>
                    </w:rPr>
                    <w:t>1</w:t>
                  </w:r>
                </w:p>
              </w:tc>
              <w:tc>
                <w:tcPr>
                  <w:tcW w:w="1047" w:type="pct"/>
                  <w:vMerge w:val="restart"/>
                  <w:vAlign w:val="center"/>
                </w:tcPr>
                <w:p w14:paraId="62E656BF">
                  <w:pPr>
                    <w:spacing w:line="240" w:lineRule="auto"/>
                    <w:ind w:firstLine="0" w:firstLineChars="0"/>
                    <w:jc w:val="center"/>
                    <w:textAlignment w:val="center"/>
                    <w:rPr>
                      <w:color w:val="0000FF"/>
                      <w:sz w:val="21"/>
                      <w:szCs w:val="21"/>
                    </w:rPr>
                  </w:pPr>
                  <w:r>
                    <w:rPr>
                      <w:rStyle w:val="48"/>
                      <w:rFonts w:hint="default" w:ascii="Times New Roman" w:hAnsi="Times New Roman" w:eastAsia="宋体" w:cs="Times New Roman"/>
                      <w:b w:val="0"/>
                      <w:color w:val="0000FF"/>
                      <w:sz w:val="21"/>
                      <w:szCs w:val="21"/>
                      <w:lang w:bidi="ar"/>
                    </w:rPr>
                    <w:t>开发区功能定位：</w:t>
                  </w:r>
                  <w:r>
                    <w:rPr>
                      <w:rStyle w:val="49"/>
                      <w:rFonts w:hint="default" w:ascii="Times New Roman" w:hAnsi="Times New Roman" w:cs="Times New Roman"/>
                      <w:color w:val="0000FF"/>
                      <w:sz w:val="21"/>
                      <w:szCs w:val="21"/>
                      <w:lang w:bidi="ar"/>
                    </w:rPr>
                    <w:t>以食品制造、信息产业为主，现代服务业集聚、宜业</w:t>
                  </w:r>
                  <w:r>
                    <w:rPr>
                      <w:color w:val="0000FF"/>
                      <w:sz w:val="21"/>
                      <w:szCs w:val="21"/>
                      <w:lang w:bidi="ar"/>
                    </w:rPr>
                    <w:t>宜商宜居的产业主导型开发区</w:t>
                  </w:r>
                  <w:r>
                    <w:rPr>
                      <w:color w:val="0000FF"/>
                      <w:sz w:val="21"/>
                      <w:szCs w:val="21"/>
                    </w:rPr>
                    <w:t>。</w:t>
                  </w:r>
                </w:p>
                <w:p w14:paraId="399AC038">
                  <w:pPr>
                    <w:spacing w:line="240" w:lineRule="auto"/>
                    <w:ind w:firstLine="0" w:firstLineChars="0"/>
                    <w:jc w:val="center"/>
                    <w:textAlignment w:val="center"/>
                    <w:rPr>
                      <w:color w:val="0000FF"/>
                      <w:sz w:val="21"/>
                      <w:szCs w:val="21"/>
                      <w:lang w:bidi="ar"/>
                    </w:rPr>
                  </w:pPr>
                  <w:r>
                    <w:rPr>
                      <w:color w:val="0000FF"/>
                      <w:sz w:val="21"/>
                      <w:szCs w:val="21"/>
                      <w:lang w:bidi="ar"/>
                    </w:rPr>
                    <w:t>规划功能结构为“一心、三轴、四区”。“一心”：即开发区商贸、管理综合服务中心，沿淮海西路与相凤路西北展开；“三轴”：即沿凤凰路展开的产业发展轴，沿淮海西路东西向展开的开发区主要发展轴和沿栖凤路展开的南北发展轴；</w:t>
                  </w:r>
                </w:p>
                <w:p w14:paraId="00CCEE3A">
                  <w:pPr>
                    <w:spacing w:line="240" w:lineRule="auto"/>
                    <w:ind w:firstLine="0" w:firstLineChars="0"/>
                    <w:jc w:val="center"/>
                    <w:textAlignment w:val="center"/>
                    <w:rPr>
                      <w:color w:val="0000FF"/>
                      <w:sz w:val="21"/>
                      <w:szCs w:val="21"/>
                    </w:rPr>
                  </w:pPr>
                  <w:r>
                    <w:rPr>
                      <w:color w:val="0000FF"/>
                      <w:sz w:val="21"/>
                      <w:szCs w:val="21"/>
                      <w:lang w:bidi="ar"/>
                    </w:rPr>
                    <w:t>“四区”：即西部产业区、北部产业区、南部生活区和创新创业中心。</w:t>
                  </w:r>
                </w:p>
                <w:p w14:paraId="50DBDE4B">
                  <w:pPr>
                    <w:spacing w:line="240" w:lineRule="auto"/>
                    <w:ind w:firstLine="0" w:firstLineChars="0"/>
                    <w:jc w:val="center"/>
                    <w:rPr>
                      <w:color w:val="0000FF"/>
                      <w:sz w:val="21"/>
                      <w:szCs w:val="21"/>
                    </w:rPr>
                  </w:pPr>
                  <w:r>
                    <w:rPr>
                      <w:rStyle w:val="48"/>
                      <w:rFonts w:hint="default" w:ascii="Times New Roman" w:hAnsi="Times New Roman" w:eastAsia="宋体" w:cs="Times New Roman"/>
                      <w:b w:val="0"/>
                      <w:color w:val="0000FF"/>
                      <w:sz w:val="21"/>
                      <w:szCs w:val="21"/>
                      <w:lang w:bidi="ar"/>
                    </w:rPr>
                    <w:t>主导产业</w:t>
                  </w:r>
                  <w:r>
                    <w:rPr>
                      <w:rStyle w:val="49"/>
                      <w:rFonts w:hint="default" w:ascii="Times New Roman" w:hAnsi="Times New Roman" w:cs="Times New Roman"/>
                      <w:color w:val="0000FF"/>
                      <w:sz w:val="21"/>
                      <w:szCs w:val="21"/>
                      <w:lang w:bidi="ar"/>
                    </w:rPr>
                    <w:t>：以食品制造和信息产业为主导产业。</w:t>
                  </w:r>
                </w:p>
              </w:tc>
              <w:tc>
                <w:tcPr>
                  <w:tcW w:w="2732" w:type="pct"/>
                  <w:vAlign w:val="center"/>
                </w:tcPr>
                <w:p w14:paraId="1DEBB812">
                  <w:pPr>
                    <w:spacing w:line="240" w:lineRule="auto"/>
                    <w:ind w:firstLine="0" w:firstLineChars="0"/>
                    <w:jc w:val="center"/>
                    <w:rPr>
                      <w:color w:val="0000FF"/>
                      <w:sz w:val="21"/>
                      <w:szCs w:val="21"/>
                    </w:rPr>
                  </w:pPr>
                  <w:r>
                    <w:rPr>
                      <w:color w:val="0000FF"/>
                      <w:sz w:val="21"/>
                      <w:szCs w:val="21"/>
                    </w:rPr>
                    <w:t>鼓励入园项目：（1）鼓励具有先进、科学、智慧化环境管理水平的，符合园区产业定位、行业准入条件的项目入区；（2）注重生产装置的规模效益，鼓励在园区内建设具有国际竞争力的符合。</w:t>
                  </w:r>
                </w:p>
              </w:tc>
              <w:tc>
                <w:tcPr>
                  <w:tcW w:w="764" w:type="pct"/>
                  <w:vMerge w:val="restart"/>
                  <w:vAlign w:val="center"/>
                </w:tcPr>
                <w:p w14:paraId="77013ACA">
                  <w:pPr>
                    <w:spacing w:line="240" w:lineRule="auto"/>
                    <w:ind w:firstLine="0" w:firstLineChars="0"/>
                    <w:jc w:val="center"/>
                    <w:rPr>
                      <w:color w:val="0000FF"/>
                      <w:sz w:val="21"/>
                      <w:szCs w:val="21"/>
                    </w:rPr>
                  </w:pPr>
                  <w:r>
                    <w:rPr>
                      <w:rFonts w:hint="eastAsia"/>
                      <w:color w:val="0000FF"/>
                      <w:sz w:val="21"/>
                      <w:szCs w:val="21"/>
                    </w:rPr>
                    <w:t>本项目属于C1432速冻食品制造，属于园区内主导产业符合规划，且不在禁止发展和限制发展项目内。</w:t>
                  </w:r>
                </w:p>
              </w:tc>
            </w:tr>
            <w:tr w14:paraId="0F8D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6" w:type="pct"/>
                  <w:vAlign w:val="center"/>
                </w:tcPr>
                <w:p w14:paraId="03BF68CB">
                  <w:pPr>
                    <w:spacing w:line="240" w:lineRule="auto"/>
                    <w:ind w:firstLine="0" w:firstLineChars="0"/>
                    <w:jc w:val="center"/>
                    <w:rPr>
                      <w:color w:val="0000FF"/>
                      <w:sz w:val="21"/>
                      <w:szCs w:val="21"/>
                    </w:rPr>
                  </w:pPr>
                  <w:r>
                    <w:rPr>
                      <w:color w:val="0000FF"/>
                      <w:sz w:val="21"/>
                      <w:szCs w:val="21"/>
                    </w:rPr>
                    <w:t>2</w:t>
                  </w:r>
                </w:p>
              </w:tc>
              <w:tc>
                <w:tcPr>
                  <w:tcW w:w="1047" w:type="pct"/>
                  <w:vMerge w:val="continue"/>
                  <w:vAlign w:val="center"/>
                </w:tcPr>
                <w:p w14:paraId="6123F8D4">
                  <w:pPr>
                    <w:spacing w:line="240" w:lineRule="auto"/>
                    <w:ind w:firstLine="0" w:firstLineChars="0"/>
                    <w:jc w:val="center"/>
                    <w:rPr>
                      <w:color w:val="0000FF"/>
                      <w:sz w:val="21"/>
                      <w:szCs w:val="21"/>
                    </w:rPr>
                  </w:pPr>
                </w:p>
              </w:tc>
              <w:tc>
                <w:tcPr>
                  <w:tcW w:w="2732" w:type="pct"/>
                  <w:vAlign w:val="center"/>
                </w:tcPr>
                <w:p w14:paraId="3C0DC8FD">
                  <w:pPr>
                    <w:spacing w:line="240" w:lineRule="auto"/>
                    <w:ind w:firstLine="0" w:firstLineChars="0"/>
                    <w:jc w:val="center"/>
                    <w:rPr>
                      <w:color w:val="0000FF"/>
                      <w:sz w:val="21"/>
                      <w:szCs w:val="21"/>
                    </w:rPr>
                  </w:pPr>
                  <w:r>
                    <w:rPr>
                      <w:color w:val="0000FF"/>
                      <w:sz w:val="21"/>
                      <w:szCs w:val="21"/>
                    </w:rPr>
                    <w:t>限制发展项目：（1）加大落后产能淘汰和过剩产能压减力度。严格执行钢铁、水泥、平板玻璃等行业产能置换实施办法。（2）严格限制新建印染、制革、化工、电镀、酿造等大中型项目或者其他污染严重的项目；建设该类项目的，应当事前征得省人民政府生态环境行政主管部门的同意，并按照规定办理有关手续。（3）限制新建耗水量大、废水排放量大的项目和单纯扩大产能的项目。严格控制高耗水、高污染行业发展。（4）根据《安徽省环保厅关于下达“十三五”重点行业的重点重金属排放控制量的函》，2020年淮北市重点行业的重点重金属排放量控制在1310公斤以内。根据淮北市环保局的要求，重金属主要控制铅、汞、铬、砷、镉五项指标，目前这五项已下发指标1100多公斤。相山经济开发区为了满足重金属排放总量控制的要求，在规划实施过程中，应该严格执行涉重金属产业准入和环境准入政策，优化产业布局，限值发展产生铅、汞、铬、砷、镉重金属的项目。对于涉重点重金属排放的新建项目，必须明确重金属污染物的排放量和来源。</w:t>
                  </w:r>
                </w:p>
              </w:tc>
              <w:tc>
                <w:tcPr>
                  <w:tcW w:w="764" w:type="pct"/>
                  <w:vMerge w:val="continue"/>
                  <w:vAlign w:val="center"/>
                </w:tcPr>
                <w:p w14:paraId="77E461EE">
                  <w:pPr>
                    <w:spacing w:line="240" w:lineRule="auto"/>
                    <w:ind w:firstLine="0" w:firstLineChars="0"/>
                    <w:jc w:val="center"/>
                    <w:rPr>
                      <w:color w:val="0000FF"/>
                      <w:sz w:val="21"/>
                      <w:szCs w:val="21"/>
                    </w:rPr>
                  </w:pPr>
                </w:p>
              </w:tc>
            </w:tr>
            <w:tr w14:paraId="7E70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6" w:type="pct"/>
                  <w:vAlign w:val="center"/>
                </w:tcPr>
                <w:p w14:paraId="51F1B705">
                  <w:pPr>
                    <w:spacing w:line="240" w:lineRule="auto"/>
                    <w:ind w:firstLine="0" w:firstLineChars="0"/>
                    <w:jc w:val="center"/>
                    <w:rPr>
                      <w:color w:val="0000FF"/>
                      <w:sz w:val="21"/>
                      <w:szCs w:val="21"/>
                    </w:rPr>
                  </w:pPr>
                  <w:r>
                    <w:rPr>
                      <w:color w:val="0000FF"/>
                      <w:sz w:val="21"/>
                      <w:szCs w:val="21"/>
                    </w:rPr>
                    <w:t>3</w:t>
                  </w:r>
                </w:p>
              </w:tc>
              <w:tc>
                <w:tcPr>
                  <w:tcW w:w="1047" w:type="pct"/>
                  <w:vMerge w:val="continue"/>
                  <w:vAlign w:val="center"/>
                </w:tcPr>
                <w:p w14:paraId="41072BA9">
                  <w:pPr>
                    <w:spacing w:line="240" w:lineRule="auto"/>
                    <w:ind w:firstLine="0" w:firstLineChars="0"/>
                    <w:jc w:val="center"/>
                    <w:rPr>
                      <w:color w:val="0000FF"/>
                      <w:sz w:val="21"/>
                      <w:szCs w:val="21"/>
                    </w:rPr>
                  </w:pPr>
                </w:p>
              </w:tc>
              <w:tc>
                <w:tcPr>
                  <w:tcW w:w="2732" w:type="pct"/>
                  <w:vAlign w:val="center"/>
                </w:tcPr>
                <w:p w14:paraId="4B22BB00">
                  <w:pPr>
                    <w:spacing w:line="240" w:lineRule="auto"/>
                    <w:ind w:firstLine="0" w:firstLineChars="0"/>
                    <w:jc w:val="center"/>
                    <w:rPr>
                      <w:color w:val="0000FF"/>
                      <w:sz w:val="21"/>
                      <w:szCs w:val="21"/>
                    </w:rPr>
                  </w:pPr>
                  <w:r>
                    <w:rPr>
                      <w:color w:val="0000FF"/>
                      <w:sz w:val="21"/>
                      <w:szCs w:val="21"/>
                    </w:rPr>
                    <w:t>禁止发展项目：禁止新建、扩建钢铁、有色、石化、水泥、化工等重污染企业。严禁新增钢铁、焦化、电解铝、铸造、水泥和平板玻璃等产能；禁止新建燃料类煤气发生炉（园区现有企业统一建设的清洁煤制气中心除外）。禁止建设生产和使用高VOCs含量的溶剂型涂料、油墨、胶粘剂等项目。禁止新建并取缔装备水平低、环保设施差的小型造纸、制革、印染、染料、炼焦、炼硫、炼砷、炼油、电镀、农药等严重污染水环境的项目。</w:t>
                  </w:r>
                </w:p>
              </w:tc>
              <w:tc>
                <w:tcPr>
                  <w:tcW w:w="764" w:type="pct"/>
                  <w:vMerge w:val="continue"/>
                  <w:vAlign w:val="center"/>
                </w:tcPr>
                <w:p w14:paraId="0E6CC938">
                  <w:pPr>
                    <w:spacing w:line="240" w:lineRule="auto"/>
                    <w:ind w:firstLine="0" w:firstLineChars="0"/>
                    <w:jc w:val="center"/>
                    <w:rPr>
                      <w:color w:val="0000FF"/>
                      <w:sz w:val="21"/>
                      <w:szCs w:val="21"/>
                    </w:rPr>
                  </w:pPr>
                </w:p>
              </w:tc>
            </w:tr>
          </w:tbl>
          <w:p w14:paraId="2C4E0A23">
            <w:r>
              <w:rPr>
                <w:color w:val="0000FF"/>
              </w:rPr>
              <w:t>综上所述，本项目不在主导生态功能区范围内，不在当地饮用水源、风景区、自然保护区等生态保护区内；区域环境质量经过治理后基本满足项目所在地环境功能区划要求，有一定的环境容量，且各污染物均可做到达标排放；项目使用资源为清洁的电能，利用率较高，不触及资源利用上线；符合国家产业、地方政策和环境准入标准和要求。</w:t>
            </w:r>
          </w:p>
          <w:p w14:paraId="48E7B0F6">
            <w:r>
              <w:t>因此，本项目符合“三线一单”的管理要求。</w:t>
            </w:r>
          </w:p>
          <w:p w14:paraId="7B7CBBCF">
            <w:pPr>
              <w:rPr>
                <w:bCs/>
              </w:rPr>
            </w:pPr>
            <w:r>
              <w:rPr>
                <w:rFonts w:hint="eastAsia"/>
                <w:bCs/>
              </w:rPr>
              <w:t>（5）安徽淮北相山经济开发区环境准入清单一览表见下表</w:t>
            </w:r>
          </w:p>
          <w:p w14:paraId="7B3DEA5C">
            <w:pPr>
              <w:spacing w:line="240" w:lineRule="auto"/>
              <w:ind w:firstLine="482"/>
              <w:rPr>
                <w:b/>
              </w:rPr>
            </w:pPr>
            <w:r>
              <w:rPr>
                <w:rFonts w:hint="eastAsia"/>
                <w:b/>
              </w:rPr>
              <w:t>表1-3  安徽淮北相山经济开发区生态环境准入负面清单一览表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48"/>
              <w:gridCol w:w="6176"/>
            </w:tblGrid>
            <w:tr w14:paraId="0D00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Align w:val="center"/>
                </w:tcPr>
                <w:p w14:paraId="1154B67F">
                  <w:pPr>
                    <w:spacing w:line="240" w:lineRule="auto"/>
                    <w:ind w:firstLine="0" w:firstLineChars="0"/>
                    <w:jc w:val="center"/>
                    <w:rPr>
                      <w:bCs/>
                      <w:sz w:val="21"/>
                      <w:szCs w:val="21"/>
                    </w:rPr>
                  </w:pPr>
                  <w:r>
                    <w:rPr>
                      <w:bCs/>
                      <w:sz w:val="21"/>
                      <w:szCs w:val="21"/>
                    </w:rPr>
                    <w:t>管控</w:t>
                  </w:r>
                </w:p>
                <w:p w14:paraId="79E9EF57">
                  <w:pPr>
                    <w:spacing w:line="240" w:lineRule="auto"/>
                    <w:ind w:firstLine="0" w:firstLineChars="0"/>
                    <w:jc w:val="center"/>
                    <w:rPr>
                      <w:bCs/>
                      <w:sz w:val="21"/>
                      <w:szCs w:val="21"/>
                    </w:rPr>
                  </w:pPr>
                  <w:r>
                    <w:rPr>
                      <w:bCs/>
                      <w:sz w:val="21"/>
                      <w:szCs w:val="21"/>
                    </w:rPr>
                    <w:t>类别</w:t>
                  </w:r>
                </w:p>
              </w:tc>
              <w:tc>
                <w:tcPr>
                  <w:tcW w:w="4460" w:type="pct"/>
                  <w:gridSpan w:val="2"/>
                  <w:vAlign w:val="center"/>
                </w:tcPr>
                <w:p w14:paraId="1E8FC834">
                  <w:pPr>
                    <w:spacing w:line="240" w:lineRule="auto"/>
                    <w:ind w:firstLine="0" w:firstLineChars="0"/>
                    <w:jc w:val="center"/>
                    <w:rPr>
                      <w:bCs/>
                      <w:sz w:val="21"/>
                      <w:szCs w:val="21"/>
                    </w:rPr>
                  </w:pPr>
                  <w:r>
                    <w:rPr>
                      <w:bCs/>
                      <w:sz w:val="21"/>
                      <w:szCs w:val="21"/>
                    </w:rPr>
                    <w:t>准入要求</w:t>
                  </w:r>
                </w:p>
              </w:tc>
            </w:tr>
            <w:tr w14:paraId="561E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Merge w:val="restart"/>
                  <w:vAlign w:val="center"/>
                </w:tcPr>
                <w:p w14:paraId="5E9AFE78">
                  <w:pPr>
                    <w:spacing w:line="240" w:lineRule="auto"/>
                    <w:ind w:firstLine="0" w:firstLineChars="0"/>
                    <w:jc w:val="center"/>
                    <w:rPr>
                      <w:bCs/>
                      <w:sz w:val="21"/>
                      <w:szCs w:val="21"/>
                    </w:rPr>
                  </w:pPr>
                  <w:r>
                    <w:rPr>
                      <w:bCs/>
                      <w:sz w:val="21"/>
                      <w:szCs w:val="21"/>
                    </w:rPr>
                    <w:t>鼓励类</w:t>
                  </w:r>
                </w:p>
              </w:tc>
              <w:tc>
                <w:tcPr>
                  <w:tcW w:w="302" w:type="pct"/>
                  <w:vAlign w:val="center"/>
                </w:tcPr>
                <w:p w14:paraId="7B211BE1">
                  <w:pPr>
                    <w:spacing w:line="240" w:lineRule="auto"/>
                    <w:ind w:firstLine="0" w:firstLineChars="0"/>
                    <w:jc w:val="center"/>
                    <w:rPr>
                      <w:bCs/>
                      <w:sz w:val="21"/>
                      <w:szCs w:val="21"/>
                    </w:rPr>
                  </w:pPr>
                  <w:r>
                    <w:rPr>
                      <w:bCs/>
                      <w:sz w:val="21"/>
                      <w:szCs w:val="21"/>
                    </w:rPr>
                    <w:t>信息产业</w:t>
                  </w:r>
                </w:p>
              </w:tc>
              <w:tc>
                <w:tcPr>
                  <w:tcW w:w="4158" w:type="pct"/>
                  <w:vAlign w:val="center"/>
                </w:tcPr>
                <w:p w14:paraId="40378238">
                  <w:pPr>
                    <w:spacing w:line="240" w:lineRule="auto"/>
                    <w:ind w:firstLine="0" w:firstLineChars="0"/>
                    <w:rPr>
                      <w:bCs/>
                      <w:sz w:val="21"/>
                      <w:szCs w:val="21"/>
                    </w:rPr>
                  </w:pPr>
                  <w:r>
                    <w:rPr>
                      <w:bCs/>
                      <w:sz w:val="21"/>
                      <w:szCs w:val="21"/>
                    </w:rPr>
                    <w:t>1、数字化、智能化、网络化工业自动检测仪表与</w:t>
                  </w:r>
                  <w:r>
                    <w:rPr>
                      <w:rFonts w:hint="eastAsia"/>
                      <w:bCs/>
                      <w:sz w:val="21"/>
                      <w:szCs w:val="21"/>
                    </w:rPr>
                    <w:t>传感器</w:t>
                  </w:r>
                  <w:r>
                    <w:rPr>
                      <w:bCs/>
                      <w:sz w:val="21"/>
                      <w:szCs w:val="21"/>
                    </w:rPr>
                    <w:t>，原位在线成份分析仪器</w:t>
                  </w:r>
                  <w:r>
                    <w:rPr>
                      <w:rFonts w:hint="eastAsia"/>
                      <w:bCs/>
                      <w:sz w:val="21"/>
                      <w:szCs w:val="21"/>
                    </w:rPr>
                    <w:t>，</w:t>
                  </w:r>
                  <w:r>
                    <w:rPr>
                      <w:bCs/>
                      <w:sz w:val="21"/>
                      <w:szCs w:val="21"/>
                    </w:rPr>
                    <w:t>具有无线通信功能的低功耗智能传感器，电磁兼容检测设备，智能电网用智能电表</w:t>
                  </w:r>
                  <w:r>
                    <w:rPr>
                      <w:rFonts w:hint="eastAsia"/>
                      <w:bCs/>
                      <w:sz w:val="21"/>
                      <w:szCs w:val="21"/>
                    </w:rPr>
                    <w:t>（</w:t>
                  </w:r>
                  <w:r>
                    <w:rPr>
                      <w:bCs/>
                      <w:sz w:val="21"/>
                      <w:szCs w:val="21"/>
                    </w:rPr>
                    <w:t>具有发送和接收信号、自诊断、数据处理功能</w:t>
                  </w:r>
                  <w:r>
                    <w:rPr>
                      <w:rFonts w:hint="eastAsia"/>
                      <w:bCs/>
                      <w:sz w:val="21"/>
                      <w:szCs w:val="21"/>
                    </w:rPr>
                    <w:t>）</w:t>
                  </w:r>
                  <w:r>
                    <w:rPr>
                      <w:bCs/>
                      <w:sz w:val="21"/>
                      <w:szCs w:val="21"/>
                    </w:rPr>
                    <w:t>光纤传感器、二色及二色以上金属板印刷、配套光固化</w:t>
                  </w:r>
                  <w:r>
                    <w:rPr>
                      <w:rFonts w:hint="eastAsia"/>
                      <w:bCs/>
                      <w:sz w:val="21"/>
                      <w:szCs w:val="21"/>
                    </w:rPr>
                    <w:t>（UV）</w:t>
                  </w:r>
                  <w:r>
                    <w:rPr>
                      <w:bCs/>
                      <w:sz w:val="21"/>
                      <w:szCs w:val="21"/>
                    </w:rPr>
                    <w:t>薄板覆膜和高速。</w:t>
                  </w:r>
                </w:p>
                <w:p w14:paraId="2C8B855F">
                  <w:pPr>
                    <w:spacing w:line="240" w:lineRule="auto"/>
                    <w:ind w:firstLine="0" w:firstLineChars="0"/>
                    <w:rPr>
                      <w:bCs/>
                      <w:sz w:val="21"/>
                      <w:szCs w:val="21"/>
                    </w:rPr>
                  </w:pPr>
                  <w:r>
                    <w:rPr>
                      <w:bCs/>
                      <w:sz w:val="21"/>
                      <w:szCs w:val="21"/>
                    </w:rPr>
                    <w:t>2、高压真空元件及开关设备。</w:t>
                  </w:r>
                </w:p>
                <w:p w14:paraId="7F885DFB">
                  <w:pPr>
                    <w:spacing w:line="240" w:lineRule="auto"/>
                    <w:ind w:firstLine="0" w:firstLineChars="0"/>
                    <w:rPr>
                      <w:bCs/>
                      <w:sz w:val="21"/>
                      <w:szCs w:val="21"/>
                    </w:rPr>
                  </w:pPr>
                  <w:r>
                    <w:rPr>
                      <w:bCs/>
                      <w:sz w:val="21"/>
                      <w:szCs w:val="21"/>
                    </w:rPr>
                    <w:t>3、</w:t>
                  </w:r>
                  <w:r>
                    <w:rPr>
                      <w:rFonts w:hint="eastAsia"/>
                      <w:bCs/>
                      <w:sz w:val="21"/>
                      <w:szCs w:val="21"/>
                    </w:rPr>
                    <w:t>锂</w:t>
                  </w:r>
                  <w:r>
                    <w:rPr>
                      <w:bCs/>
                      <w:sz w:val="21"/>
                      <w:szCs w:val="21"/>
                    </w:rPr>
                    <w:t>离子电池、氢镍电池等动力电池</w:t>
                  </w:r>
                  <w:r>
                    <w:rPr>
                      <w:rFonts w:hint="eastAsia"/>
                      <w:bCs/>
                      <w:sz w:val="21"/>
                      <w:szCs w:val="21"/>
                    </w:rPr>
                    <w:t>；</w:t>
                  </w:r>
                  <w:r>
                    <w:rPr>
                      <w:bCs/>
                      <w:sz w:val="21"/>
                      <w:szCs w:val="21"/>
                    </w:rPr>
                    <w:t>储能用</w:t>
                  </w:r>
                  <w:r>
                    <w:rPr>
                      <w:rFonts w:hint="eastAsia"/>
                      <w:bCs/>
                      <w:sz w:val="21"/>
                      <w:szCs w:val="21"/>
                    </w:rPr>
                    <w:t>锂</w:t>
                  </w:r>
                  <w:r>
                    <w:rPr>
                      <w:bCs/>
                      <w:sz w:val="21"/>
                      <w:szCs w:val="21"/>
                    </w:rPr>
                    <w:t>离子电池。</w:t>
                  </w:r>
                </w:p>
                <w:p w14:paraId="2D8A6989">
                  <w:pPr>
                    <w:spacing w:line="240" w:lineRule="auto"/>
                    <w:ind w:firstLine="0" w:firstLineChars="0"/>
                    <w:rPr>
                      <w:bCs/>
                      <w:sz w:val="21"/>
                      <w:szCs w:val="21"/>
                    </w:rPr>
                  </w:pPr>
                  <w:r>
                    <w:rPr>
                      <w:rFonts w:hint="eastAsia"/>
                      <w:bCs/>
                      <w:sz w:val="21"/>
                      <w:szCs w:val="21"/>
                    </w:rPr>
                    <w:t>4</w:t>
                  </w:r>
                  <w:r>
                    <w:rPr>
                      <w:bCs/>
                      <w:sz w:val="21"/>
                      <w:szCs w:val="21"/>
                    </w:rPr>
                    <w:t>、卫星通信系统、地球站设备制造及建设。</w:t>
                  </w:r>
                </w:p>
                <w:p w14:paraId="31FF7048">
                  <w:pPr>
                    <w:spacing w:line="240" w:lineRule="auto"/>
                    <w:ind w:firstLine="0" w:firstLineChars="0"/>
                    <w:rPr>
                      <w:bCs/>
                      <w:sz w:val="21"/>
                      <w:szCs w:val="21"/>
                    </w:rPr>
                  </w:pPr>
                  <w:r>
                    <w:rPr>
                      <w:bCs/>
                      <w:sz w:val="21"/>
                      <w:szCs w:val="21"/>
                    </w:rPr>
                    <w:t>5、网管监控、时钟同步、计费等通信支撑网建设</w:t>
                  </w:r>
                  <w:r>
                    <w:rPr>
                      <w:rFonts w:hint="eastAsia"/>
                      <w:bCs/>
                      <w:sz w:val="21"/>
                      <w:szCs w:val="21"/>
                    </w:rPr>
                    <w:t>。</w:t>
                  </w:r>
                </w:p>
                <w:p w14:paraId="2F8346E2">
                  <w:pPr>
                    <w:spacing w:line="240" w:lineRule="auto"/>
                    <w:ind w:firstLine="0" w:firstLineChars="0"/>
                    <w:rPr>
                      <w:bCs/>
                      <w:sz w:val="21"/>
                      <w:szCs w:val="21"/>
                    </w:rPr>
                  </w:pPr>
                  <w:r>
                    <w:rPr>
                      <w:bCs/>
                      <w:sz w:val="21"/>
                      <w:szCs w:val="21"/>
                    </w:rPr>
                    <w:t>6、数据通信网设备制造及建设。</w:t>
                  </w:r>
                </w:p>
                <w:p w14:paraId="5A4325F0">
                  <w:pPr>
                    <w:spacing w:line="240" w:lineRule="auto"/>
                    <w:ind w:firstLine="0" w:firstLineChars="0"/>
                    <w:rPr>
                      <w:bCs/>
                      <w:sz w:val="21"/>
                      <w:szCs w:val="21"/>
                    </w:rPr>
                  </w:pPr>
                  <w:r>
                    <w:rPr>
                      <w:bCs/>
                      <w:sz w:val="21"/>
                      <w:szCs w:val="21"/>
                    </w:rPr>
                    <w:t>7、物联网</w:t>
                  </w:r>
                  <w:r>
                    <w:rPr>
                      <w:rFonts w:hint="eastAsia"/>
                      <w:bCs/>
                      <w:sz w:val="21"/>
                      <w:szCs w:val="21"/>
                    </w:rPr>
                    <w:t>（</w:t>
                  </w:r>
                  <w:r>
                    <w:rPr>
                      <w:bCs/>
                      <w:sz w:val="21"/>
                      <w:szCs w:val="21"/>
                    </w:rPr>
                    <w:t>传感网</w:t>
                  </w:r>
                  <w:r>
                    <w:rPr>
                      <w:rFonts w:hint="eastAsia"/>
                      <w:bCs/>
                      <w:sz w:val="21"/>
                      <w:szCs w:val="21"/>
                    </w:rPr>
                    <w:t>）</w:t>
                  </w:r>
                  <w:r>
                    <w:rPr>
                      <w:bCs/>
                      <w:sz w:val="21"/>
                      <w:szCs w:val="21"/>
                    </w:rPr>
                    <w:t>、智能网等新业务网设备制造与建设。</w:t>
                  </w:r>
                </w:p>
                <w:p w14:paraId="5D136039">
                  <w:pPr>
                    <w:spacing w:line="240" w:lineRule="auto"/>
                    <w:ind w:firstLine="0" w:firstLineChars="0"/>
                    <w:rPr>
                      <w:bCs/>
                      <w:sz w:val="21"/>
                      <w:szCs w:val="21"/>
                    </w:rPr>
                  </w:pPr>
                  <w:r>
                    <w:rPr>
                      <w:bCs/>
                      <w:sz w:val="21"/>
                      <w:szCs w:val="21"/>
                    </w:rPr>
                    <w:t>8、宽带网络设备制造与建设</w:t>
                  </w:r>
                  <w:r>
                    <w:rPr>
                      <w:rFonts w:hint="eastAsia"/>
                      <w:bCs/>
                      <w:sz w:val="21"/>
                      <w:szCs w:val="21"/>
                    </w:rPr>
                    <w:t>。</w:t>
                  </w:r>
                </w:p>
                <w:p w14:paraId="4B5F4419">
                  <w:pPr>
                    <w:spacing w:line="240" w:lineRule="auto"/>
                    <w:ind w:firstLine="0" w:firstLineChars="0"/>
                    <w:rPr>
                      <w:bCs/>
                      <w:sz w:val="21"/>
                      <w:szCs w:val="21"/>
                    </w:rPr>
                  </w:pPr>
                  <w:r>
                    <w:rPr>
                      <w:bCs/>
                      <w:sz w:val="21"/>
                      <w:szCs w:val="21"/>
                    </w:rPr>
                    <w:t>9、数字蜂窝移动通信网建设</w:t>
                  </w:r>
                  <w:r>
                    <w:rPr>
                      <w:rFonts w:hint="eastAsia"/>
                      <w:bCs/>
                      <w:sz w:val="21"/>
                      <w:szCs w:val="21"/>
                    </w:rPr>
                    <w:t>。</w:t>
                  </w:r>
                </w:p>
                <w:p w14:paraId="20C4414F">
                  <w:pPr>
                    <w:spacing w:line="240" w:lineRule="auto"/>
                    <w:ind w:firstLine="0" w:firstLineChars="0"/>
                    <w:rPr>
                      <w:bCs/>
                      <w:sz w:val="21"/>
                      <w:szCs w:val="21"/>
                    </w:rPr>
                  </w:pPr>
                  <w:r>
                    <w:rPr>
                      <w:bCs/>
                      <w:sz w:val="21"/>
                      <w:szCs w:val="21"/>
                    </w:rPr>
                    <w:t>10、IP业务网络建设。</w:t>
                  </w:r>
                </w:p>
                <w:p w14:paraId="240A3F74">
                  <w:pPr>
                    <w:spacing w:line="240" w:lineRule="auto"/>
                    <w:ind w:firstLine="0" w:firstLineChars="0"/>
                    <w:rPr>
                      <w:bCs/>
                      <w:sz w:val="21"/>
                      <w:szCs w:val="21"/>
                    </w:rPr>
                  </w:pPr>
                  <w:r>
                    <w:rPr>
                      <w:bCs/>
                      <w:sz w:val="21"/>
                      <w:szCs w:val="21"/>
                    </w:rPr>
                    <w:t>11、下一代互联网网络设备、芯片、系统以及相关测试设备的研发和生产</w:t>
                  </w:r>
                  <w:r>
                    <w:rPr>
                      <w:rFonts w:hint="eastAsia"/>
                      <w:bCs/>
                      <w:sz w:val="21"/>
                      <w:szCs w:val="21"/>
                    </w:rPr>
                    <w:t>。</w:t>
                  </w:r>
                </w:p>
                <w:p w14:paraId="3831111E">
                  <w:pPr>
                    <w:spacing w:line="240" w:lineRule="auto"/>
                    <w:ind w:firstLine="0" w:firstLineChars="0"/>
                    <w:rPr>
                      <w:bCs/>
                      <w:sz w:val="21"/>
                      <w:szCs w:val="21"/>
                    </w:rPr>
                  </w:pPr>
                  <w:r>
                    <w:rPr>
                      <w:bCs/>
                      <w:sz w:val="21"/>
                      <w:szCs w:val="21"/>
                    </w:rPr>
                    <w:t>12、卫星数字电视广播系统建设</w:t>
                  </w:r>
                  <w:r>
                    <w:rPr>
                      <w:rFonts w:hint="eastAsia"/>
                      <w:bCs/>
                      <w:sz w:val="21"/>
                      <w:szCs w:val="21"/>
                    </w:rPr>
                    <w:t>。</w:t>
                  </w:r>
                </w:p>
                <w:p w14:paraId="4D6A8CC8">
                  <w:pPr>
                    <w:spacing w:line="240" w:lineRule="auto"/>
                    <w:ind w:firstLine="0" w:firstLineChars="0"/>
                    <w:rPr>
                      <w:bCs/>
                      <w:sz w:val="21"/>
                      <w:szCs w:val="21"/>
                    </w:rPr>
                  </w:pPr>
                  <w:r>
                    <w:rPr>
                      <w:bCs/>
                      <w:sz w:val="21"/>
                      <w:szCs w:val="21"/>
                    </w:rPr>
                    <w:t>13、增值电信业务平台建设</w:t>
                  </w:r>
                  <w:r>
                    <w:rPr>
                      <w:rFonts w:hint="eastAsia"/>
                      <w:bCs/>
                      <w:sz w:val="21"/>
                      <w:szCs w:val="21"/>
                    </w:rPr>
                    <w:t>。</w:t>
                  </w:r>
                </w:p>
                <w:p w14:paraId="0BA7A92E">
                  <w:pPr>
                    <w:spacing w:line="240" w:lineRule="auto"/>
                    <w:ind w:firstLine="0" w:firstLineChars="0"/>
                    <w:rPr>
                      <w:bCs/>
                      <w:sz w:val="21"/>
                      <w:szCs w:val="21"/>
                    </w:rPr>
                  </w:pPr>
                  <w:r>
                    <w:rPr>
                      <w:bCs/>
                      <w:sz w:val="21"/>
                      <w:szCs w:val="21"/>
                    </w:rPr>
                    <w:t>14、支撑通信网的路由器、交换机、基站等设备</w:t>
                  </w:r>
                  <w:r>
                    <w:rPr>
                      <w:rFonts w:hint="eastAsia"/>
                      <w:bCs/>
                      <w:sz w:val="21"/>
                      <w:szCs w:val="21"/>
                    </w:rPr>
                    <w:t>。</w:t>
                  </w:r>
                </w:p>
                <w:p w14:paraId="3A11F8FE">
                  <w:pPr>
                    <w:spacing w:line="240" w:lineRule="auto"/>
                    <w:ind w:firstLine="0" w:firstLineChars="0"/>
                    <w:rPr>
                      <w:bCs/>
                      <w:sz w:val="21"/>
                      <w:szCs w:val="21"/>
                    </w:rPr>
                  </w:pPr>
                  <w:r>
                    <w:rPr>
                      <w:bCs/>
                      <w:sz w:val="21"/>
                      <w:szCs w:val="21"/>
                    </w:rPr>
                    <w:t>15、同温层通信系统设备制造。</w:t>
                  </w:r>
                </w:p>
                <w:p w14:paraId="5E89F35A">
                  <w:pPr>
                    <w:spacing w:line="240" w:lineRule="auto"/>
                    <w:ind w:firstLine="0" w:firstLineChars="0"/>
                    <w:rPr>
                      <w:bCs/>
                      <w:sz w:val="21"/>
                      <w:szCs w:val="21"/>
                    </w:rPr>
                  </w:pPr>
                  <w:r>
                    <w:rPr>
                      <w:bCs/>
                      <w:sz w:val="21"/>
                      <w:szCs w:val="21"/>
                    </w:rPr>
                    <w:t>16、数字移动通信、接入网系统、数字集群通信系统及路由器、网关等网络设备制造。</w:t>
                  </w:r>
                </w:p>
                <w:p w14:paraId="6D499DAF">
                  <w:pPr>
                    <w:spacing w:line="240" w:lineRule="auto"/>
                    <w:ind w:firstLine="0" w:firstLineChars="0"/>
                    <w:rPr>
                      <w:bCs/>
                      <w:sz w:val="21"/>
                      <w:szCs w:val="21"/>
                    </w:rPr>
                  </w:pPr>
                  <w:r>
                    <w:rPr>
                      <w:bCs/>
                      <w:sz w:val="21"/>
                      <w:szCs w:val="21"/>
                    </w:rPr>
                    <w:t>17、大中型电子计算机、百万亿次高性能计算机便携式微型计算机、每秒一万亿次及以上高档服务器大型模拟仿真系统、大型工业控制机及控制器制造。</w:t>
                  </w:r>
                </w:p>
                <w:p w14:paraId="3C33222F">
                  <w:pPr>
                    <w:spacing w:line="240" w:lineRule="auto"/>
                    <w:ind w:firstLine="0" w:firstLineChars="0"/>
                    <w:rPr>
                      <w:bCs/>
                      <w:sz w:val="21"/>
                      <w:szCs w:val="21"/>
                    </w:rPr>
                  </w:pPr>
                  <w:r>
                    <w:rPr>
                      <w:bCs/>
                      <w:sz w:val="21"/>
                      <w:szCs w:val="21"/>
                    </w:rPr>
                    <w:t>18、集成电路设计，线</w:t>
                  </w:r>
                  <w:r>
                    <w:rPr>
                      <w:rFonts w:hint="eastAsia"/>
                      <w:bCs/>
                      <w:sz w:val="21"/>
                      <w:szCs w:val="21"/>
                    </w:rPr>
                    <w:t>宽</w:t>
                  </w:r>
                  <w:r>
                    <w:rPr>
                      <w:bCs/>
                      <w:sz w:val="21"/>
                      <w:szCs w:val="21"/>
                    </w:rPr>
                    <w:t>0.8微米以下集成电路制造及球栅阵列封装</w:t>
                  </w:r>
                  <w:r>
                    <w:rPr>
                      <w:rFonts w:hint="eastAsia"/>
                      <w:bCs/>
                      <w:sz w:val="21"/>
                      <w:szCs w:val="21"/>
                    </w:rPr>
                    <w:t>（</w:t>
                  </w:r>
                  <w:r>
                    <w:rPr>
                      <w:bCs/>
                      <w:sz w:val="21"/>
                      <w:szCs w:val="21"/>
                    </w:rPr>
                    <w:t>BGA</w:t>
                  </w:r>
                  <w:r>
                    <w:rPr>
                      <w:rFonts w:hint="eastAsia"/>
                      <w:bCs/>
                      <w:sz w:val="21"/>
                      <w:szCs w:val="21"/>
                    </w:rPr>
                    <w:t>）</w:t>
                  </w:r>
                  <w:r>
                    <w:rPr>
                      <w:bCs/>
                      <w:sz w:val="21"/>
                      <w:szCs w:val="21"/>
                    </w:rPr>
                    <w:t>、插针网格阵列封装</w:t>
                  </w:r>
                  <w:r>
                    <w:rPr>
                      <w:rFonts w:hint="eastAsia"/>
                      <w:bCs/>
                      <w:sz w:val="21"/>
                      <w:szCs w:val="21"/>
                    </w:rPr>
                    <w:t>（</w:t>
                  </w:r>
                  <w:r>
                    <w:rPr>
                      <w:bCs/>
                      <w:sz w:val="21"/>
                      <w:szCs w:val="21"/>
                    </w:rPr>
                    <w:t>PGA</w:t>
                  </w:r>
                  <w:r>
                    <w:rPr>
                      <w:rFonts w:hint="eastAsia"/>
                      <w:bCs/>
                      <w:sz w:val="21"/>
                      <w:szCs w:val="21"/>
                    </w:rPr>
                    <w:t>）</w:t>
                  </w:r>
                  <w:r>
                    <w:rPr>
                      <w:bCs/>
                      <w:sz w:val="21"/>
                      <w:szCs w:val="21"/>
                    </w:rPr>
                    <w:t>芯片规模封装</w:t>
                  </w:r>
                  <w:r>
                    <w:rPr>
                      <w:rFonts w:hint="eastAsia"/>
                      <w:bCs/>
                      <w:sz w:val="21"/>
                      <w:szCs w:val="21"/>
                    </w:rPr>
                    <w:t>（</w:t>
                  </w:r>
                  <w:r>
                    <w:rPr>
                      <w:bCs/>
                      <w:sz w:val="21"/>
                      <w:szCs w:val="21"/>
                    </w:rPr>
                    <w:t>CSP</w:t>
                  </w:r>
                  <w:r>
                    <w:rPr>
                      <w:rFonts w:hint="eastAsia"/>
                      <w:bCs/>
                      <w:sz w:val="21"/>
                      <w:szCs w:val="21"/>
                    </w:rPr>
                    <w:t>）</w:t>
                  </w:r>
                  <w:r>
                    <w:rPr>
                      <w:bCs/>
                      <w:sz w:val="21"/>
                      <w:szCs w:val="21"/>
                    </w:rPr>
                    <w:t>、多芯片封装</w:t>
                  </w:r>
                  <w:r>
                    <w:rPr>
                      <w:rFonts w:hint="eastAsia"/>
                      <w:bCs/>
                      <w:sz w:val="21"/>
                      <w:szCs w:val="21"/>
                    </w:rPr>
                    <w:t>（</w:t>
                  </w:r>
                  <w:r>
                    <w:rPr>
                      <w:bCs/>
                      <w:sz w:val="21"/>
                      <w:szCs w:val="21"/>
                    </w:rPr>
                    <w:t>MCM</w:t>
                  </w:r>
                  <w:r>
                    <w:rPr>
                      <w:rFonts w:hint="eastAsia"/>
                      <w:bCs/>
                      <w:sz w:val="21"/>
                      <w:szCs w:val="21"/>
                    </w:rPr>
                    <w:t>）</w:t>
                  </w:r>
                  <w:r>
                    <w:rPr>
                      <w:bCs/>
                      <w:sz w:val="21"/>
                      <w:szCs w:val="21"/>
                    </w:rPr>
                    <w:t>等先进封装与测试</w:t>
                  </w:r>
                  <w:r>
                    <w:rPr>
                      <w:rFonts w:hint="eastAsia"/>
                      <w:bCs/>
                      <w:sz w:val="21"/>
                      <w:szCs w:val="21"/>
                    </w:rPr>
                    <w:t>。</w:t>
                  </w:r>
                </w:p>
                <w:p w14:paraId="10B3363A">
                  <w:pPr>
                    <w:spacing w:line="240" w:lineRule="auto"/>
                    <w:ind w:firstLine="0" w:firstLineChars="0"/>
                    <w:rPr>
                      <w:bCs/>
                      <w:sz w:val="21"/>
                      <w:szCs w:val="21"/>
                    </w:rPr>
                  </w:pPr>
                  <w:r>
                    <w:rPr>
                      <w:bCs/>
                      <w:sz w:val="21"/>
                      <w:szCs w:val="21"/>
                    </w:rPr>
                    <w:t>19、新型电子元器件</w:t>
                  </w:r>
                  <w:r>
                    <w:rPr>
                      <w:rFonts w:hint="eastAsia"/>
                      <w:bCs/>
                      <w:sz w:val="21"/>
                      <w:szCs w:val="21"/>
                    </w:rPr>
                    <w:t>（</w:t>
                  </w:r>
                  <w:r>
                    <w:rPr>
                      <w:bCs/>
                      <w:sz w:val="21"/>
                      <w:szCs w:val="21"/>
                    </w:rPr>
                    <w:t>片式元器件、频率元器件、混合集成电路、电力电子器件、光电子器件、敏感元器件及传感器、新型机电元件、高密度印刷电路板和柔性电路板等</w:t>
                  </w:r>
                  <w:r>
                    <w:rPr>
                      <w:rFonts w:hint="eastAsia"/>
                      <w:bCs/>
                      <w:sz w:val="21"/>
                      <w:szCs w:val="21"/>
                    </w:rPr>
                    <w:t>）</w:t>
                  </w:r>
                  <w:r>
                    <w:rPr>
                      <w:bCs/>
                      <w:sz w:val="21"/>
                      <w:szCs w:val="21"/>
                    </w:rPr>
                    <w:t>制造</w:t>
                  </w:r>
                  <w:r>
                    <w:rPr>
                      <w:rFonts w:hint="eastAsia"/>
                      <w:bCs/>
                      <w:sz w:val="21"/>
                      <w:szCs w:val="21"/>
                    </w:rPr>
                    <w:t>。</w:t>
                  </w:r>
                </w:p>
                <w:p w14:paraId="4633F7AE">
                  <w:pPr>
                    <w:spacing w:line="240" w:lineRule="auto"/>
                    <w:ind w:firstLine="0" w:firstLineChars="0"/>
                    <w:rPr>
                      <w:bCs/>
                      <w:sz w:val="21"/>
                      <w:szCs w:val="21"/>
                    </w:rPr>
                  </w:pPr>
                  <w:r>
                    <w:rPr>
                      <w:bCs/>
                      <w:sz w:val="21"/>
                      <w:szCs w:val="21"/>
                    </w:rPr>
                    <w:t>20、半</w:t>
                  </w:r>
                  <w:r>
                    <w:rPr>
                      <w:rFonts w:hint="eastAsia"/>
                      <w:bCs/>
                      <w:sz w:val="21"/>
                      <w:szCs w:val="21"/>
                    </w:rPr>
                    <w:t>导</w:t>
                  </w:r>
                  <w:r>
                    <w:rPr>
                      <w:bCs/>
                      <w:sz w:val="21"/>
                      <w:szCs w:val="21"/>
                    </w:rPr>
                    <w:t>体、光电子器件、新型电子元器件等电子产品用材料。</w:t>
                  </w:r>
                </w:p>
                <w:p w14:paraId="52B1B948">
                  <w:pPr>
                    <w:spacing w:line="240" w:lineRule="auto"/>
                    <w:ind w:firstLine="0" w:firstLineChars="0"/>
                    <w:rPr>
                      <w:bCs/>
                      <w:sz w:val="21"/>
                      <w:szCs w:val="21"/>
                    </w:rPr>
                  </w:pPr>
                  <w:r>
                    <w:rPr>
                      <w:bCs/>
                      <w:sz w:val="21"/>
                      <w:szCs w:val="21"/>
                    </w:rPr>
                    <w:t>21、软件开发生产</w:t>
                  </w:r>
                  <w:r>
                    <w:rPr>
                      <w:rFonts w:hint="eastAsia"/>
                      <w:bCs/>
                      <w:sz w:val="21"/>
                      <w:szCs w:val="21"/>
                    </w:rPr>
                    <w:t>（</w:t>
                  </w:r>
                  <w:r>
                    <w:rPr>
                      <w:bCs/>
                      <w:sz w:val="21"/>
                      <w:szCs w:val="21"/>
                    </w:rPr>
                    <w:t>含民族语言信息化标准研究与推广应用</w:t>
                  </w:r>
                  <w:r>
                    <w:rPr>
                      <w:rFonts w:hint="eastAsia"/>
                      <w:bCs/>
                      <w:sz w:val="21"/>
                      <w:szCs w:val="21"/>
                    </w:rPr>
                    <w:t>）</w:t>
                  </w:r>
                  <w:r>
                    <w:rPr>
                      <w:bCs/>
                      <w:sz w:val="21"/>
                      <w:szCs w:val="21"/>
                    </w:rPr>
                    <w:t>。</w:t>
                  </w:r>
                </w:p>
                <w:p w14:paraId="071DEEA7">
                  <w:pPr>
                    <w:spacing w:line="240" w:lineRule="auto"/>
                    <w:ind w:firstLine="0" w:firstLineChars="0"/>
                    <w:rPr>
                      <w:bCs/>
                      <w:sz w:val="21"/>
                      <w:szCs w:val="21"/>
                    </w:rPr>
                  </w:pPr>
                  <w:r>
                    <w:rPr>
                      <w:bCs/>
                      <w:sz w:val="21"/>
                      <w:szCs w:val="21"/>
                    </w:rPr>
                    <w:t>22、计算机辅助设计</w:t>
                  </w:r>
                  <w:r>
                    <w:rPr>
                      <w:rFonts w:hint="eastAsia"/>
                      <w:bCs/>
                      <w:sz w:val="21"/>
                      <w:szCs w:val="21"/>
                    </w:rPr>
                    <w:t>（</w:t>
                  </w:r>
                  <w:r>
                    <w:rPr>
                      <w:bCs/>
                      <w:sz w:val="21"/>
                      <w:szCs w:val="21"/>
                    </w:rPr>
                    <w:t>CAD</w:t>
                  </w:r>
                  <w:r>
                    <w:rPr>
                      <w:rFonts w:hint="eastAsia"/>
                      <w:bCs/>
                      <w:sz w:val="21"/>
                      <w:szCs w:val="21"/>
                    </w:rPr>
                    <w:t>）</w:t>
                  </w:r>
                  <w:r>
                    <w:rPr>
                      <w:bCs/>
                      <w:sz w:val="21"/>
                      <w:szCs w:val="21"/>
                    </w:rPr>
                    <w:t>、辅助测试</w:t>
                  </w:r>
                  <w:r>
                    <w:rPr>
                      <w:rFonts w:hint="eastAsia"/>
                      <w:bCs/>
                      <w:sz w:val="21"/>
                      <w:szCs w:val="21"/>
                    </w:rPr>
                    <w:t>（</w:t>
                  </w:r>
                  <w:r>
                    <w:rPr>
                      <w:bCs/>
                      <w:sz w:val="21"/>
                      <w:szCs w:val="21"/>
                    </w:rPr>
                    <w:t>CAt</w:t>
                  </w:r>
                  <w:r>
                    <w:rPr>
                      <w:rFonts w:hint="eastAsia"/>
                      <w:bCs/>
                      <w:sz w:val="21"/>
                      <w:szCs w:val="21"/>
                    </w:rPr>
                    <w:t>）</w:t>
                  </w:r>
                  <w:r>
                    <w:rPr>
                      <w:bCs/>
                      <w:sz w:val="21"/>
                      <w:szCs w:val="21"/>
                    </w:rPr>
                    <w:t>、辅助制造</w:t>
                  </w:r>
                  <w:r>
                    <w:rPr>
                      <w:rFonts w:hint="eastAsia"/>
                      <w:bCs/>
                      <w:sz w:val="21"/>
                      <w:szCs w:val="21"/>
                    </w:rPr>
                    <w:t>（</w:t>
                  </w:r>
                  <w:r>
                    <w:rPr>
                      <w:bCs/>
                      <w:sz w:val="21"/>
                      <w:szCs w:val="21"/>
                    </w:rPr>
                    <w:t>CAM</w:t>
                  </w:r>
                  <w:r>
                    <w:rPr>
                      <w:rFonts w:hint="eastAsia"/>
                      <w:bCs/>
                      <w:sz w:val="21"/>
                      <w:szCs w:val="21"/>
                    </w:rPr>
                    <w:t>）</w:t>
                  </w:r>
                  <w:r>
                    <w:rPr>
                      <w:bCs/>
                      <w:sz w:val="21"/>
                      <w:szCs w:val="21"/>
                    </w:rPr>
                    <w:t>、辅助工程</w:t>
                  </w:r>
                  <w:r>
                    <w:rPr>
                      <w:rFonts w:hint="eastAsia"/>
                      <w:bCs/>
                      <w:sz w:val="21"/>
                      <w:szCs w:val="21"/>
                    </w:rPr>
                    <w:t>（</w:t>
                  </w:r>
                  <w:r>
                    <w:rPr>
                      <w:bCs/>
                      <w:sz w:val="21"/>
                      <w:szCs w:val="21"/>
                    </w:rPr>
                    <w:t>CAE</w:t>
                  </w:r>
                  <w:r>
                    <w:rPr>
                      <w:rFonts w:hint="eastAsia"/>
                      <w:bCs/>
                      <w:sz w:val="21"/>
                      <w:szCs w:val="21"/>
                    </w:rPr>
                    <w:t>）</w:t>
                  </w:r>
                  <w:r>
                    <w:rPr>
                      <w:bCs/>
                      <w:sz w:val="21"/>
                      <w:szCs w:val="21"/>
                    </w:rPr>
                    <w:t>系统开发生产</w:t>
                  </w:r>
                  <w:r>
                    <w:rPr>
                      <w:rFonts w:hint="eastAsia"/>
                      <w:bCs/>
                      <w:sz w:val="21"/>
                      <w:szCs w:val="21"/>
                    </w:rPr>
                    <w:t>。</w:t>
                  </w:r>
                </w:p>
                <w:p w14:paraId="22593AEF">
                  <w:pPr>
                    <w:spacing w:line="240" w:lineRule="auto"/>
                    <w:ind w:firstLine="0" w:firstLineChars="0"/>
                    <w:rPr>
                      <w:bCs/>
                      <w:sz w:val="21"/>
                      <w:szCs w:val="21"/>
                    </w:rPr>
                  </w:pPr>
                  <w:r>
                    <w:rPr>
                      <w:bCs/>
                      <w:sz w:val="21"/>
                      <w:szCs w:val="21"/>
                    </w:rPr>
                    <w:t>23、半导体照明设备</w:t>
                  </w:r>
                  <w:r>
                    <w:rPr>
                      <w:rFonts w:hint="eastAsia"/>
                      <w:bCs/>
                      <w:sz w:val="21"/>
                      <w:szCs w:val="21"/>
                    </w:rPr>
                    <w:t>，</w:t>
                  </w:r>
                  <w:r>
                    <w:rPr>
                      <w:bCs/>
                      <w:sz w:val="21"/>
                      <w:szCs w:val="21"/>
                    </w:rPr>
                    <w:t>光伏太阳能设备</w:t>
                  </w:r>
                  <w:r>
                    <w:rPr>
                      <w:rFonts w:hint="eastAsia"/>
                      <w:bCs/>
                      <w:sz w:val="21"/>
                      <w:szCs w:val="21"/>
                    </w:rPr>
                    <w:t>，</w:t>
                  </w:r>
                  <w:r>
                    <w:rPr>
                      <w:bCs/>
                      <w:sz w:val="21"/>
                      <w:szCs w:val="21"/>
                    </w:rPr>
                    <w:t>片式元器件设备，新型动力电池设备</w:t>
                  </w:r>
                  <w:r>
                    <w:rPr>
                      <w:rFonts w:hint="eastAsia"/>
                      <w:bCs/>
                      <w:sz w:val="21"/>
                      <w:szCs w:val="21"/>
                    </w:rPr>
                    <w:t>，</w:t>
                  </w:r>
                  <w:r>
                    <w:rPr>
                      <w:bCs/>
                      <w:sz w:val="21"/>
                      <w:szCs w:val="21"/>
                    </w:rPr>
                    <w:t>表面贴装设备</w:t>
                  </w:r>
                  <w:r>
                    <w:rPr>
                      <w:rFonts w:hint="eastAsia"/>
                      <w:bCs/>
                      <w:sz w:val="21"/>
                      <w:szCs w:val="21"/>
                    </w:rPr>
                    <w:t>（</w:t>
                  </w:r>
                  <w:r>
                    <w:rPr>
                      <w:bCs/>
                      <w:sz w:val="21"/>
                      <w:szCs w:val="21"/>
                    </w:rPr>
                    <w:t>含钢网印刷机、自动贴片机、无铅回流焊、光电自动检查仪</w:t>
                  </w:r>
                  <w:r>
                    <w:rPr>
                      <w:rFonts w:hint="eastAsia"/>
                      <w:bCs/>
                      <w:sz w:val="21"/>
                      <w:szCs w:val="21"/>
                    </w:rPr>
                    <w:t>）</w:t>
                  </w:r>
                  <w:r>
                    <w:rPr>
                      <w:bCs/>
                      <w:sz w:val="21"/>
                      <w:szCs w:val="21"/>
                    </w:rPr>
                    <w:t>等。</w:t>
                  </w:r>
                </w:p>
                <w:p w14:paraId="5436BA7D">
                  <w:pPr>
                    <w:spacing w:line="240" w:lineRule="auto"/>
                    <w:ind w:firstLine="0" w:firstLineChars="0"/>
                    <w:rPr>
                      <w:bCs/>
                      <w:sz w:val="21"/>
                      <w:szCs w:val="21"/>
                    </w:rPr>
                  </w:pPr>
                  <w:r>
                    <w:rPr>
                      <w:bCs/>
                      <w:sz w:val="21"/>
                      <w:szCs w:val="21"/>
                    </w:rPr>
                    <w:t>24、打印机</w:t>
                  </w:r>
                  <w:r>
                    <w:rPr>
                      <w:rFonts w:hint="eastAsia"/>
                      <w:bCs/>
                      <w:sz w:val="21"/>
                      <w:szCs w:val="21"/>
                    </w:rPr>
                    <w:t>（</w:t>
                  </w:r>
                  <w:r>
                    <w:rPr>
                      <w:bCs/>
                      <w:sz w:val="21"/>
                      <w:szCs w:val="21"/>
                    </w:rPr>
                    <w:t>含高速条码打印机</w:t>
                  </w:r>
                  <w:r>
                    <w:rPr>
                      <w:rFonts w:hint="eastAsia"/>
                      <w:bCs/>
                      <w:sz w:val="21"/>
                      <w:szCs w:val="21"/>
                    </w:rPr>
                    <w:t>）</w:t>
                  </w:r>
                  <w:r>
                    <w:rPr>
                      <w:bCs/>
                      <w:sz w:val="21"/>
                      <w:szCs w:val="21"/>
                    </w:rPr>
                    <w:t>和海量存储器等计算机外部设备。</w:t>
                  </w:r>
                </w:p>
                <w:p w14:paraId="529D3B2E">
                  <w:pPr>
                    <w:spacing w:line="240" w:lineRule="auto"/>
                    <w:ind w:firstLine="0" w:firstLineChars="0"/>
                    <w:rPr>
                      <w:bCs/>
                      <w:sz w:val="21"/>
                      <w:szCs w:val="21"/>
                    </w:rPr>
                  </w:pPr>
                  <w:r>
                    <w:rPr>
                      <w:bCs/>
                      <w:sz w:val="21"/>
                      <w:szCs w:val="21"/>
                    </w:rPr>
                    <w:t>25、</w:t>
                  </w:r>
                  <w:r>
                    <w:rPr>
                      <w:rFonts w:hint="eastAsia"/>
                      <w:bCs/>
                      <w:sz w:val="21"/>
                      <w:szCs w:val="21"/>
                    </w:rPr>
                    <w:t>薄</w:t>
                  </w:r>
                  <w:r>
                    <w:rPr>
                      <w:bCs/>
                      <w:sz w:val="21"/>
                      <w:szCs w:val="21"/>
                    </w:rPr>
                    <w:t>膜场效应晶体管 LCD</w:t>
                  </w:r>
                  <w:r>
                    <w:rPr>
                      <w:rFonts w:hint="eastAsia"/>
                      <w:bCs/>
                      <w:sz w:val="21"/>
                      <w:szCs w:val="21"/>
                    </w:rPr>
                    <w:t>（</w:t>
                  </w:r>
                  <w:r>
                    <w:rPr>
                      <w:bCs/>
                      <w:sz w:val="21"/>
                      <w:szCs w:val="21"/>
                    </w:rPr>
                    <w:t>tFt-LCD</w:t>
                  </w:r>
                  <w:r>
                    <w:rPr>
                      <w:rFonts w:hint="eastAsia"/>
                      <w:bCs/>
                      <w:sz w:val="21"/>
                      <w:szCs w:val="21"/>
                    </w:rPr>
                    <w:t>）</w:t>
                  </w:r>
                  <w:r>
                    <w:rPr>
                      <w:bCs/>
                      <w:sz w:val="21"/>
                      <w:szCs w:val="21"/>
                    </w:rPr>
                    <w:t>、等离子显示屏</w:t>
                  </w:r>
                  <w:r>
                    <w:rPr>
                      <w:rFonts w:hint="eastAsia"/>
                      <w:bCs/>
                      <w:sz w:val="21"/>
                      <w:szCs w:val="21"/>
                    </w:rPr>
                    <w:t>（</w:t>
                  </w:r>
                  <w:r>
                    <w:rPr>
                      <w:bCs/>
                      <w:sz w:val="21"/>
                      <w:szCs w:val="21"/>
                    </w:rPr>
                    <w:t>PDP</w:t>
                  </w:r>
                  <w:r>
                    <w:rPr>
                      <w:rFonts w:hint="eastAsia"/>
                      <w:bCs/>
                      <w:sz w:val="21"/>
                      <w:szCs w:val="21"/>
                    </w:rPr>
                    <w:t>）</w:t>
                  </w:r>
                  <w:r>
                    <w:rPr>
                      <w:bCs/>
                      <w:sz w:val="21"/>
                      <w:szCs w:val="21"/>
                    </w:rPr>
                    <w:t>、有机发光</w:t>
                  </w:r>
                  <w:r>
                    <w:rPr>
                      <w:rFonts w:hint="eastAsia"/>
                      <w:bCs/>
                      <w:sz w:val="21"/>
                      <w:szCs w:val="21"/>
                    </w:rPr>
                    <w:t>二极管（</w:t>
                  </w:r>
                  <w:r>
                    <w:rPr>
                      <w:bCs/>
                      <w:sz w:val="21"/>
                      <w:szCs w:val="21"/>
                    </w:rPr>
                    <w:t>OLED</w:t>
                  </w:r>
                  <w:r>
                    <w:rPr>
                      <w:rFonts w:hint="eastAsia"/>
                      <w:bCs/>
                      <w:sz w:val="21"/>
                      <w:szCs w:val="21"/>
                    </w:rPr>
                    <w:t>）</w:t>
                  </w:r>
                  <w:r>
                    <w:rPr>
                      <w:bCs/>
                      <w:sz w:val="21"/>
                      <w:szCs w:val="21"/>
                    </w:rPr>
                    <w:t>激光显示、3D显示等新型平板显示器件及关键部件。</w:t>
                  </w:r>
                </w:p>
                <w:p w14:paraId="74F43185">
                  <w:pPr>
                    <w:spacing w:line="240" w:lineRule="auto"/>
                    <w:ind w:firstLine="0" w:firstLineChars="0"/>
                    <w:rPr>
                      <w:bCs/>
                      <w:sz w:val="21"/>
                      <w:szCs w:val="21"/>
                    </w:rPr>
                  </w:pPr>
                  <w:r>
                    <w:rPr>
                      <w:bCs/>
                      <w:sz w:val="21"/>
                      <w:szCs w:val="21"/>
                    </w:rPr>
                    <w:t>26、音视频编解码设备、音视频广播发射设备、数字电视演播室设备、数字电视系统设备、数字电视广播单频网设备、数字电视接收设备、数字摄录机、数字录放机、数字电视产品。</w:t>
                  </w:r>
                </w:p>
                <w:p w14:paraId="571CA50A">
                  <w:pPr>
                    <w:spacing w:line="240" w:lineRule="auto"/>
                    <w:ind w:firstLine="0" w:firstLineChars="0"/>
                    <w:rPr>
                      <w:bCs/>
                      <w:sz w:val="21"/>
                      <w:szCs w:val="21"/>
                    </w:rPr>
                  </w:pPr>
                  <w:r>
                    <w:rPr>
                      <w:bCs/>
                      <w:sz w:val="21"/>
                      <w:szCs w:val="21"/>
                    </w:rPr>
                    <w:t>27、数字多功能电话机制造</w:t>
                  </w:r>
                  <w:r>
                    <w:rPr>
                      <w:rFonts w:hint="eastAsia"/>
                      <w:bCs/>
                      <w:sz w:val="21"/>
                      <w:szCs w:val="21"/>
                    </w:rPr>
                    <w:t>。</w:t>
                  </w:r>
                </w:p>
                <w:p w14:paraId="00F455DD">
                  <w:pPr>
                    <w:spacing w:line="240" w:lineRule="auto"/>
                    <w:ind w:firstLine="0" w:firstLineChars="0"/>
                    <w:rPr>
                      <w:bCs/>
                      <w:sz w:val="21"/>
                      <w:szCs w:val="21"/>
                    </w:rPr>
                  </w:pPr>
                  <w:r>
                    <w:rPr>
                      <w:bCs/>
                      <w:sz w:val="21"/>
                      <w:szCs w:val="21"/>
                    </w:rPr>
                    <w:t>28、多普勒雷达技术及设备制造</w:t>
                  </w:r>
                  <w:r>
                    <w:rPr>
                      <w:rFonts w:hint="eastAsia"/>
                      <w:bCs/>
                      <w:sz w:val="21"/>
                      <w:szCs w:val="21"/>
                    </w:rPr>
                    <w:t>。</w:t>
                  </w:r>
                </w:p>
                <w:p w14:paraId="388EC1F9">
                  <w:pPr>
                    <w:spacing w:line="240" w:lineRule="auto"/>
                    <w:ind w:firstLine="0" w:firstLineChars="0"/>
                    <w:rPr>
                      <w:bCs/>
                      <w:sz w:val="21"/>
                      <w:szCs w:val="21"/>
                    </w:rPr>
                  </w:pPr>
                  <w:r>
                    <w:rPr>
                      <w:bCs/>
                      <w:sz w:val="21"/>
                      <w:szCs w:val="21"/>
                    </w:rPr>
                    <w:t>29、医疗电子、金融电子、航空航天仪器仪表电子传感器电子等产品制造。</w:t>
                  </w:r>
                </w:p>
                <w:p w14:paraId="57B43A42">
                  <w:pPr>
                    <w:spacing w:line="240" w:lineRule="auto"/>
                    <w:ind w:firstLine="0" w:firstLineChars="0"/>
                    <w:rPr>
                      <w:bCs/>
                      <w:sz w:val="21"/>
                      <w:szCs w:val="21"/>
                    </w:rPr>
                  </w:pPr>
                  <w:r>
                    <w:rPr>
                      <w:bCs/>
                      <w:sz w:val="21"/>
                      <w:szCs w:val="21"/>
                    </w:rPr>
                    <w:t>30、无线局域网技术开发、设备制造</w:t>
                  </w:r>
                  <w:r>
                    <w:rPr>
                      <w:rFonts w:hint="eastAsia"/>
                      <w:bCs/>
                      <w:sz w:val="21"/>
                      <w:szCs w:val="21"/>
                    </w:rPr>
                    <w:t>。</w:t>
                  </w:r>
                </w:p>
                <w:p w14:paraId="382BE240">
                  <w:pPr>
                    <w:spacing w:line="240" w:lineRule="auto"/>
                    <w:ind w:firstLine="0" w:firstLineChars="0"/>
                    <w:rPr>
                      <w:bCs/>
                      <w:sz w:val="21"/>
                      <w:szCs w:val="21"/>
                    </w:rPr>
                  </w:pPr>
                  <w:r>
                    <w:rPr>
                      <w:bCs/>
                      <w:sz w:val="21"/>
                      <w:szCs w:val="21"/>
                    </w:rPr>
                    <w:t>31、电子商务和电子政务系统开发与应用服务。</w:t>
                  </w:r>
                </w:p>
                <w:p w14:paraId="069376CA">
                  <w:pPr>
                    <w:spacing w:line="240" w:lineRule="auto"/>
                    <w:ind w:firstLine="0" w:firstLineChars="0"/>
                    <w:rPr>
                      <w:bCs/>
                      <w:sz w:val="21"/>
                      <w:szCs w:val="21"/>
                    </w:rPr>
                  </w:pPr>
                  <w:r>
                    <w:rPr>
                      <w:bCs/>
                      <w:sz w:val="21"/>
                      <w:szCs w:val="21"/>
                    </w:rPr>
                    <w:t>32、卫星导航系统技术开发与设备制造</w:t>
                  </w:r>
                  <w:r>
                    <w:rPr>
                      <w:rFonts w:hint="eastAsia"/>
                      <w:bCs/>
                      <w:sz w:val="21"/>
                      <w:szCs w:val="21"/>
                    </w:rPr>
                    <w:t>。</w:t>
                  </w:r>
                </w:p>
                <w:p w14:paraId="6240C613">
                  <w:pPr>
                    <w:spacing w:line="240" w:lineRule="auto"/>
                    <w:ind w:firstLine="0" w:firstLineChars="0"/>
                    <w:rPr>
                      <w:bCs/>
                      <w:sz w:val="21"/>
                      <w:szCs w:val="21"/>
                    </w:rPr>
                  </w:pPr>
                  <w:r>
                    <w:rPr>
                      <w:bCs/>
                      <w:sz w:val="21"/>
                      <w:szCs w:val="21"/>
                    </w:rPr>
                    <w:t>33、应急广播电视系统建设。</w:t>
                  </w:r>
                </w:p>
                <w:p w14:paraId="69FBA48F">
                  <w:pPr>
                    <w:spacing w:line="240" w:lineRule="auto"/>
                    <w:ind w:firstLine="0" w:firstLineChars="0"/>
                    <w:rPr>
                      <w:bCs/>
                      <w:sz w:val="21"/>
                      <w:szCs w:val="21"/>
                    </w:rPr>
                  </w:pPr>
                  <w:r>
                    <w:rPr>
                      <w:bCs/>
                      <w:sz w:val="21"/>
                      <w:szCs w:val="21"/>
                    </w:rPr>
                    <w:t>34、量子通信设备。</w:t>
                  </w:r>
                </w:p>
                <w:p w14:paraId="75E50419">
                  <w:pPr>
                    <w:spacing w:line="240" w:lineRule="auto"/>
                    <w:ind w:firstLine="0" w:firstLineChars="0"/>
                    <w:rPr>
                      <w:bCs/>
                      <w:sz w:val="21"/>
                      <w:szCs w:val="21"/>
                    </w:rPr>
                  </w:pPr>
                  <w:r>
                    <w:rPr>
                      <w:bCs/>
                      <w:sz w:val="21"/>
                      <w:szCs w:val="21"/>
                    </w:rPr>
                    <w:t>35、tFt-LCD、PDP、OLED、激光显示、3D显示等新型平板显示器件生产专用设备。</w:t>
                  </w:r>
                </w:p>
                <w:p w14:paraId="6DDB207A">
                  <w:pPr>
                    <w:spacing w:line="240" w:lineRule="auto"/>
                    <w:ind w:firstLine="0" w:firstLineChars="0"/>
                    <w:rPr>
                      <w:bCs/>
                      <w:sz w:val="21"/>
                      <w:szCs w:val="21"/>
                    </w:rPr>
                  </w:pPr>
                  <w:r>
                    <w:rPr>
                      <w:bCs/>
                      <w:sz w:val="21"/>
                      <w:szCs w:val="21"/>
                    </w:rPr>
                    <w:t>36、半导体照明衬底、外延、芯片、封装及材料等</w:t>
                  </w:r>
                  <w:r>
                    <w:rPr>
                      <w:rFonts w:hint="eastAsia"/>
                      <w:bCs/>
                      <w:sz w:val="21"/>
                      <w:szCs w:val="21"/>
                    </w:rPr>
                    <w:t>。</w:t>
                  </w:r>
                </w:p>
                <w:p w14:paraId="0A79C9A8">
                  <w:pPr>
                    <w:spacing w:line="240" w:lineRule="auto"/>
                    <w:ind w:firstLine="0" w:firstLineChars="0"/>
                    <w:rPr>
                      <w:bCs/>
                      <w:sz w:val="21"/>
                      <w:szCs w:val="21"/>
                    </w:rPr>
                  </w:pPr>
                  <w:r>
                    <w:rPr>
                      <w:bCs/>
                      <w:sz w:val="21"/>
                      <w:szCs w:val="21"/>
                    </w:rPr>
                    <w:t>37、数字音乐、手机媒体、动漫游戏等数字内容产品的开发系统。</w:t>
                  </w:r>
                </w:p>
                <w:p w14:paraId="7D39E3B5">
                  <w:pPr>
                    <w:spacing w:line="240" w:lineRule="auto"/>
                    <w:ind w:firstLine="0" w:firstLineChars="0"/>
                    <w:rPr>
                      <w:bCs/>
                      <w:sz w:val="21"/>
                      <w:szCs w:val="21"/>
                    </w:rPr>
                  </w:pPr>
                  <w:r>
                    <w:rPr>
                      <w:bCs/>
                      <w:sz w:val="21"/>
                      <w:szCs w:val="21"/>
                    </w:rPr>
                    <w:t>38、防伪技术开发与运用</w:t>
                  </w:r>
                  <w:r>
                    <w:rPr>
                      <w:rFonts w:hint="eastAsia"/>
                      <w:bCs/>
                      <w:sz w:val="21"/>
                      <w:szCs w:val="21"/>
                    </w:rPr>
                    <w:t>。</w:t>
                  </w:r>
                </w:p>
                <w:p w14:paraId="30E18101">
                  <w:pPr>
                    <w:spacing w:line="240" w:lineRule="auto"/>
                    <w:ind w:firstLine="0" w:firstLineChars="0"/>
                    <w:rPr>
                      <w:bCs/>
                      <w:sz w:val="21"/>
                      <w:szCs w:val="21"/>
                    </w:rPr>
                  </w:pPr>
                  <w:r>
                    <w:rPr>
                      <w:bCs/>
                      <w:sz w:val="21"/>
                      <w:szCs w:val="21"/>
                    </w:rPr>
                    <w:t>39、其他新发布或另行规定鼓励开发生产的项目、工艺、装置和产品</w:t>
                  </w:r>
                  <w:r>
                    <w:rPr>
                      <w:rFonts w:hint="eastAsia"/>
                      <w:bCs/>
                      <w:sz w:val="21"/>
                      <w:szCs w:val="21"/>
                    </w:rPr>
                    <w:t>。</w:t>
                  </w:r>
                </w:p>
              </w:tc>
            </w:tr>
            <w:tr w14:paraId="5D63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Merge w:val="continue"/>
                  <w:vAlign w:val="center"/>
                </w:tcPr>
                <w:p w14:paraId="76A08203">
                  <w:pPr>
                    <w:spacing w:line="240" w:lineRule="auto"/>
                    <w:ind w:firstLine="0" w:firstLineChars="0"/>
                    <w:jc w:val="center"/>
                    <w:rPr>
                      <w:bCs/>
                      <w:sz w:val="21"/>
                      <w:szCs w:val="21"/>
                    </w:rPr>
                  </w:pPr>
                </w:p>
              </w:tc>
              <w:tc>
                <w:tcPr>
                  <w:tcW w:w="302" w:type="pct"/>
                  <w:vAlign w:val="center"/>
                </w:tcPr>
                <w:p w14:paraId="06A89EC3">
                  <w:pPr>
                    <w:spacing w:line="240" w:lineRule="auto"/>
                    <w:ind w:firstLine="0" w:firstLineChars="0"/>
                    <w:jc w:val="center"/>
                    <w:rPr>
                      <w:bCs/>
                      <w:sz w:val="21"/>
                      <w:szCs w:val="21"/>
                    </w:rPr>
                  </w:pPr>
                  <w:r>
                    <w:rPr>
                      <w:bCs/>
                      <w:sz w:val="21"/>
                      <w:szCs w:val="21"/>
                    </w:rPr>
                    <w:t>食品产业</w:t>
                  </w:r>
                </w:p>
              </w:tc>
              <w:tc>
                <w:tcPr>
                  <w:tcW w:w="4158" w:type="pct"/>
                  <w:vAlign w:val="center"/>
                </w:tcPr>
                <w:p w14:paraId="0DDF4116">
                  <w:pPr>
                    <w:spacing w:line="240" w:lineRule="auto"/>
                    <w:ind w:firstLine="0" w:firstLineChars="0"/>
                    <w:rPr>
                      <w:bCs/>
                      <w:sz w:val="21"/>
                      <w:szCs w:val="21"/>
                    </w:rPr>
                  </w:pPr>
                  <w:r>
                    <w:rPr>
                      <w:bCs/>
                      <w:sz w:val="21"/>
                      <w:szCs w:val="21"/>
                    </w:rPr>
                    <w:t>1、食品饮料罐加工及配套设备制造。</w:t>
                  </w:r>
                </w:p>
                <w:p w14:paraId="48D09CD8">
                  <w:pPr>
                    <w:spacing w:line="240" w:lineRule="auto"/>
                    <w:ind w:firstLine="0" w:firstLineChars="0"/>
                    <w:rPr>
                      <w:bCs/>
                      <w:sz w:val="21"/>
                      <w:szCs w:val="21"/>
                    </w:rPr>
                  </w:pPr>
                  <w:r>
                    <w:rPr>
                      <w:bCs/>
                      <w:sz w:val="21"/>
                      <w:szCs w:val="21"/>
                    </w:rPr>
                    <w:t>2、天然食品添加剂、天然香料新技术开发与生产</w:t>
                  </w:r>
                  <w:r>
                    <w:rPr>
                      <w:rFonts w:hint="eastAsia"/>
                      <w:bCs/>
                      <w:sz w:val="21"/>
                      <w:szCs w:val="21"/>
                    </w:rPr>
                    <w:t>。</w:t>
                  </w:r>
                </w:p>
                <w:p w14:paraId="061DD89F">
                  <w:pPr>
                    <w:spacing w:line="240" w:lineRule="auto"/>
                    <w:ind w:firstLine="0" w:firstLineChars="0"/>
                    <w:rPr>
                      <w:bCs/>
                      <w:sz w:val="21"/>
                      <w:szCs w:val="21"/>
                    </w:rPr>
                  </w:pPr>
                  <w:r>
                    <w:rPr>
                      <w:bCs/>
                      <w:sz w:val="21"/>
                      <w:szCs w:val="21"/>
                    </w:rPr>
                    <w:t>3、先进的食品生产设备研发与制造。</w:t>
                  </w:r>
                </w:p>
                <w:p w14:paraId="420C108C">
                  <w:pPr>
                    <w:spacing w:line="240" w:lineRule="auto"/>
                    <w:ind w:firstLine="0" w:firstLineChars="0"/>
                    <w:rPr>
                      <w:bCs/>
                      <w:sz w:val="21"/>
                      <w:szCs w:val="21"/>
                    </w:rPr>
                  </w:pPr>
                  <w:r>
                    <w:rPr>
                      <w:bCs/>
                      <w:sz w:val="21"/>
                      <w:szCs w:val="21"/>
                    </w:rPr>
                    <w:t>4、热带果汁、浆果果汁</w:t>
                  </w:r>
                  <w:r>
                    <w:rPr>
                      <w:rFonts w:hint="eastAsia"/>
                      <w:bCs/>
                      <w:sz w:val="21"/>
                      <w:szCs w:val="21"/>
                    </w:rPr>
                    <w:t>，</w:t>
                  </w:r>
                  <w:r>
                    <w:rPr>
                      <w:bCs/>
                      <w:sz w:val="21"/>
                      <w:szCs w:val="21"/>
                    </w:rPr>
                    <w:t>谷物饮料、本草饮料、茶浓缩液、茶粉、植物蛋白饮料等高附加价值植物饮料的开发生产与加工原料基地建设</w:t>
                  </w:r>
                  <w:r>
                    <w:rPr>
                      <w:rFonts w:hint="eastAsia"/>
                      <w:bCs/>
                      <w:sz w:val="21"/>
                      <w:szCs w:val="21"/>
                    </w:rPr>
                    <w:t>，</w:t>
                  </w:r>
                  <w:r>
                    <w:rPr>
                      <w:bCs/>
                      <w:sz w:val="21"/>
                      <w:szCs w:val="21"/>
                    </w:rPr>
                    <w:t>果渣、茶渣等的综合开发与利用。</w:t>
                  </w:r>
                </w:p>
                <w:p w14:paraId="63E39AF5">
                  <w:pPr>
                    <w:spacing w:line="240" w:lineRule="auto"/>
                    <w:ind w:firstLine="0" w:firstLineChars="0"/>
                    <w:rPr>
                      <w:bCs/>
                      <w:sz w:val="21"/>
                      <w:szCs w:val="21"/>
                    </w:rPr>
                  </w:pPr>
                  <w:r>
                    <w:rPr>
                      <w:bCs/>
                      <w:sz w:val="21"/>
                      <w:szCs w:val="21"/>
                    </w:rPr>
                    <w:t>5、营养健康型大米、小麦粉</w:t>
                  </w:r>
                  <w:r>
                    <w:rPr>
                      <w:rFonts w:hint="eastAsia"/>
                      <w:bCs/>
                      <w:sz w:val="21"/>
                      <w:szCs w:val="21"/>
                    </w:rPr>
                    <w:t>（</w:t>
                  </w:r>
                  <w:r>
                    <w:rPr>
                      <w:bCs/>
                      <w:sz w:val="21"/>
                      <w:szCs w:val="21"/>
                    </w:rPr>
                    <w:t>食品专用米、发芽糙米、留胚米、食品专用粉、全麦粉及营养强化产品等</w:t>
                  </w:r>
                  <w:r>
                    <w:rPr>
                      <w:rFonts w:hint="eastAsia"/>
                      <w:bCs/>
                      <w:sz w:val="21"/>
                      <w:szCs w:val="21"/>
                    </w:rPr>
                    <w:t>）</w:t>
                  </w:r>
                  <w:r>
                    <w:rPr>
                      <w:bCs/>
                      <w:sz w:val="21"/>
                      <w:szCs w:val="21"/>
                    </w:rPr>
                    <w:t>及制品的开发生产</w:t>
                  </w:r>
                  <w:r>
                    <w:rPr>
                      <w:rFonts w:hint="eastAsia"/>
                      <w:bCs/>
                      <w:sz w:val="21"/>
                      <w:szCs w:val="21"/>
                    </w:rPr>
                    <w:t>；</w:t>
                  </w:r>
                  <w:r>
                    <w:rPr>
                      <w:bCs/>
                      <w:sz w:val="21"/>
                      <w:szCs w:val="21"/>
                    </w:rPr>
                    <w:t>传统主食工业化生产</w:t>
                  </w:r>
                  <w:r>
                    <w:rPr>
                      <w:rFonts w:hint="eastAsia"/>
                      <w:bCs/>
                      <w:sz w:val="21"/>
                      <w:szCs w:val="21"/>
                    </w:rPr>
                    <w:t>；杂</w:t>
                  </w:r>
                  <w:r>
                    <w:rPr>
                      <w:bCs/>
                      <w:sz w:val="21"/>
                      <w:szCs w:val="21"/>
                    </w:rPr>
                    <w:t>粮加工专用设备开发与生产。</w:t>
                  </w:r>
                </w:p>
                <w:p w14:paraId="2DBC8983">
                  <w:pPr>
                    <w:spacing w:line="240" w:lineRule="auto"/>
                    <w:ind w:firstLine="0" w:firstLineChars="0"/>
                    <w:rPr>
                      <w:bCs/>
                      <w:sz w:val="21"/>
                      <w:szCs w:val="21"/>
                    </w:rPr>
                  </w:pPr>
                  <w:r>
                    <w:rPr>
                      <w:bCs/>
                      <w:sz w:val="21"/>
                      <w:szCs w:val="21"/>
                    </w:rPr>
                    <w:t>6、粮油加工副产物</w:t>
                  </w:r>
                  <w:r>
                    <w:rPr>
                      <w:rFonts w:hint="eastAsia"/>
                      <w:bCs/>
                      <w:sz w:val="21"/>
                      <w:szCs w:val="21"/>
                    </w:rPr>
                    <w:t>（</w:t>
                  </w:r>
                  <w:r>
                    <w:rPr>
                      <w:bCs/>
                      <w:sz w:val="21"/>
                      <w:szCs w:val="21"/>
                    </w:rPr>
                    <w:t>稻壳、米糠、</w:t>
                  </w:r>
                  <w:r>
                    <w:rPr>
                      <w:rFonts w:hint="eastAsia"/>
                      <w:bCs/>
                      <w:sz w:val="21"/>
                      <w:szCs w:val="21"/>
                    </w:rPr>
                    <w:t>麸</w:t>
                  </w:r>
                  <w:r>
                    <w:rPr>
                      <w:bCs/>
                      <w:sz w:val="21"/>
                      <w:szCs w:val="21"/>
                    </w:rPr>
                    <w:t>皮、胚芽、饼粕等</w:t>
                  </w:r>
                  <w:r>
                    <w:rPr>
                      <w:rFonts w:hint="eastAsia"/>
                      <w:bCs/>
                      <w:sz w:val="21"/>
                      <w:szCs w:val="21"/>
                    </w:rPr>
                    <w:t>）</w:t>
                  </w:r>
                  <w:r>
                    <w:rPr>
                      <w:bCs/>
                      <w:sz w:val="21"/>
                      <w:szCs w:val="21"/>
                    </w:rPr>
                    <w:t>综合利用关键技术开发应用。</w:t>
                  </w:r>
                </w:p>
                <w:p w14:paraId="34F43EA2">
                  <w:pPr>
                    <w:spacing w:line="240" w:lineRule="auto"/>
                    <w:ind w:firstLine="0" w:firstLineChars="0"/>
                    <w:rPr>
                      <w:bCs/>
                      <w:sz w:val="21"/>
                      <w:szCs w:val="21"/>
                    </w:rPr>
                  </w:pPr>
                  <w:r>
                    <w:rPr>
                      <w:bCs/>
                      <w:sz w:val="21"/>
                      <w:szCs w:val="21"/>
                    </w:rPr>
                    <w:t>7、菜籽油生产线</w:t>
                  </w:r>
                  <w:r>
                    <w:rPr>
                      <w:rFonts w:hint="eastAsia"/>
                      <w:bCs/>
                      <w:sz w:val="21"/>
                      <w:szCs w:val="21"/>
                    </w:rPr>
                    <w:t>：</w:t>
                  </w:r>
                  <w:r>
                    <w:rPr>
                      <w:bCs/>
                      <w:sz w:val="21"/>
                      <w:szCs w:val="21"/>
                    </w:rPr>
                    <w:t>采用膨化、负压蒸发、热能自平衡利用、低消耗蒸汽真空系统等技术</w:t>
                  </w:r>
                  <w:r>
                    <w:rPr>
                      <w:rFonts w:hint="eastAsia"/>
                      <w:bCs/>
                      <w:sz w:val="21"/>
                      <w:szCs w:val="21"/>
                    </w:rPr>
                    <w:t>，</w:t>
                  </w:r>
                  <w:r>
                    <w:rPr>
                      <w:bCs/>
                      <w:sz w:val="21"/>
                      <w:szCs w:val="21"/>
                    </w:rPr>
                    <w:t>油菜籽主产区日处理油菜籽400吨及以上、吨料溶剂消耗1.5公斤以下</w:t>
                  </w:r>
                  <w:r>
                    <w:rPr>
                      <w:rFonts w:hint="eastAsia"/>
                      <w:bCs/>
                      <w:sz w:val="21"/>
                      <w:szCs w:val="21"/>
                    </w:rPr>
                    <w:t>（</w:t>
                  </w:r>
                  <w:r>
                    <w:rPr>
                      <w:bCs/>
                      <w:sz w:val="21"/>
                      <w:szCs w:val="21"/>
                    </w:rPr>
                    <w:t>其中西部地区日处理</w:t>
                  </w:r>
                  <w:r>
                    <w:rPr>
                      <w:rFonts w:hint="eastAsia"/>
                      <w:bCs/>
                      <w:sz w:val="21"/>
                      <w:szCs w:val="21"/>
                    </w:rPr>
                    <w:t>油菜籽</w:t>
                  </w:r>
                  <w:r>
                    <w:rPr>
                      <w:bCs/>
                      <w:sz w:val="21"/>
                      <w:szCs w:val="21"/>
                    </w:rPr>
                    <w:t>200吨及以上吨料溶剂消耗2公斤</w:t>
                  </w:r>
                  <w:r>
                    <w:rPr>
                      <w:rFonts w:hint="eastAsia"/>
                      <w:bCs/>
                      <w:sz w:val="21"/>
                      <w:szCs w:val="21"/>
                    </w:rPr>
                    <w:t>）</w:t>
                  </w:r>
                  <w:r>
                    <w:rPr>
                      <w:bCs/>
                      <w:sz w:val="21"/>
                      <w:szCs w:val="21"/>
                    </w:rPr>
                    <w:t>以下</w:t>
                  </w:r>
                  <w:r>
                    <w:rPr>
                      <w:rFonts w:hint="eastAsia"/>
                      <w:bCs/>
                      <w:sz w:val="21"/>
                      <w:szCs w:val="21"/>
                    </w:rPr>
                    <w:t>；</w:t>
                  </w:r>
                  <w:r>
                    <w:rPr>
                      <w:bCs/>
                      <w:sz w:val="21"/>
                      <w:szCs w:val="21"/>
                    </w:rPr>
                    <w:t>花生油生产线</w:t>
                  </w:r>
                  <w:r>
                    <w:rPr>
                      <w:rFonts w:hint="eastAsia"/>
                      <w:bCs/>
                      <w:sz w:val="21"/>
                      <w:szCs w:val="21"/>
                    </w:rPr>
                    <w:t>：</w:t>
                  </w:r>
                  <w:r>
                    <w:rPr>
                      <w:bCs/>
                      <w:sz w:val="21"/>
                      <w:szCs w:val="21"/>
                    </w:rPr>
                    <w:t>花生主产区日处理花生200吨及以上，吨料溶剂消耗2公斤以下</w:t>
                  </w:r>
                  <w:r>
                    <w:rPr>
                      <w:rFonts w:hint="eastAsia"/>
                      <w:bCs/>
                      <w:sz w:val="21"/>
                      <w:szCs w:val="21"/>
                    </w:rPr>
                    <w:t>；</w:t>
                  </w:r>
                  <w:r>
                    <w:rPr>
                      <w:bCs/>
                      <w:sz w:val="21"/>
                      <w:szCs w:val="21"/>
                    </w:rPr>
                    <w:t>棉籽油生产线</w:t>
                  </w:r>
                  <w:r>
                    <w:rPr>
                      <w:rFonts w:hint="eastAsia"/>
                      <w:bCs/>
                      <w:sz w:val="21"/>
                      <w:szCs w:val="21"/>
                    </w:rPr>
                    <w:t>：</w:t>
                  </w:r>
                  <w:r>
                    <w:rPr>
                      <w:bCs/>
                      <w:sz w:val="21"/>
                      <w:szCs w:val="21"/>
                    </w:rPr>
                    <w:t>棉籽产区日处理棉籽300吨及以上，吨料溶剂消耗2公斤以下</w:t>
                  </w:r>
                  <w:r>
                    <w:rPr>
                      <w:rFonts w:hint="eastAsia"/>
                      <w:bCs/>
                      <w:sz w:val="21"/>
                      <w:szCs w:val="21"/>
                    </w:rPr>
                    <w:t>；</w:t>
                  </w:r>
                  <w:r>
                    <w:rPr>
                      <w:bCs/>
                      <w:sz w:val="21"/>
                      <w:szCs w:val="21"/>
                    </w:rPr>
                    <w:t>米糠油生产线</w:t>
                  </w:r>
                  <w:r>
                    <w:rPr>
                      <w:rFonts w:hint="eastAsia"/>
                      <w:bCs/>
                      <w:sz w:val="21"/>
                      <w:szCs w:val="21"/>
                    </w:rPr>
                    <w:t>：</w:t>
                  </w:r>
                  <w:r>
                    <w:rPr>
                      <w:bCs/>
                      <w:sz w:val="21"/>
                      <w:szCs w:val="21"/>
                    </w:rPr>
                    <w:t>采用分</w:t>
                  </w:r>
                  <w:r>
                    <w:rPr>
                      <w:rFonts w:hint="eastAsia"/>
                      <w:bCs/>
                      <w:sz w:val="21"/>
                      <w:szCs w:val="21"/>
                    </w:rPr>
                    <w:t>散</w:t>
                  </w:r>
                  <w:r>
                    <w:rPr>
                      <w:bCs/>
                      <w:sz w:val="21"/>
                      <w:szCs w:val="21"/>
                    </w:rPr>
                    <w:t>快速膨化</w:t>
                  </w:r>
                  <w:r>
                    <w:rPr>
                      <w:rFonts w:hint="eastAsia"/>
                      <w:bCs/>
                      <w:sz w:val="21"/>
                      <w:szCs w:val="21"/>
                    </w:rPr>
                    <w:t>，</w:t>
                  </w:r>
                  <w:r>
                    <w:rPr>
                      <w:bCs/>
                      <w:sz w:val="21"/>
                      <w:szCs w:val="21"/>
                    </w:rPr>
                    <w:t>集中制油、精炼技术</w:t>
                  </w:r>
                  <w:r>
                    <w:rPr>
                      <w:rFonts w:hint="eastAsia"/>
                      <w:bCs/>
                      <w:sz w:val="21"/>
                      <w:szCs w:val="21"/>
                    </w:rPr>
                    <w:t>；</w:t>
                  </w:r>
                  <w:r>
                    <w:rPr>
                      <w:bCs/>
                      <w:sz w:val="21"/>
                      <w:szCs w:val="21"/>
                    </w:rPr>
                    <w:t>玉米胚芽油生产线</w:t>
                  </w:r>
                  <w:r>
                    <w:rPr>
                      <w:rFonts w:hint="eastAsia"/>
                      <w:bCs/>
                      <w:sz w:val="21"/>
                      <w:szCs w:val="21"/>
                    </w:rPr>
                    <w:t>：</w:t>
                  </w:r>
                  <w:r>
                    <w:rPr>
                      <w:bCs/>
                      <w:sz w:val="21"/>
                      <w:szCs w:val="21"/>
                    </w:rPr>
                    <w:t>油茶籽、核桃等木本油料和胡麻、芝麻、葵花籽等小品种油料加工生产线。</w:t>
                  </w:r>
                </w:p>
                <w:p w14:paraId="191390BD">
                  <w:pPr>
                    <w:spacing w:line="240" w:lineRule="auto"/>
                    <w:ind w:firstLine="0" w:firstLineChars="0"/>
                    <w:rPr>
                      <w:bCs/>
                      <w:sz w:val="21"/>
                      <w:szCs w:val="21"/>
                    </w:rPr>
                  </w:pPr>
                  <w:r>
                    <w:rPr>
                      <w:bCs/>
                      <w:sz w:val="21"/>
                      <w:szCs w:val="21"/>
                    </w:rPr>
                    <w:t>8、绿色无公害饲料及添加剂开发。</w:t>
                  </w:r>
                </w:p>
                <w:p w14:paraId="1EA46BDE">
                  <w:pPr>
                    <w:spacing w:line="240" w:lineRule="auto"/>
                    <w:ind w:firstLine="0" w:firstLineChars="0"/>
                    <w:rPr>
                      <w:bCs/>
                      <w:sz w:val="21"/>
                      <w:szCs w:val="21"/>
                    </w:rPr>
                  </w:pPr>
                  <w:r>
                    <w:rPr>
                      <w:bCs/>
                      <w:sz w:val="21"/>
                      <w:szCs w:val="21"/>
                    </w:rPr>
                    <w:t>9、农业生物技术开发与应用。</w:t>
                  </w:r>
                </w:p>
                <w:p w14:paraId="24CAE8E2">
                  <w:pPr>
                    <w:spacing w:line="240" w:lineRule="auto"/>
                    <w:ind w:firstLine="0" w:firstLineChars="0"/>
                    <w:rPr>
                      <w:bCs/>
                      <w:sz w:val="21"/>
                      <w:szCs w:val="21"/>
                    </w:rPr>
                  </w:pPr>
                  <w:r>
                    <w:rPr>
                      <w:bCs/>
                      <w:sz w:val="21"/>
                      <w:szCs w:val="21"/>
                    </w:rPr>
                    <w:t>10、农作物秸</w:t>
                  </w:r>
                  <w:r>
                    <w:rPr>
                      <w:rFonts w:hint="eastAsia"/>
                      <w:bCs/>
                      <w:sz w:val="21"/>
                      <w:szCs w:val="21"/>
                    </w:rPr>
                    <w:t>秆</w:t>
                  </w:r>
                  <w:r>
                    <w:rPr>
                      <w:bCs/>
                      <w:sz w:val="21"/>
                      <w:szCs w:val="21"/>
                    </w:rPr>
                    <w:t>还田与综合利用</w:t>
                  </w:r>
                  <w:r>
                    <w:rPr>
                      <w:rFonts w:hint="eastAsia"/>
                      <w:bCs/>
                      <w:sz w:val="21"/>
                      <w:szCs w:val="21"/>
                    </w:rPr>
                    <w:t>（</w:t>
                  </w:r>
                  <w:r>
                    <w:rPr>
                      <w:bCs/>
                      <w:sz w:val="21"/>
                      <w:szCs w:val="21"/>
                    </w:rPr>
                    <w:t>非粮饲料资源开发利用等</w:t>
                  </w:r>
                  <w:r>
                    <w:rPr>
                      <w:rFonts w:hint="eastAsia"/>
                      <w:bCs/>
                      <w:sz w:val="21"/>
                      <w:szCs w:val="21"/>
                    </w:rPr>
                    <w:t>）</w:t>
                  </w:r>
                  <w:r>
                    <w:rPr>
                      <w:bCs/>
                      <w:sz w:val="21"/>
                      <w:szCs w:val="21"/>
                    </w:rPr>
                    <w:t>。</w:t>
                  </w:r>
                </w:p>
                <w:p w14:paraId="1754F9A6">
                  <w:pPr>
                    <w:spacing w:line="240" w:lineRule="auto"/>
                    <w:ind w:firstLine="0" w:firstLineChars="0"/>
                    <w:rPr>
                      <w:bCs/>
                      <w:sz w:val="21"/>
                      <w:szCs w:val="21"/>
                    </w:rPr>
                  </w:pPr>
                  <w:r>
                    <w:rPr>
                      <w:bCs/>
                      <w:sz w:val="21"/>
                      <w:szCs w:val="21"/>
                    </w:rPr>
                    <w:t>11、生物可降解塑料及其系列产品开发、生产与应用。</w:t>
                  </w:r>
                </w:p>
                <w:p w14:paraId="31FA1D16">
                  <w:pPr>
                    <w:spacing w:line="240" w:lineRule="auto"/>
                    <w:ind w:firstLine="0" w:firstLineChars="0"/>
                    <w:rPr>
                      <w:bCs/>
                      <w:sz w:val="21"/>
                      <w:szCs w:val="21"/>
                    </w:rPr>
                  </w:pPr>
                  <w:r>
                    <w:rPr>
                      <w:bCs/>
                      <w:sz w:val="21"/>
                      <w:szCs w:val="21"/>
                    </w:rPr>
                    <w:t>发酵法工艺生产小品种氨基酸</w:t>
                  </w:r>
                  <w:r>
                    <w:rPr>
                      <w:rFonts w:hint="eastAsia"/>
                      <w:bCs/>
                      <w:sz w:val="21"/>
                      <w:szCs w:val="21"/>
                    </w:rPr>
                    <w:t>（赖</w:t>
                  </w:r>
                  <w:r>
                    <w:rPr>
                      <w:bCs/>
                      <w:sz w:val="21"/>
                      <w:szCs w:val="21"/>
                    </w:rPr>
                    <w:t>氨酸、谷氨酸除</w:t>
                  </w:r>
                  <w:r>
                    <w:rPr>
                      <w:rFonts w:hint="eastAsia"/>
                      <w:bCs/>
                      <w:sz w:val="21"/>
                      <w:szCs w:val="21"/>
                    </w:rPr>
                    <w:t>外），</w:t>
                  </w:r>
                  <w:r>
                    <w:rPr>
                      <w:bCs/>
                      <w:sz w:val="21"/>
                      <w:szCs w:val="21"/>
                    </w:rPr>
                    <w:t>新型酶制剂</w:t>
                  </w:r>
                  <w:r>
                    <w:rPr>
                      <w:rFonts w:hint="eastAsia"/>
                      <w:bCs/>
                      <w:sz w:val="21"/>
                      <w:szCs w:val="21"/>
                    </w:rPr>
                    <w:t>（</w:t>
                  </w:r>
                  <w:r>
                    <w:rPr>
                      <w:bCs/>
                      <w:sz w:val="21"/>
                      <w:szCs w:val="21"/>
                    </w:rPr>
                    <w:t>糖化酶、淀粉酶除外</w:t>
                  </w:r>
                  <w:r>
                    <w:rPr>
                      <w:rFonts w:hint="eastAsia"/>
                      <w:bCs/>
                      <w:sz w:val="21"/>
                      <w:szCs w:val="21"/>
                    </w:rPr>
                    <w:t>）</w:t>
                  </w:r>
                  <w:r>
                    <w:rPr>
                      <w:bCs/>
                      <w:sz w:val="21"/>
                      <w:szCs w:val="21"/>
                    </w:rPr>
                    <w:t>、多元醇、功能性发酵制品</w:t>
                  </w:r>
                  <w:r>
                    <w:rPr>
                      <w:rFonts w:hint="eastAsia"/>
                      <w:bCs/>
                      <w:sz w:val="21"/>
                      <w:szCs w:val="21"/>
                    </w:rPr>
                    <w:t>（</w:t>
                  </w:r>
                  <w:r>
                    <w:rPr>
                      <w:bCs/>
                      <w:sz w:val="21"/>
                      <w:szCs w:val="21"/>
                    </w:rPr>
                    <w:t>功能性糖类、真菌多糖、功能性红曲、发酵法抗氧化和复合功能配料、活性</w:t>
                  </w:r>
                  <w:r>
                    <w:rPr>
                      <w:rFonts w:hint="eastAsia"/>
                      <w:bCs/>
                      <w:sz w:val="21"/>
                      <w:szCs w:val="21"/>
                    </w:rPr>
                    <w:t>肽</w:t>
                  </w:r>
                  <w:r>
                    <w:rPr>
                      <w:bCs/>
                      <w:sz w:val="21"/>
                      <w:szCs w:val="21"/>
                    </w:rPr>
                    <w:t>、微生态制剂</w:t>
                  </w:r>
                  <w:r>
                    <w:rPr>
                      <w:rFonts w:hint="eastAsia"/>
                      <w:bCs/>
                      <w:sz w:val="21"/>
                      <w:szCs w:val="21"/>
                    </w:rPr>
                    <w:t>）</w:t>
                  </w:r>
                  <w:r>
                    <w:rPr>
                      <w:bCs/>
                      <w:sz w:val="21"/>
                      <w:szCs w:val="21"/>
                    </w:rPr>
                    <w:t>等生产</w:t>
                  </w:r>
                  <w:r>
                    <w:rPr>
                      <w:rFonts w:hint="eastAsia"/>
                      <w:bCs/>
                      <w:sz w:val="21"/>
                      <w:szCs w:val="21"/>
                    </w:rPr>
                    <w:t>。</w:t>
                  </w:r>
                </w:p>
                <w:p w14:paraId="633AAF47">
                  <w:pPr>
                    <w:spacing w:line="240" w:lineRule="auto"/>
                    <w:ind w:firstLine="0" w:firstLineChars="0"/>
                    <w:rPr>
                      <w:bCs/>
                      <w:sz w:val="21"/>
                      <w:szCs w:val="21"/>
                    </w:rPr>
                  </w:pPr>
                  <w:r>
                    <w:rPr>
                      <w:bCs/>
                      <w:sz w:val="21"/>
                      <w:szCs w:val="21"/>
                    </w:rPr>
                    <w:t>12、其他新发布或另行规定鼓励开发生产的项目、工艺、装</w:t>
                  </w:r>
                  <w:r>
                    <w:rPr>
                      <w:rFonts w:hint="eastAsia"/>
                      <w:bCs/>
                      <w:sz w:val="21"/>
                      <w:szCs w:val="21"/>
                    </w:rPr>
                    <w:t>置</w:t>
                  </w:r>
                  <w:r>
                    <w:rPr>
                      <w:bCs/>
                      <w:sz w:val="21"/>
                      <w:szCs w:val="21"/>
                    </w:rPr>
                    <w:t>和产品。</w:t>
                  </w:r>
                </w:p>
              </w:tc>
            </w:tr>
            <w:tr w14:paraId="7DC0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Merge w:val="restart"/>
                  <w:vAlign w:val="center"/>
                </w:tcPr>
                <w:p w14:paraId="418C8E75">
                  <w:pPr>
                    <w:spacing w:line="240" w:lineRule="auto"/>
                    <w:ind w:firstLine="0" w:firstLineChars="0"/>
                    <w:jc w:val="center"/>
                    <w:rPr>
                      <w:bCs/>
                      <w:sz w:val="21"/>
                      <w:szCs w:val="21"/>
                    </w:rPr>
                  </w:pPr>
                  <w:r>
                    <w:rPr>
                      <w:bCs/>
                      <w:sz w:val="21"/>
                      <w:szCs w:val="21"/>
                    </w:rPr>
                    <w:t>禁止类</w:t>
                  </w:r>
                </w:p>
              </w:tc>
              <w:tc>
                <w:tcPr>
                  <w:tcW w:w="302" w:type="pct"/>
                  <w:vAlign w:val="center"/>
                </w:tcPr>
                <w:p w14:paraId="4841EEFA">
                  <w:pPr>
                    <w:spacing w:line="240" w:lineRule="auto"/>
                    <w:ind w:firstLine="0" w:firstLineChars="0"/>
                    <w:jc w:val="center"/>
                    <w:rPr>
                      <w:bCs/>
                      <w:sz w:val="21"/>
                      <w:szCs w:val="21"/>
                    </w:rPr>
                  </w:pPr>
                  <w:r>
                    <w:rPr>
                      <w:bCs/>
                      <w:sz w:val="21"/>
                      <w:szCs w:val="21"/>
                    </w:rPr>
                    <w:t>信息产业</w:t>
                  </w:r>
                </w:p>
              </w:tc>
              <w:tc>
                <w:tcPr>
                  <w:tcW w:w="4158" w:type="pct"/>
                  <w:vAlign w:val="center"/>
                </w:tcPr>
                <w:p w14:paraId="2479C9CF">
                  <w:pPr>
                    <w:spacing w:line="240" w:lineRule="auto"/>
                    <w:ind w:firstLine="0" w:firstLineChars="0"/>
                    <w:rPr>
                      <w:bCs/>
                      <w:sz w:val="21"/>
                      <w:szCs w:val="21"/>
                    </w:rPr>
                  </w:pPr>
                  <w:r>
                    <w:rPr>
                      <w:bCs/>
                      <w:sz w:val="21"/>
                      <w:szCs w:val="21"/>
                    </w:rPr>
                    <w:t>1、各级广播电台</w:t>
                  </w:r>
                  <w:r>
                    <w:rPr>
                      <w:rFonts w:hint="eastAsia"/>
                      <w:bCs/>
                      <w:sz w:val="21"/>
                      <w:szCs w:val="21"/>
                    </w:rPr>
                    <w:t>（</w:t>
                  </w:r>
                  <w:r>
                    <w:rPr>
                      <w:bCs/>
                      <w:sz w:val="21"/>
                      <w:szCs w:val="21"/>
                    </w:rPr>
                    <w:t>站</w:t>
                  </w:r>
                  <w:r>
                    <w:rPr>
                      <w:rFonts w:hint="eastAsia"/>
                      <w:bCs/>
                      <w:sz w:val="21"/>
                      <w:szCs w:val="21"/>
                    </w:rPr>
                    <w:t>）</w:t>
                  </w:r>
                  <w:r>
                    <w:rPr>
                      <w:bCs/>
                      <w:sz w:val="21"/>
                      <w:szCs w:val="21"/>
                    </w:rPr>
                    <w:t>、电视台</w:t>
                  </w:r>
                  <w:r>
                    <w:rPr>
                      <w:rFonts w:hint="eastAsia"/>
                      <w:bCs/>
                      <w:sz w:val="21"/>
                      <w:szCs w:val="21"/>
                    </w:rPr>
                    <w:t>（</w:t>
                  </w:r>
                  <w:r>
                    <w:rPr>
                      <w:bCs/>
                      <w:sz w:val="21"/>
                      <w:szCs w:val="21"/>
                    </w:rPr>
                    <w:t>站</w:t>
                  </w:r>
                  <w:r>
                    <w:rPr>
                      <w:rFonts w:hint="eastAsia"/>
                      <w:bCs/>
                      <w:sz w:val="21"/>
                      <w:szCs w:val="21"/>
                    </w:rPr>
                    <w:t>）</w:t>
                  </w:r>
                  <w:r>
                    <w:rPr>
                      <w:bCs/>
                      <w:sz w:val="21"/>
                      <w:szCs w:val="21"/>
                    </w:rPr>
                    <w:t>、广播电视频道</w:t>
                  </w:r>
                  <w:r>
                    <w:rPr>
                      <w:rFonts w:hint="eastAsia"/>
                      <w:bCs/>
                      <w:sz w:val="21"/>
                      <w:szCs w:val="21"/>
                    </w:rPr>
                    <w:t>（</w:t>
                  </w:r>
                  <w:r>
                    <w:rPr>
                      <w:bCs/>
                      <w:sz w:val="21"/>
                      <w:szCs w:val="21"/>
                    </w:rPr>
                    <w:t>率</w:t>
                  </w:r>
                  <w:r>
                    <w:rPr>
                      <w:rFonts w:hint="eastAsia"/>
                      <w:bCs/>
                      <w:sz w:val="21"/>
                      <w:szCs w:val="21"/>
                    </w:rPr>
                    <w:t>）</w:t>
                  </w:r>
                  <w:r>
                    <w:rPr>
                      <w:bCs/>
                      <w:sz w:val="21"/>
                      <w:szCs w:val="21"/>
                    </w:rPr>
                    <w:t>、广播电视传输覆盖网</w:t>
                  </w:r>
                  <w:r>
                    <w:rPr>
                      <w:rFonts w:hint="eastAsia"/>
                      <w:bCs/>
                      <w:sz w:val="21"/>
                      <w:szCs w:val="21"/>
                    </w:rPr>
                    <w:t>（</w:t>
                  </w:r>
                  <w:r>
                    <w:rPr>
                      <w:bCs/>
                      <w:sz w:val="21"/>
                      <w:szCs w:val="21"/>
                    </w:rPr>
                    <w:t>发射台、转播台、广播电视卫星、卫星上行站、卫星收转站、微波站、监测台、有线广播电视传输覆盖网</w:t>
                  </w:r>
                  <w:r>
                    <w:rPr>
                      <w:rFonts w:hint="eastAsia"/>
                      <w:bCs/>
                      <w:sz w:val="21"/>
                      <w:szCs w:val="21"/>
                    </w:rPr>
                    <w:t>）</w:t>
                  </w:r>
                  <w:r>
                    <w:rPr>
                      <w:bCs/>
                      <w:sz w:val="21"/>
                      <w:szCs w:val="21"/>
                    </w:rPr>
                    <w:t>，广播电视视频点播业务和卫星电视广播地面接收设施安装服务。</w:t>
                  </w:r>
                </w:p>
                <w:p w14:paraId="6F3FCDA2">
                  <w:pPr>
                    <w:spacing w:line="240" w:lineRule="auto"/>
                    <w:ind w:firstLine="0" w:firstLineChars="0"/>
                    <w:rPr>
                      <w:bCs/>
                      <w:sz w:val="21"/>
                      <w:szCs w:val="21"/>
                    </w:rPr>
                  </w:pPr>
                  <w:r>
                    <w:rPr>
                      <w:bCs/>
                      <w:sz w:val="21"/>
                      <w:szCs w:val="21"/>
                    </w:rPr>
                    <w:t>2、其他新发布或另行规定禁止开发生产的项目、工艺、装置和产品。</w:t>
                  </w:r>
                </w:p>
              </w:tc>
            </w:tr>
            <w:tr w14:paraId="609C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Merge w:val="continue"/>
                  <w:vAlign w:val="center"/>
                </w:tcPr>
                <w:p w14:paraId="63924D7D">
                  <w:pPr>
                    <w:spacing w:line="240" w:lineRule="auto"/>
                    <w:ind w:firstLine="0" w:firstLineChars="0"/>
                    <w:jc w:val="center"/>
                    <w:rPr>
                      <w:bCs/>
                      <w:sz w:val="21"/>
                      <w:szCs w:val="21"/>
                    </w:rPr>
                  </w:pPr>
                </w:p>
              </w:tc>
              <w:tc>
                <w:tcPr>
                  <w:tcW w:w="302" w:type="pct"/>
                  <w:vAlign w:val="center"/>
                </w:tcPr>
                <w:p w14:paraId="7EB3B31C">
                  <w:pPr>
                    <w:spacing w:line="240" w:lineRule="auto"/>
                    <w:ind w:firstLine="0" w:firstLineChars="0"/>
                    <w:jc w:val="center"/>
                    <w:rPr>
                      <w:bCs/>
                      <w:sz w:val="21"/>
                      <w:szCs w:val="21"/>
                    </w:rPr>
                  </w:pPr>
                  <w:r>
                    <w:rPr>
                      <w:bCs/>
                      <w:sz w:val="21"/>
                      <w:szCs w:val="21"/>
                    </w:rPr>
                    <w:t>食品产业</w:t>
                  </w:r>
                </w:p>
              </w:tc>
              <w:tc>
                <w:tcPr>
                  <w:tcW w:w="4158" w:type="pct"/>
                  <w:vAlign w:val="center"/>
                </w:tcPr>
                <w:p w14:paraId="4EEB3F4B">
                  <w:pPr>
                    <w:spacing w:line="240" w:lineRule="auto"/>
                    <w:ind w:firstLine="0" w:firstLineChars="0"/>
                    <w:rPr>
                      <w:bCs/>
                      <w:sz w:val="21"/>
                      <w:szCs w:val="21"/>
                    </w:rPr>
                  </w:pPr>
                  <w:r>
                    <w:rPr>
                      <w:bCs/>
                      <w:sz w:val="21"/>
                      <w:szCs w:val="21"/>
                    </w:rPr>
                    <w:t>1、单套10万吨/年以下的真空制盐装置、20万吨/年以下的湖盐和30万吨/年以下的北方海盐生产设施。</w:t>
                  </w:r>
                </w:p>
                <w:p w14:paraId="31E7FF7B">
                  <w:pPr>
                    <w:spacing w:line="240" w:lineRule="auto"/>
                    <w:ind w:firstLine="0" w:firstLineChars="0"/>
                    <w:rPr>
                      <w:bCs/>
                      <w:sz w:val="21"/>
                      <w:szCs w:val="21"/>
                    </w:rPr>
                  </w:pPr>
                  <w:r>
                    <w:rPr>
                      <w:bCs/>
                      <w:sz w:val="21"/>
                      <w:szCs w:val="21"/>
                    </w:rPr>
                    <w:t>2、利用矿盐卤水、油气田水且采用平锅、滩晒制盐的生产工艺与装置。</w:t>
                  </w:r>
                </w:p>
                <w:p w14:paraId="2C40E65B">
                  <w:pPr>
                    <w:spacing w:line="240" w:lineRule="auto"/>
                    <w:ind w:firstLine="0" w:firstLineChars="0"/>
                    <w:rPr>
                      <w:bCs/>
                      <w:sz w:val="21"/>
                      <w:szCs w:val="21"/>
                    </w:rPr>
                  </w:pPr>
                  <w:r>
                    <w:rPr>
                      <w:bCs/>
                      <w:sz w:val="21"/>
                      <w:szCs w:val="21"/>
                    </w:rPr>
                    <w:t>3、2万吨/年及以下的南方海盐生产装置</w:t>
                  </w:r>
                  <w:r>
                    <w:rPr>
                      <w:rFonts w:hint="eastAsia"/>
                      <w:bCs/>
                      <w:sz w:val="21"/>
                      <w:szCs w:val="21"/>
                    </w:rPr>
                    <w:t>。</w:t>
                  </w:r>
                </w:p>
                <w:p w14:paraId="50D1EE46">
                  <w:pPr>
                    <w:spacing w:line="240" w:lineRule="auto"/>
                    <w:ind w:firstLine="0" w:firstLineChars="0"/>
                    <w:rPr>
                      <w:bCs/>
                      <w:sz w:val="21"/>
                      <w:szCs w:val="21"/>
                    </w:rPr>
                  </w:pPr>
                  <w:r>
                    <w:rPr>
                      <w:bCs/>
                      <w:sz w:val="21"/>
                      <w:szCs w:val="21"/>
                    </w:rPr>
                    <w:t>4、生产能力12000瓶/时以下的玻璃瓶啤酒灌装生产</w:t>
                  </w:r>
                  <w:r>
                    <w:rPr>
                      <w:rFonts w:hint="eastAsia"/>
                      <w:bCs/>
                      <w:sz w:val="21"/>
                      <w:szCs w:val="21"/>
                    </w:rPr>
                    <w:t>线。</w:t>
                  </w:r>
                </w:p>
                <w:p w14:paraId="20AEDCA2">
                  <w:pPr>
                    <w:spacing w:line="240" w:lineRule="auto"/>
                    <w:ind w:firstLine="0" w:firstLineChars="0"/>
                    <w:rPr>
                      <w:bCs/>
                      <w:sz w:val="21"/>
                      <w:szCs w:val="21"/>
                    </w:rPr>
                  </w:pPr>
                  <w:r>
                    <w:rPr>
                      <w:bCs/>
                      <w:sz w:val="21"/>
                      <w:szCs w:val="21"/>
                    </w:rPr>
                    <w:t>5、生产能力150瓶/分钟以下</w:t>
                  </w:r>
                  <w:r>
                    <w:rPr>
                      <w:rFonts w:hint="eastAsia"/>
                      <w:bCs/>
                      <w:sz w:val="21"/>
                      <w:szCs w:val="21"/>
                    </w:rPr>
                    <w:t>（</w:t>
                  </w:r>
                  <w:r>
                    <w:rPr>
                      <w:bCs/>
                      <w:sz w:val="21"/>
                      <w:szCs w:val="21"/>
                    </w:rPr>
                    <w:t>瓶容在250毫升及以下</w:t>
                  </w:r>
                  <w:r>
                    <w:rPr>
                      <w:rFonts w:hint="eastAsia"/>
                      <w:bCs/>
                      <w:sz w:val="21"/>
                      <w:szCs w:val="21"/>
                    </w:rPr>
                    <w:t>）</w:t>
                  </w:r>
                  <w:r>
                    <w:rPr>
                      <w:bCs/>
                      <w:sz w:val="21"/>
                      <w:szCs w:val="21"/>
                    </w:rPr>
                    <w:t>的碳酸饮料生产线</w:t>
                  </w:r>
                  <w:r>
                    <w:rPr>
                      <w:rFonts w:hint="eastAsia"/>
                      <w:bCs/>
                      <w:sz w:val="21"/>
                      <w:szCs w:val="21"/>
                    </w:rPr>
                    <w:t>。</w:t>
                  </w:r>
                </w:p>
                <w:p w14:paraId="6F52E739">
                  <w:pPr>
                    <w:spacing w:line="240" w:lineRule="auto"/>
                    <w:ind w:firstLine="0" w:firstLineChars="0"/>
                    <w:rPr>
                      <w:bCs/>
                      <w:sz w:val="21"/>
                      <w:szCs w:val="21"/>
                    </w:rPr>
                  </w:pPr>
                  <w:r>
                    <w:rPr>
                      <w:bCs/>
                      <w:sz w:val="21"/>
                      <w:szCs w:val="21"/>
                    </w:rPr>
                    <w:t>6、日处理原料乳能力</w:t>
                  </w:r>
                  <w:r>
                    <w:rPr>
                      <w:rFonts w:hint="eastAsia"/>
                      <w:bCs/>
                      <w:sz w:val="21"/>
                      <w:szCs w:val="21"/>
                    </w:rPr>
                    <w:t>（</w:t>
                  </w:r>
                  <w:r>
                    <w:rPr>
                      <w:bCs/>
                      <w:sz w:val="21"/>
                      <w:szCs w:val="21"/>
                    </w:rPr>
                    <w:t>两班</w:t>
                  </w:r>
                  <w:r>
                    <w:rPr>
                      <w:rFonts w:hint="eastAsia"/>
                      <w:bCs/>
                      <w:sz w:val="21"/>
                      <w:szCs w:val="21"/>
                    </w:rPr>
                    <w:t>）</w:t>
                  </w:r>
                  <w:r>
                    <w:rPr>
                      <w:bCs/>
                      <w:sz w:val="21"/>
                      <w:szCs w:val="21"/>
                    </w:rPr>
                    <w:t>20吨以下浓缩、喷雾干燥等设施</w:t>
                  </w:r>
                  <w:r>
                    <w:rPr>
                      <w:rFonts w:hint="eastAsia"/>
                      <w:bCs/>
                      <w:sz w:val="21"/>
                      <w:szCs w:val="21"/>
                    </w:rPr>
                    <w:t>；</w:t>
                  </w:r>
                  <w:r>
                    <w:rPr>
                      <w:bCs/>
                      <w:sz w:val="21"/>
                      <w:szCs w:val="21"/>
                    </w:rPr>
                    <w:t>200千克/小时以下的手动及半自动液体乳灌装设备。</w:t>
                  </w:r>
                </w:p>
                <w:p w14:paraId="5A7D74A2">
                  <w:pPr>
                    <w:spacing w:line="240" w:lineRule="auto"/>
                    <w:ind w:firstLine="0" w:firstLineChars="0"/>
                    <w:rPr>
                      <w:bCs/>
                      <w:sz w:val="21"/>
                      <w:szCs w:val="21"/>
                    </w:rPr>
                  </w:pPr>
                  <w:r>
                    <w:rPr>
                      <w:bCs/>
                      <w:sz w:val="21"/>
                      <w:szCs w:val="21"/>
                    </w:rPr>
                    <w:t>7、3万吨/年以下酒精生产线</w:t>
                  </w:r>
                  <w:r>
                    <w:rPr>
                      <w:rFonts w:hint="eastAsia"/>
                      <w:bCs/>
                      <w:sz w:val="21"/>
                      <w:szCs w:val="21"/>
                    </w:rPr>
                    <w:t>（</w:t>
                  </w:r>
                  <w:r>
                    <w:rPr>
                      <w:bCs/>
                      <w:sz w:val="21"/>
                      <w:szCs w:val="21"/>
                    </w:rPr>
                    <w:t>废糖蜜制酒精除外</w:t>
                  </w:r>
                  <w:r>
                    <w:rPr>
                      <w:rFonts w:hint="eastAsia"/>
                      <w:bCs/>
                      <w:sz w:val="21"/>
                      <w:szCs w:val="21"/>
                    </w:rPr>
                    <w:t>）。</w:t>
                  </w:r>
                </w:p>
                <w:p w14:paraId="19F05FAB">
                  <w:pPr>
                    <w:spacing w:line="240" w:lineRule="auto"/>
                    <w:ind w:firstLine="0" w:firstLineChars="0"/>
                    <w:rPr>
                      <w:bCs/>
                      <w:sz w:val="21"/>
                      <w:szCs w:val="21"/>
                    </w:rPr>
                  </w:pPr>
                  <w:r>
                    <w:rPr>
                      <w:bCs/>
                      <w:sz w:val="21"/>
                      <w:szCs w:val="21"/>
                    </w:rPr>
                    <w:t>8、3万吨/年以下味精生产装置</w:t>
                  </w:r>
                  <w:r>
                    <w:rPr>
                      <w:rFonts w:hint="eastAsia"/>
                      <w:bCs/>
                      <w:sz w:val="21"/>
                      <w:szCs w:val="21"/>
                    </w:rPr>
                    <w:t>。</w:t>
                  </w:r>
                </w:p>
                <w:p w14:paraId="3592DD6B">
                  <w:pPr>
                    <w:spacing w:line="240" w:lineRule="auto"/>
                    <w:ind w:firstLine="0" w:firstLineChars="0"/>
                    <w:rPr>
                      <w:bCs/>
                      <w:sz w:val="21"/>
                      <w:szCs w:val="21"/>
                    </w:rPr>
                  </w:pPr>
                  <w:r>
                    <w:rPr>
                      <w:bCs/>
                      <w:sz w:val="21"/>
                      <w:szCs w:val="21"/>
                    </w:rPr>
                    <w:t>9、2万吨/年及以下柠檬酸生产装置</w:t>
                  </w:r>
                  <w:r>
                    <w:rPr>
                      <w:rFonts w:hint="eastAsia"/>
                      <w:bCs/>
                      <w:sz w:val="21"/>
                      <w:szCs w:val="21"/>
                    </w:rPr>
                    <w:t>。</w:t>
                  </w:r>
                </w:p>
                <w:p w14:paraId="5E45117C">
                  <w:pPr>
                    <w:spacing w:line="240" w:lineRule="auto"/>
                    <w:ind w:firstLine="0" w:firstLineChars="0"/>
                    <w:rPr>
                      <w:bCs/>
                      <w:sz w:val="21"/>
                      <w:szCs w:val="21"/>
                    </w:rPr>
                  </w:pPr>
                  <w:r>
                    <w:rPr>
                      <w:bCs/>
                      <w:sz w:val="21"/>
                      <w:szCs w:val="21"/>
                    </w:rPr>
                    <w:t>10、年处理10万吨以下、总干物收率97%以下的湿法玉米淀粉生产线</w:t>
                  </w:r>
                  <w:r>
                    <w:rPr>
                      <w:rFonts w:hint="eastAsia"/>
                      <w:bCs/>
                      <w:sz w:val="21"/>
                      <w:szCs w:val="21"/>
                    </w:rPr>
                    <w:t>。</w:t>
                  </w:r>
                </w:p>
                <w:p w14:paraId="1ABCA40E">
                  <w:pPr>
                    <w:spacing w:line="240" w:lineRule="auto"/>
                    <w:ind w:firstLine="0" w:firstLineChars="0"/>
                    <w:rPr>
                      <w:bCs/>
                      <w:sz w:val="21"/>
                      <w:szCs w:val="21"/>
                    </w:rPr>
                  </w:pPr>
                  <w:r>
                    <w:rPr>
                      <w:bCs/>
                      <w:sz w:val="21"/>
                      <w:szCs w:val="21"/>
                    </w:rPr>
                    <w:t>11、桥式劈半</w:t>
                  </w:r>
                  <w:r>
                    <w:rPr>
                      <w:rFonts w:hint="eastAsia"/>
                      <w:bCs/>
                      <w:sz w:val="21"/>
                      <w:szCs w:val="21"/>
                    </w:rPr>
                    <w:t>锯</w:t>
                  </w:r>
                  <w:r>
                    <w:rPr>
                      <w:bCs/>
                      <w:sz w:val="21"/>
                      <w:szCs w:val="21"/>
                    </w:rPr>
                    <w:t>、敞式生猪烫毛机等生猪</w:t>
                  </w:r>
                  <w:r>
                    <w:rPr>
                      <w:rFonts w:hint="eastAsia"/>
                      <w:bCs/>
                      <w:sz w:val="21"/>
                      <w:szCs w:val="21"/>
                    </w:rPr>
                    <w:t>屠宰</w:t>
                  </w:r>
                  <w:r>
                    <w:rPr>
                      <w:bCs/>
                      <w:sz w:val="21"/>
                      <w:szCs w:val="21"/>
                    </w:rPr>
                    <w:t>设备</w:t>
                  </w:r>
                  <w:r>
                    <w:rPr>
                      <w:rFonts w:hint="eastAsia"/>
                      <w:bCs/>
                      <w:sz w:val="21"/>
                      <w:szCs w:val="21"/>
                    </w:rPr>
                    <w:t>。</w:t>
                  </w:r>
                </w:p>
                <w:p w14:paraId="51EE770A">
                  <w:pPr>
                    <w:spacing w:line="240" w:lineRule="auto"/>
                    <w:ind w:firstLine="0" w:firstLineChars="0"/>
                    <w:rPr>
                      <w:bCs/>
                      <w:sz w:val="21"/>
                      <w:szCs w:val="21"/>
                    </w:rPr>
                  </w:pPr>
                  <w:r>
                    <w:rPr>
                      <w:bCs/>
                      <w:sz w:val="21"/>
                      <w:szCs w:val="21"/>
                    </w:rPr>
                    <w:t>12、猪、牛、羊、</w:t>
                  </w:r>
                  <w:r>
                    <w:rPr>
                      <w:rFonts w:hint="eastAsia"/>
                      <w:bCs/>
                      <w:sz w:val="21"/>
                      <w:szCs w:val="21"/>
                    </w:rPr>
                    <w:t>禽</w:t>
                  </w:r>
                  <w:r>
                    <w:rPr>
                      <w:bCs/>
                      <w:sz w:val="21"/>
                      <w:szCs w:val="21"/>
                    </w:rPr>
                    <w:t>手工屠宰工艺</w:t>
                  </w:r>
                  <w:r>
                    <w:rPr>
                      <w:rFonts w:hint="eastAsia"/>
                      <w:bCs/>
                      <w:sz w:val="21"/>
                      <w:szCs w:val="21"/>
                    </w:rPr>
                    <w:t>。</w:t>
                  </w:r>
                </w:p>
                <w:p w14:paraId="44599F30">
                  <w:pPr>
                    <w:spacing w:line="240" w:lineRule="auto"/>
                    <w:ind w:firstLine="0" w:firstLineChars="0"/>
                    <w:rPr>
                      <w:bCs/>
                      <w:sz w:val="21"/>
                      <w:szCs w:val="21"/>
                    </w:rPr>
                  </w:pPr>
                  <w:r>
                    <w:rPr>
                      <w:bCs/>
                      <w:sz w:val="21"/>
                      <w:szCs w:val="21"/>
                    </w:rPr>
                    <w:t>13、小麦粉</w:t>
                  </w:r>
                  <w:r>
                    <w:rPr>
                      <w:rFonts w:hint="eastAsia"/>
                      <w:bCs/>
                      <w:sz w:val="21"/>
                      <w:szCs w:val="21"/>
                    </w:rPr>
                    <w:t>增</w:t>
                  </w:r>
                  <w:r>
                    <w:rPr>
                      <w:bCs/>
                      <w:sz w:val="21"/>
                      <w:szCs w:val="21"/>
                    </w:rPr>
                    <w:t>白剂</w:t>
                  </w:r>
                  <w:r>
                    <w:rPr>
                      <w:rFonts w:hint="eastAsia"/>
                      <w:bCs/>
                      <w:sz w:val="21"/>
                      <w:szCs w:val="21"/>
                    </w:rPr>
                    <w:t>（</w:t>
                  </w:r>
                  <w:r>
                    <w:rPr>
                      <w:bCs/>
                      <w:sz w:val="21"/>
                      <w:szCs w:val="21"/>
                    </w:rPr>
                    <w:t>过氧化苯甲酰、过氧化钙</w:t>
                  </w:r>
                  <w:r>
                    <w:rPr>
                      <w:rFonts w:hint="eastAsia"/>
                      <w:bCs/>
                      <w:sz w:val="21"/>
                      <w:szCs w:val="21"/>
                    </w:rPr>
                    <w:t>）</w:t>
                  </w:r>
                  <w:r>
                    <w:rPr>
                      <w:bCs/>
                      <w:sz w:val="21"/>
                      <w:szCs w:val="21"/>
                    </w:rPr>
                    <w:t>的添加工艺</w:t>
                  </w:r>
                  <w:r>
                    <w:rPr>
                      <w:rFonts w:hint="eastAsia"/>
                      <w:bCs/>
                      <w:sz w:val="21"/>
                      <w:szCs w:val="21"/>
                    </w:rPr>
                    <w:t>。</w:t>
                  </w:r>
                </w:p>
                <w:p w14:paraId="3D3CC523">
                  <w:pPr>
                    <w:spacing w:line="240" w:lineRule="auto"/>
                    <w:ind w:firstLine="0" w:firstLineChars="0"/>
                    <w:rPr>
                      <w:bCs/>
                      <w:sz w:val="21"/>
                      <w:szCs w:val="21"/>
                    </w:rPr>
                  </w:pPr>
                  <w:r>
                    <w:rPr>
                      <w:bCs/>
                      <w:sz w:val="21"/>
                      <w:szCs w:val="21"/>
                    </w:rPr>
                    <w:t>14、软木塞烫腊包装药品工艺</w:t>
                  </w:r>
                  <w:r>
                    <w:rPr>
                      <w:rFonts w:hint="eastAsia"/>
                      <w:bCs/>
                      <w:sz w:val="21"/>
                      <w:szCs w:val="21"/>
                    </w:rPr>
                    <w:t>。</w:t>
                  </w:r>
                </w:p>
                <w:p w14:paraId="5F639B3E">
                  <w:pPr>
                    <w:spacing w:line="240" w:lineRule="auto"/>
                    <w:ind w:firstLine="0" w:firstLineChars="0"/>
                    <w:rPr>
                      <w:bCs/>
                      <w:sz w:val="21"/>
                      <w:szCs w:val="21"/>
                    </w:rPr>
                  </w:pPr>
                  <w:r>
                    <w:rPr>
                      <w:bCs/>
                      <w:sz w:val="21"/>
                      <w:szCs w:val="21"/>
                    </w:rPr>
                    <w:t>15、不符合GMP要求的安瓿拉丝灌封机。</w:t>
                  </w:r>
                </w:p>
                <w:p w14:paraId="0B4776F6">
                  <w:pPr>
                    <w:spacing w:line="240" w:lineRule="auto"/>
                    <w:ind w:firstLine="0" w:firstLineChars="0"/>
                    <w:rPr>
                      <w:bCs/>
                      <w:sz w:val="21"/>
                      <w:szCs w:val="21"/>
                    </w:rPr>
                  </w:pPr>
                  <w:r>
                    <w:rPr>
                      <w:bCs/>
                      <w:sz w:val="21"/>
                      <w:szCs w:val="21"/>
                    </w:rPr>
                    <w:t>16、塔式重蒸馏水器。</w:t>
                  </w:r>
                </w:p>
                <w:p w14:paraId="4FAB8240">
                  <w:pPr>
                    <w:spacing w:line="240" w:lineRule="auto"/>
                    <w:ind w:firstLine="0" w:firstLineChars="0"/>
                    <w:rPr>
                      <w:bCs/>
                      <w:sz w:val="21"/>
                      <w:szCs w:val="21"/>
                    </w:rPr>
                  </w:pPr>
                  <w:r>
                    <w:rPr>
                      <w:bCs/>
                      <w:sz w:val="21"/>
                      <w:szCs w:val="21"/>
                    </w:rPr>
                    <w:t>17、无净化设施的热风干燥箱</w:t>
                  </w:r>
                  <w:r>
                    <w:rPr>
                      <w:rFonts w:hint="eastAsia"/>
                      <w:bCs/>
                      <w:sz w:val="21"/>
                      <w:szCs w:val="21"/>
                    </w:rPr>
                    <w:t>。</w:t>
                  </w:r>
                </w:p>
                <w:p w14:paraId="01B0A4A6">
                  <w:pPr>
                    <w:spacing w:line="240" w:lineRule="auto"/>
                    <w:ind w:firstLine="0" w:firstLineChars="0"/>
                    <w:rPr>
                      <w:bCs/>
                      <w:sz w:val="21"/>
                      <w:szCs w:val="21"/>
                    </w:rPr>
                  </w:pPr>
                  <w:r>
                    <w:rPr>
                      <w:bCs/>
                      <w:sz w:val="21"/>
                      <w:szCs w:val="21"/>
                    </w:rPr>
                    <w:t>18、手工胶</w:t>
                  </w:r>
                  <w:r>
                    <w:rPr>
                      <w:rFonts w:hint="eastAsia"/>
                      <w:bCs/>
                      <w:sz w:val="21"/>
                      <w:szCs w:val="21"/>
                    </w:rPr>
                    <w:t>囊</w:t>
                  </w:r>
                  <w:r>
                    <w:rPr>
                      <w:bCs/>
                      <w:sz w:val="21"/>
                      <w:szCs w:val="21"/>
                    </w:rPr>
                    <w:t>填充工艺</w:t>
                  </w:r>
                  <w:r>
                    <w:rPr>
                      <w:rFonts w:hint="eastAsia"/>
                      <w:bCs/>
                      <w:sz w:val="21"/>
                      <w:szCs w:val="21"/>
                    </w:rPr>
                    <w:t>。</w:t>
                  </w:r>
                </w:p>
                <w:p w14:paraId="70A92E26">
                  <w:pPr>
                    <w:spacing w:line="240" w:lineRule="auto"/>
                    <w:ind w:firstLine="0" w:firstLineChars="0"/>
                    <w:rPr>
                      <w:bCs/>
                      <w:sz w:val="21"/>
                      <w:szCs w:val="21"/>
                    </w:rPr>
                  </w:pPr>
                  <w:r>
                    <w:rPr>
                      <w:bCs/>
                      <w:sz w:val="21"/>
                      <w:szCs w:val="21"/>
                    </w:rPr>
                    <w:t>19、中药饮片的蒸、炒、炙、煅等炮制技术的应用及中成药保密处方产品的生产</w:t>
                  </w:r>
                  <w:r>
                    <w:rPr>
                      <w:rFonts w:hint="eastAsia"/>
                      <w:bCs/>
                      <w:sz w:val="21"/>
                      <w:szCs w:val="21"/>
                    </w:rPr>
                    <w:t>（</w:t>
                  </w:r>
                  <w:r>
                    <w:rPr>
                      <w:bCs/>
                      <w:sz w:val="21"/>
                      <w:szCs w:val="21"/>
                    </w:rPr>
                    <w:t>外商</w:t>
                  </w:r>
                  <w:r>
                    <w:rPr>
                      <w:rFonts w:hint="eastAsia"/>
                      <w:bCs/>
                      <w:sz w:val="21"/>
                      <w:szCs w:val="21"/>
                    </w:rPr>
                    <w:t>）。</w:t>
                  </w:r>
                </w:p>
                <w:p w14:paraId="255C4A57">
                  <w:pPr>
                    <w:spacing w:line="240" w:lineRule="auto"/>
                    <w:ind w:firstLine="0" w:firstLineChars="0"/>
                    <w:rPr>
                      <w:bCs/>
                      <w:sz w:val="21"/>
                      <w:szCs w:val="21"/>
                    </w:rPr>
                  </w:pPr>
                  <w:r>
                    <w:rPr>
                      <w:bCs/>
                      <w:sz w:val="21"/>
                      <w:szCs w:val="21"/>
                    </w:rPr>
                    <w:t>20、其他新发布或另行规定禁止开发生产的项目、工艺、装置和产品。</w:t>
                  </w:r>
                </w:p>
              </w:tc>
            </w:tr>
            <w:tr w14:paraId="2BA8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Merge w:val="restart"/>
                  <w:vAlign w:val="center"/>
                </w:tcPr>
                <w:p w14:paraId="76305C09">
                  <w:pPr>
                    <w:spacing w:line="240" w:lineRule="auto"/>
                    <w:ind w:firstLine="0" w:firstLineChars="0"/>
                    <w:jc w:val="center"/>
                    <w:rPr>
                      <w:bCs/>
                      <w:sz w:val="21"/>
                      <w:szCs w:val="21"/>
                    </w:rPr>
                  </w:pPr>
                  <w:r>
                    <w:rPr>
                      <w:bCs/>
                      <w:sz w:val="21"/>
                      <w:szCs w:val="21"/>
                    </w:rPr>
                    <w:t>限制类</w:t>
                  </w:r>
                </w:p>
              </w:tc>
              <w:tc>
                <w:tcPr>
                  <w:tcW w:w="302" w:type="pct"/>
                  <w:shd w:val="clear" w:color="auto" w:fill="auto"/>
                  <w:vAlign w:val="center"/>
                </w:tcPr>
                <w:p w14:paraId="3847BFC7">
                  <w:pPr>
                    <w:spacing w:line="240" w:lineRule="auto"/>
                    <w:ind w:firstLine="0" w:firstLineChars="0"/>
                    <w:jc w:val="center"/>
                    <w:rPr>
                      <w:bCs/>
                      <w:sz w:val="21"/>
                      <w:szCs w:val="21"/>
                    </w:rPr>
                  </w:pPr>
                  <w:r>
                    <w:rPr>
                      <w:bCs/>
                      <w:sz w:val="21"/>
                      <w:szCs w:val="21"/>
                    </w:rPr>
                    <w:t>信息产业</w:t>
                  </w:r>
                </w:p>
              </w:tc>
              <w:tc>
                <w:tcPr>
                  <w:tcW w:w="4158" w:type="pct"/>
                  <w:shd w:val="clear" w:color="auto" w:fill="auto"/>
                  <w:vAlign w:val="center"/>
                </w:tcPr>
                <w:p w14:paraId="33950E89">
                  <w:pPr>
                    <w:numPr>
                      <w:ilvl w:val="0"/>
                      <w:numId w:val="3"/>
                    </w:numPr>
                    <w:spacing w:line="240" w:lineRule="auto"/>
                    <w:ind w:firstLine="0" w:firstLineChars="0"/>
                    <w:rPr>
                      <w:bCs/>
                      <w:sz w:val="21"/>
                      <w:szCs w:val="21"/>
                    </w:rPr>
                  </w:pPr>
                  <w:r>
                    <w:rPr>
                      <w:bCs/>
                      <w:sz w:val="21"/>
                      <w:szCs w:val="21"/>
                    </w:rPr>
                    <w:t>激光视盘机生产线</w:t>
                  </w:r>
                  <w:r>
                    <w:rPr>
                      <w:rFonts w:hint="eastAsia"/>
                      <w:bCs/>
                      <w:sz w:val="21"/>
                      <w:szCs w:val="21"/>
                    </w:rPr>
                    <w:t>（</w:t>
                  </w:r>
                  <w:r>
                    <w:rPr>
                      <w:bCs/>
                      <w:sz w:val="21"/>
                      <w:szCs w:val="21"/>
                    </w:rPr>
                    <w:t>VCD系列整机产品</w:t>
                  </w:r>
                  <w:r>
                    <w:rPr>
                      <w:rFonts w:hint="eastAsia"/>
                      <w:bCs/>
                      <w:sz w:val="21"/>
                      <w:szCs w:val="21"/>
                    </w:rPr>
                    <w:t>）。</w:t>
                  </w:r>
                </w:p>
                <w:p w14:paraId="785B5E0E">
                  <w:pPr>
                    <w:numPr>
                      <w:ilvl w:val="0"/>
                      <w:numId w:val="3"/>
                    </w:numPr>
                    <w:spacing w:line="240" w:lineRule="auto"/>
                    <w:ind w:firstLine="0" w:firstLineChars="0"/>
                    <w:rPr>
                      <w:bCs/>
                      <w:sz w:val="21"/>
                      <w:szCs w:val="21"/>
                    </w:rPr>
                  </w:pPr>
                  <w:r>
                    <w:rPr>
                      <w:bCs/>
                      <w:sz w:val="21"/>
                      <w:szCs w:val="21"/>
                    </w:rPr>
                    <w:t>模拟CRt黑白及彩色电视机项目。</w:t>
                  </w:r>
                </w:p>
                <w:p w14:paraId="64343971">
                  <w:pPr>
                    <w:spacing w:line="240" w:lineRule="auto"/>
                    <w:ind w:firstLine="0" w:firstLineChars="0"/>
                    <w:rPr>
                      <w:bCs/>
                      <w:sz w:val="21"/>
                      <w:szCs w:val="21"/>
                    </w:rPr>
                  </w:pPr>
                  <w:r>
                    <w:rPr>
                      <w:bCs/>
                      <w:sz w:val="21"/>
                      <w:szCs w:val="21"/>
                    </w:rPr>
                    <w:t>3、卫星电视广播地面接收设施及关键件生产</w:t>
                  </w:r>
                  <w:r>
                    <w:rPr>
                      <w:rFonts w:hint="eastAsia"/>
                      <w:bCs/>
                      <w:sz w:val="21"/>
                      <w:szCs w:val="21"/>
                    </w:rPr>
                    <w:t>（</w:t>
                  </w:r>
                  <w:r>
                    <w:rPr>
                      <w:bCs/>
                      <w:sz w:val="21"/>
                      <w:szCs w:val="21"/>
                    </w:rPr>
                    <w:t>外商</w:t>
                  </w:r>
                  <w:r>
                    <w:rPr>
                      <w:rFonts w:hint="eastAsia"/>
                      <w:bCs/>
                      <w:sz w:val="21"/>
                      <w:szCs w:val="21"/>
                    </w:rPr>
                    <w:t>）。</w:t>
                  </w:r>
                </w:p>
                <w:p w14:paraId="428C95B8">
                  <w:pPr>
                    <w:spacing w:line="240" w:lineRule="auto"/>
                    <w:ind w:firstLine="0" w:firstLineChars="0"/>
                    <w:rPr>
                      <w:bCs/>
                      <w:sz w:val="21"/>
                      <w:szCs w:val="21"/>
                    </w:rPr>
                  </w:pPr>
                  <w:r>
                    <w:rPr>
                      <w:bCs/>
                      <w:sz w:val="21"/>
                      <w:szCs w:val="21"/>
                    </w:rPr>
                    <w:t>4、电信公司</w:t>
                  </w:r>
                  <w:r>
                    <w:rPr>
                      <w:rFonts w:hint="eastAsia"/>
                      <w:bCs/>
                      <w:sz w:val="21"/>
                      <w:szCs w:val="21"/>
                    </w:rPr>
                    <w:t>：</w:t>
                  </w:r>
                  <w:r>
                    <w:rPr>
                      <w:bCs/>
                      <w:sz w:val="21"/>
                      <w:szCs w:val="21"/>
                    </w:rPr>
                    <w:t>限于Wt0承诺开放的业务，增值电信业务</w:t>
                  </w:r>
                  <w:r>
                    <w:rPr>
                      <w:rFonts w:hint="eastAsia"/>
                      <w:bCs/>
                      <w:sz w:val="21"/>
                      <w:szCs w:val="21"/>
                    </w:rPr>
                    <w:t>（</w:t>
                  </w:r>
                  <w:r>
                    <w:rPr>
                      <w:bCs/>
                      <w:sz w:val="21"/>
                      <w:szCs w:val="21"/>
                    </w:rPr>
                    <w:t>外资比例不超过50%，电子商务除外</w:t>
                  </w:r>
                  <w:r>
                    <w:rPr>
                      <w:rFonts w:hint="eastAsia"/>
                      <w:bCs/>
                      <w:sz w:val="21"/>
                      <w:szCs w:val="21"/>
                    </w:rPr>
                    <w:t>）</w:t>
                  </w:r>
                  <w:r>
                    <w:rPr>
                      <w:bCs/>
                      <w:sz w:val="21"/>
                      <w:szCs w:val="21"/>
                    </w:rPr>
                    <w:t>，基础电信业务</w:t>
                  </w:r>
                  <w:r>
                    <w:rPr>
                      <w:rFonts w:hint="eastAsia"/>
                      <w:bCs/>
                      <w:sz w:val="21"/>
                      <w:szCs w:val="21"/>
                    </w:rPr>
                    <w:t>（</w:t>
                  </w:r>
                  <w:r>
                    <w:rPr>
                      <w:bCs/>
                      <w:sz w:val="21"/>
                      <w:szCs w:val="21"/>
                    </w:rPr>
                    <w:t>中方控股</w:t>
                  </w:r>
                  <w:r>
                    <w:rPr>
                      <w:rFonts w:hint="eastAsia"/>
                      <w:bCs/>
                      <w:sz w:val="21"/>
                      <w:szCs w:val="21"/>
                    </w:rPr>
                    <w:t>）（</w:t>
                  </w:r>
                  <w:r>
                    <w:rPr>
                      <w:bCs/>
                      <w:sz w:val="21"/>
                      <w:szCs w:val="21"/>
                    </w:rPr>
                    <w:t>外商</w:t>
                  </w:r>
                  <w:r>
                    <w:rPr>
                      <w:rFonts w:hint="eastAsia"/>
                      <w:bCs/>
                      <w:sz w:val="21"/>
                      <w:szCs w:val="21"/>
                    </w:rPr>
                    <w:t>）。</w:t>
                  </w:r>
                </w:p>
                <w:p w14:paraId="26587C60">
                  <w:pPr>
                    <w:spacing w:line="240" w:lineRule="auto"/>
                    <w:ind w:firstLine="0" w:firstLineChars="0"/>
                    <w:rPr>
                      <w:bCs/>
                      <w:sz w:val="21"/>
                      <w:szCs w:val="21"/>
                    </w:rPr>
                  </w:pPr>
                  <w:r>
                    <w:rPr>
                      <w:bCs/>
                      <w:sz w:val="21"/>
                      <w:szCs w:val="21"/>
                    </w:rPr>
                    <w:t>5、其他新发布或另行规定的限制开发生产的项目、工艺、装置和产品</w:t>
                  </w:r>
                  <w:r>
                    <w:rPr>
                      <w:rFonts w:hint="eastAsia"/>
                      <w:bCs/>
                      <w:sz w:val="21"/>
                      <w:szCs w:val="21"/>
                    </w:rPr>
                    <w:t>。</w:t>
                  </w:r>
                </w:p>
              </w:tc>
            </w:tr>
            <w:tr w14:paraId="51E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pct"/>
                  <w:vMerge w:val="continue"/>
                  <w:vAlign w:val="center"/>
                </w:tcPr>
                <w:p w14:paraId="70FD7188">
                  <w:pPr>
                    <w:spacing w:line="240" w:lineRule="auto"/>
                    <w:ind w:firstLine="0" w:firstLineChars="0"/>
                    <w:jc w:val="center"/>
                    <w:rPr>
                      <w:bCs/>
                      <w:sz w:val="21"/>
                      <w:szCs w:val="21"/>
                    </w:rPr>
                  </w:pPr>
                </w:p>
              </w:tc>
              <w:tc>
                <w:tcPr>
                  <w:tcW w:w="302" w:type="pct"/>
                  <w:shd w:val="clear" w:color="auto" w:fill="auto"/>
                  <w:vAlign w:val="center"/>
                </w:tcPr>
                <w:p w14:paraId="45F9592E">
                  <w:pPr>
                    <w:spacing w:line="240" w:lineRule="auto"/>
                    <w:ind w:firstLine="0" w:firstLineChars="0"/>
                    <w:jc w:val="center"/>
                    <w:rPr>
                      <w:bCs/>
                      <w:sz w:val="21"/>
                      <w:szCs w:val="21"/>
                    </w:rPr>
                  </w:pPr>
                  <w:r>
                    <w:rPr>
                      <w:bCs/>
                      <w:sz w:val="21"/>
                      <w:szCs w:val="21"/>
                    </w:rPr>
                    <w:t>食品产业</w:t>
                  </w:r>
                </w:p>
              </w:tc>
              <w:tc>
                <w:tcPr>
                  <w:tcW w:w="4158" w:type="pct"/>
                  <w:shd w:val="clear" w:color="auto" w:fill="auto"/>
                  <w:vAlign w:val="center"/>
                </w:tcPr>
                <w:p w14:paraId="09DF0D69">
                  <w:pPr>
                    <w:numPr>
                      <w:ilvl w:val="0"/>
                      <w:numId w:val="4"/>
                    </w:numPr>
                    <w:spacing w:line="240" w:lineRule="auto"/>
                    <w:ind w:firstLine="0" w:firstLineChars="0"/>
                    <w:rPr>
                      <w:bCs/>
                      <w:sz w:val="21"/>
                      <w:szCs w:val="21"/>
                    </w:rPr>
                  </w:pPr>
                  <w:r>
                    <w:rPr>
                      <w:bCs/>
                      <w:sz w:val="21"/>
                      <w:szCs w:val="21"/>
                    </w:rPr>
                    <w:t>生产能力小于18000瓶/时的啤酒灌装生产线。</w:t>
                  </w:r>
                </w:p>
                <w:p w14:paraId="4D122480">
                  <w:pPr>
                    <w:numPr>
                      <w:ilvl w:val="0"/>
                      <w:numId w:val="4"/>
                    </w:numPr>
                    <w:spacing w:line="240" w:lineRule="auto"/>
                    <w:ind w:firstLine="0" w:firstLineChars="0"/>
                    <w:rPr>
                      <w:bCs/>
                      <w:sz w:val="21"/>
                      <w:szCs w:val="21"/>
                    </w:rPr>
                  </w:pPr>
                  <w:r>
                    <w:rPr>
                      <w:bCs/>
                      <w:sz w:val="21"/>
                      <w:szCs w:val="21"/>
                    </w:rPr>
                    <w:t>羰基合成法及齐格勒法生产的脂肪醇产品。</w:t>
                  </w:r>
                </w:p>
                <w:p w14:paraId="4C0F148C">
                  <w:pPr>
                    <w:spacing w:line="240" w:lineRule="auto"/>
                    <w:ind w:firstLine="0" w:firstLineChars="0"/>
                    <w:rPr>
                      <w:bCs/>
                      <w:sz w:val="21"/>
                      <w:szCs w:val="21"/>
                    </w:rPr>
                  </w:pPr>
                  <w:r>
                    <w:rPr>
                      <w:bCs/>
                      <w:sz w:val="21"/>
                      <w:szCs w:val="21"/>
                    </w:rPr>
                    <w:t>3、100万吨/年以下北方海盐项目</w:t>
                  </w:r>
                  <w:r>
                    <w:rPr>
                      <w:rFonts w:hint="eastAsia"/>
                      <w:bCs/>
                      <w:sz w:val="21"/>
                      <w:szCs w:val="21"/>
                    </w:rPr>
                    <w:t>；</w:t>
                  </w:r>
                  <w:r>
                    <w:rPr>
                      <w:bCs/>
                      <w:sz w:val="21"/>
                      <w:szCs w:val="21"/>
                    </w:rPr>
                    <w:t>新建南方海盐盐场项目</w:t>
                  </w:r>
                  <w:r>
                    <w:rPr>
                      <w:rFonts w:hint="eastAsia"/>
                      <w:bCs/>
                      <w:sz w:val="21"/>
                      <w:szCs w:val="21"/>
                    </w:rPr>
                    <w:t>；</w:t>
                  </w:r>
                  <w:r>
                    <w:rPr>
                      <w:bCs/>
                      <w:sz w:val="21"/>
                      <w:szCs w:val="21"/>
                    </w:rPr>
                    <w:t>60万吨/年以下矿</w:t>
                  </w:r>
                  <w:r>
                    <w:rPr>
                      <w:rFonts w:hint="eastAsia"/>
                      <w:bCs/>
                      <w:sz w:val="21"/>
                      <w:szCs w:val="21"/>
                    </w:rPr>
                    <w:t>（</w:t>
                  </w:r>
                  <w:r>
                    <w:rPr>
                      <w:bCs/>
                      <w:sz w:val="21"/>
                      <w:szCs w:val="21"/>
                    </w:rPr>
                    <w:t>井</w:t>
                  </w:r>
                  <w:r>
                    <w:rPr>
                      <w:rFonts w:hint="eastAsia"/>
                      <w:bCs/>
                      <w:sz w:val="21"/>
                      <w:szCs w:val="21"/>
                    </w:rPr>
                    <w:t>）</w:t>
                  </w:r>
                  <w:r>
                    <w:rPr>
                      <w:bCs/>
                      <w:sz w:val="21"/>
                      <w:szCs w:val="21"/>
                    </w:rPr>
                    <w:t>盐项目。</w:t>
                  </w:r>
                </w:p>
                <w:p w14:paraId="799414B9">
                  <w:pPr>
                    <w:spacing w:line="240" w:lineRule="auto"/>
                    <w:ind w:firstLine="0" w:firstLineChars="0"/>
                    <w:rPr>
                      <w:bCs/>
                      <w:sz w:val="21"/>
                      <w:szCs w:val="21"/>
                    </w:rPr>
                  </w:pPr>
                  <w:r>
                    <w:rPr>
                      <w:bCs/>
                      <w:sz w:val="21"/>
                      <w:szCs w:val="21"/>
                    </w:rPr>
                    <w:t>4、原糖加工项目及日处理甘蔗5000吨、日处理甜菜3000吨以下的新建项目</w:t>
                  </w:r>
                  <w:r>
                    <w:rPr>
                      <w:rFonts w:hint="eastAsia"/>
                      <w:bCs/>
                      <w:sz w:val="21"/>
                      <w:szCs w:val="21"/>
                    </w:rPr>
                    <w:t>。</w:t>
                  </w:r>
                </w:p>
                <w:p w14:paraId="40EC038E">
                  <w:pPr>
                    <w:spacing w:line="240" w:lineRule="auto"/>
                    <w:ind w:firstLine="0" w:firstLineChars="0"/>
                    <w:rPr>
                      <w:bCs/>
                      <w:sz w:val="21"/>
                      <w:szCs w:val="21"/>
                    </w:rPr>
                  </w:pPr>
                  <w:r>
                    <w:rPr>
                      <w:bCs/>
                      <w:sz w:val="21"/>
                      <w:szCs w:val="21"/>
                    </w:rPr>
                    <w:t>5、白酒生产线。</w:t>
                  </w:r>
                </w:p>
                <w:p w14:paraId="39512C4A">
                  <w:pPr>
                    <w:spacing w:line="240" w:lineRule="auto"/>
                    <w:ind w:firstLine="0" w:firstLineChars="0"/>
                    <w:rPr>
                      <w:bCs/>
                      <w:sz w:val="21"/>
                      <w:szCs w:val="21"/>
                    </w:rPr>
                  </w:pPr>
                  <w:r>
                    <w:rPr>
                      <w:bCs/>
                      <w:sz w:val="21"/>
                      <w:szCs w:val="21"/>
                    </w:rPr>
                    <w:t>6、酒精生产线。</w:t>
                  </w:r>
                </w:p>
                <w:p w14:paraId="7A1CD438">
                  <w:pPr>
                    <w:spacing w:line="240" w:lineRule="auto"/>
                    <w:ind w:firstLine="0" w:firstLineChars="0"/>
                    <w:rPr>
                      <w:bCs/>
                      <w:sz w:val="21"/>
                      <w:szCs w:val="21"/>
                    </w:rPr>
                  </w:pPr>
                  <w:r>
                    <w:rPr>
                      <w:bCs/>
                      <w:sz w:val="21"/>
                      <w:szCs w:val="21"/>
                    </w:rPr>
                    <w:t>7、5万吨/年及以下且采用等电离交工艺的味精生产</w:t>
                  </w:r>
                  <w:r>
                    <w:rPr>
                      <w:rFonts w:hint="eastAsia"/>
                      <w:bCs/>
                      <w:sz w:val="21"/>
                      <w:szCs w:val="21"/>
                    </w:rPr>
                    <w:t>线。</w:t>
                  </w:r>
                </w:p>
                <w:p w14:paraId="3F06512B">
                  <w:pPr>
                    <w:spacing w:line="240" w:lineRule="auto"/>
                    <w:ind w:firstLine="0" w:firstLineChars="0"/>
                    <w:rPr>
                      <w:bCs/>
                      <w:sz w:val="21"/>
                      <w:szCs w:val="21"/>
                    </w:rPr>
                  </w:pPr>
                  <w:r>
                    <w:rPr>
                      <w:bCs/>
                      <w:sz w:val="21"/>
                      <w:szCs w:val="21"/>
                    </w:rPr>
                    <w:t>8、糖精等化学合成甜味剂生产线。</w:t>
                  </w:r>
                </w:p>
                <w:p w14:paraId="7064BCF4">
                  <w:pPr>
                    <w:spacing w:line="240" w:lineRule="auto"/>
                    <w:ind w:firstLine="0" w:firstLineChars="0"/>
                    <w:rPr>
                      <w:bCs/>
                      <w:sz w:val="21"/>
                      <w:szCs w:val="21"/>
                    </w:rPr>
                  </w:pPr>
                  <w:r>
                    <w:rPr>
                      <w:bCs/>
                      <w:sz w:val="21"/>
                      <w:szCs w:val="21"/>
                    </w:rPr>
                    <w:t>9、浓缩苹果汁生产线。</w:t>
                  </w:r>
                </w:p>
                <w:p w14:paraId="63B1D0C7">
                  <w:pPr>
                    <w:spacing w:line="240" w:lineRule="auto"/>
                    <w:ind w:firstLine="0" w:firstLineChars="0"/>
                    <w:rPr>
                      <w:bCs/>
                      <w:sz w:val="21"/>
                      <w:szCs w:val="21"/>
                    </w:rPr>
                  </w:pPr>
                  <w:r>
                    <w:rPr>
                      <w:bCs/>
                      <w:sz w:val="21"/>
                      <w:szCs w:val="21"/>
                    </w:rPr>
                    <w:t>10、大豆压榨及浸出项目</w:t>
                  </w:r>
                  <w:r>
                    <w:rPr>
                      <w:rFonts w:hint="eastAsia"/>
                      <w:bCs/>
                      <w:sz w:val="21"/>
                      <w:szCs w:val="21"/>
                    </w:rPr>
                    <w:t>；</w:t>
                  </w:r>
                  <w:r>
                    <w:rPr>
                      <w:bCs/>
                      <w:sz w:val="21"/>
                      <w:szCs w:val="21"/>
                    </w:rPr>
                    <w:t>东、中部地区单线日处理油菜籽、棉籽200吨及以下，花生100吨及以下的油料加工项目。</w:t>
                  </w:r>
                </w:p>
                <w:p w14:paraId="37A3511D">
                  <w:pPr>
                    <w:spacing w:line="240" w:lineRule="auto"/>
                    <w:ind w:firstLine="0" w:firstLineChars="0"/>
                    <w:rPr>
                      <w:bCs/>
                      <w:sz w:val="21"/>
                      <w:szCs w:val="21"/>
                    </w:rPr>
                  </w:pPr>
                  <w:r>
                    <w:rPr>
                      <w:bCs/>
                      <w:sz w:val="21"/>
                      <w:szCs w:val="21"/>
                    </w:rPr>
                    <w:t>11、年加工玉米30万吨以下、绝干收率在98%以下玉米淀粉湿法生产线。</w:t>
                  </w:r>
                </w:p>
                <w:p w14:paraId="0F6B91D1">
                  <w:pPr>
                    <w:spacing w:line="240" w:lineRule="auto"/>
                    <w:ind w:firstLine="0" w:firstLineChars="0"/>
                    <w:rPr>
                      <w:bCs/>
                      <w:sz w:val="21"/>
                      <w:szCs w:val="21"/>
                    </w:rPr>
                  </w:pPr>
                  <w:r>
                    <w:rPr>
                      <w:bCs/>
                      <w:sz w:val="21"/>
                      <w:szCs w:val="21"/>
                    </w:rPr>
                    <w:t>12、3000吨/年及以下的西式肉制品加工项目。</w:t>
                  </w:r>
                </w:p>
                <w:p w14:paraId="2CC5AEF5">
                  <w:pPr>
                    <w:spacing w:line="240" w:lineRule="auto"/>
                    <w:ind w:firstLine="0" w:firstLineChars="0"/>
                    <w:rPr>
                      <w:bCs/>
                      <w:sz w:val="21"/>
                      <w:szCs w:val="21"/>
                    </w:rPr>
                  </w:pPr>
                  <w:r>
                    <w:rPr>
                      <w:bCs/>
                      <w:sz w:val="21"/>
                      <w:szCs w:val="21"/>
                    </w:rPr>
                    <w:t>13、2000吨/年及以下的酵母加工项目。</w:t>
                  </w:r>
                </w:p>
                <w:p w14:paraId="36D5B10A">
                  <w:pPr>
                    <w:spacing w:line="240" w:lineRule="auto"/>
                    <w:ind w:firstLine="0" w:firstLineChars="0"/>
                    <w:rPr>
                      <w:bCs/>
                      <w:sz w:val="21"/>
                      <w:szCs w:val="21"/>
                    </w:rPr>
                  </w:pPr>
                  <w:r>
                    <w:rPr>
                      <w:bCs/>
                      <w:sz w:val="21"/>
                      <w:szCs w:val="21"/>
                    </w:rPr>
                    <w:t>14、冷冻海水鱼糜生产线。</w:t>
                  </w:r>
                </w:p>
                <w:p w14:paraId="3EF5A3C6">
                  <w:pPr>
                    <w:spacing w:line="240" w:lineRule="auto"/>
                    <w:ind w:firstLine="0" w:firstLineChars="0"/>
                    <w:rPr>
                      <w:bCs/>
                      <w:sz w:val="21"/>
                      <w:szCs w:val="21"/>
                    </w:rPr>
                  </w:pPr>
                  <w:r>
                    <w:rPr>
                      <w:bCs/>
                      <w:sz w:val="21"/>
                      <w:szCs w:val="21"/>
                    </w:rPr>
                    <w:t>15、新建、扩建古龙酸和维生素C原粉</w:t>
                  </w:r>
                  <w:r>
                    <w:rPr>
                      <w:rFonts w:hint="eastAsia"/>
                      <w:bCs/>
                      <w:sz w:val="21"/>
                      <w:szCs w:val="21"/>
                    </w:rPr>
                    <w:t>（</w:t>
                  </w:r>
                  <w:r>
                    <w:rPr>
                      <w:bCs/>
                      <w:sz w:val="21"/>
                      <w:szCs w:val="21"/>
                    </w:rPr>
                    <w:t>包括药用</w:t>
                  </w:r>
                  <w:r>
                    <w:rPr>
                      <w:rFonts w:hint="eastAsia"/>
                      <w:bCs/>
                      <w:sz w:val="21"/>
                      <w:szCs w:val="21"/>
                    </w:rPr>
                    <w:t>、</w:t>
                  </w:r>
                  <w:r>
                    <w:rPr>
                      <w:bCs/>
                      <w:sz w:val="21"/>
                      <w:szCs w:val="21"/>
                    </w:rPr>
                    <w:t>食品用和饲料用、化妆品用</w:t>
                  </w:r>
                  <w:r>
                    <w:rPr>
                      <w:rFonts w:hint="eastAsia"/>
                      <w:bCs/>
                      <w:sz w:val="21"/>
                      <w:szCs w:val="21"/>
                    </w:rPr>
                    <w:t>）</w:t>
                  </w:r>
                  <w:r>
                    <w:rPr>
                      <w:bCs/>
                      <w:sz w:val="21"/>
                      <w:szCs w:val="21"/>
                    </w:rPr>
                    <w:t>生产装置</w:t>
                  </w:r>
                  <w:r>
                    <w:rPr>
                      <w:rFonts w:hint="eastAsia"/>
                      <w:bCs/>
                      <w:sz w:val="21"/>
                      <w:szCs w:val="21"/>
                    </w:rPr>
                    <w:t>，</w:t>
                  </w:r>
                  <w:r>
                    <w:rPr>
                      <w:bCs/>
                      <w:sz w:val="21"/>
                      <w:szCs w:val="21"/>
                    </w:rPr>
                    <w:t>新建药品、食品饲料、化妆品等用途的维生素B1、维生素B2、维生素B12</w:t>
                  </w:r>
                  <w:r>
                    <w:rPr>
                      <w:rFonts w:hint="eastAsia"/>
                      <w:bCs/>
                      <w:sz w:val="21"/>
                      <w:szCs w:val="21"/>
                    </w:rPr>
                    <w:t>（</w:t>
                  </w:r>
                  <w:r>
                    <w:rPr>
                      <w:bCs/>
                      <w:sz w:val="21"/>
                      <w:szCs w:val="21"/>
                    </w:rPr>
                    <w:t>综合利用除外</w:t>
                  </w:r>
                  <w:r>
                    <w:rPr>
                      <w:rFonts w:hint="eastAsia"/>
                      <w:bCs/>
                      <w:sz w:val="21"/>
                      <w:szCs w:val="21"/>
                    </w:rPr>
                    <w:t>）</w:t>
                  </w:r>
                  <w:r>
                    <w:rPr>
                      <w:bCs/>
                      <w:sz w:val="21"/>
                      <w:szCs w:val="21"/>
                    </w:rPr>
                    <w:t>、维生素E原料生产装置。</w:t>
                  </w:r>
                </w:p>
                <w:p w14:paraId="7098C648">
                  <w:pPr>
                    <w:spacing w:line="240" w:lineRule="auto"/>
                    <w:ind w:firstLine="0" w:firstLineChars="0"/>
                    <w:rPr>
                      <w:bCs/>
                      <w:sz w:val="21"/>
                      <w:szCs w:val="21"/>
                    </w:rPr>
                  </w:pPr>
                  <w:r>
                    <w:rPr>
                      <w:bCs/>
                      <w:sz w:val="21"/>
                      <w:szCs w:val="21"/>
                    </w:rPr>
                    <w:t>16、新建紫杉醇</w:t>
                  </w:r>
                  <w:r>
                    <w:rPr>
                      <w:rFonts w:hint="eastAsia"/>
                      <w:bCs/>
                      <w:sz w:val="21"/>
                      <w:szCs w:val="21"/>
                    </w:rPr>
                    <w:t>（</w:t>
                  </w:r>
                  <w:r>
                    <w:rPr>
                      <w:bCs/>
                      <w:sz w:val="21"/>
                      <w:szCs w:val="21"/>
                    </w:rPr>
                    <w:t>配套红豆杉种植除外</w:t>
                  </w:r>
                  <w:r>
                    <w:rPr>
                      <w:rFonts w:hint="eastAsia"/>
                      <w:bCs/>
                      <w:sz w:val="21"/>
                      <w:szCs w:val="21"/>
                    </w:rPr>
                    <w:t>）</w:t>
                  </w:r>
                  <w:r>
                    <w:rPr>
                      <w:bCs/>
                      <w:sz w:val="21"/>
                      <w:szCs w:val="21"/>
                    </w:rPr>
                    <w:t>植物提取法黄连素</w:t>
                  </w:r>
                  <w:r>
                    <w:rPr>
                      <w:rFonts w:hint="eastAsia"/>
                      <w:bCs/>
                      <w:sz w:val="21"/>
                      <w:szCs w:val="21"/>
                    </w:rPr>
                    <w:t>（</w:t>
                  </w:r>
                  <w:r>
                    <w:rPr>
                      <w:bCs/>
                      <w:sz w:val="21"/>
                      <w:szCs w:val="21"/>
                    </w:rPr>
                    <w:t>配套黄连种植除外</w:t>
                  </w:r>
                  <w:r>
                    <w:rPr>
                      <w:rFonts w:hint="eastAsia"/>
                      <w:bCs/>
                      <w:sz w:val="21"/>
                      <w:szCs w:val="21"/>
                    </w:rPr>
                    <w:t>）</w:t>
                  </w:r>
                  <w:r>
                    <w:rPr>
                      <w:bCs/>
                      <w:sz w:val="21"/>
                      <w:szCs w:val="21"/>
                    </w:rPr>
                    <w:t>生产装置。</w:t>
                  </w:r>
                </w:p>
                <w:p w14:paraId="2FFBB2D1">
                  <w:pPr>
                    <w:spacing w:line="240" w:lineRule="auto"/>
                    <w:ind w:firstLine="0" w:firstLineChars="0"/>
                    <w:rPr>
                      <w:bCs/>
                      <w:sz w:val="21"/>
                      <w:szCs w:val="21"/>
                    </w:rPr>
                  </w:pPr>
                  <w:r>
                    <w:rPr>
                      <w:bCs/>
                      <w:sz w:val="21"/>
                      <w:szCs w:val="21"/>
                    </w:rPr>
                    <w:t>17、新建及改扩建原料含有尚未规模化种植或养殖的濒危动植物药材的产品生产装置。</w:t>
                  </w:r>
                </w:p>
                <w:p w14:paraId="6607BCBD">
                  <w:pPr>
                    <w:spacing w:line="240" w:lineRule="auto"/>
                    <w:ind w:firstLine="0" w:firstLineChars="0"/>
                    <w:rPr>
                      <w:bCs/>
                      <w:sz w:val="21"/>
                      <w:szCs w:val="21"/>
                    </w:rPr>
                  </w:pPr>
                  <w:r>
                    <w:rPr>
                      <w:bCs/>
                      <w:sz w:val="21"/>
                      <w:szCs w:val="21"/>
                    </w:rPr>
                    <w:t>18、其他新发布或另行规定限制</w:t>
                  </w:r>
                  <w:r>
                    <w:rPr>
                      <w:rFonts w:hint="eastAsia"/>
                      <w:bCs/>
                      <w:sz w:val="21"/>
                      <w:szCs w:val="21"/>
                    </w:rPr>
                    <w:t>开发生产的项目、工艺、装置和产品。</w:t>
                  </w:r>
                </w:p>
              </w:tc>
            </w:tr>
          </w:tbl>
          <w:p w14:paraId="2C2AF049">
            <w:pPr>
              <w:rPr>
                <w:bCs/>
              </w:rPr>
            </w:pPr>
            <w:r>
              <w:rPr>
                <w:rFonts w:hint="eastAsia"/>
                <w:bCs/>
              </w:rPr>
              <w:t>本项目主要为冷冻食品制造，属于“C1432冷冻食品制造”，为安徽淮北相山经济开发区主导产业：“绿色食品”符合安徽淮北相山经济开发区产业发展规划。</w:t>
            </w:r>
          </w:p>
          <w:p w14:paraId="0650E4B5">
            <w:pPr>
              <w:ind w:firstLine="482"/>
              <w:rPr>
                <w:b/>
              </w:rPr>
            </w:pPr>
            <w:r>
              <w:rPr>
                <w:rFonts w:hint="eastAsia"/>
                <w:b/>
              </w:rPr>
              <w:t>3、</w:t>
            </w:r>
            <w:r>
              <w:rPr>
                <w:b/>
              </w:rPr>
              <w:t>与</w:t>
            </w:r>
            <w:r>
              <w:rPr>
                <w:rFonts w:hint="eastAsia"/>
                <w:b/>
              </w:rPr>
              <w:t>淮河相关政策符合性</w:t>
            </w:r>
            <w:r>
              <w:rPr>
                <w:b/>
              </w:rPr>
              <w:t>分析</w:t>
            </w:r>
          </w:p>
          <w:p w14:paraId="6862B277">
            <w:r>
              <w:rPr>
                <w:rFonts w:hint="eastAsia"/>
              </w:rPr>
              <w:t>本项目的建设与《淮北市水污染防治工作方案》《安徽省淮河流域水污染防治条例》相符，具体的符合性分析见下表</w:t>
            </w:r>
            <w:r>
              <w:t>。</w:t>
            </w:r>
          </w:p>
          <w:p w14:paraId="2D6580B5">
            <w:pPr>
              <w:pStyle w:val="32"/>
              <w:rPr>
                <w:rFonts w:hint="default"/>
              </w:rPr>
            </w:pPr>
            <w:r>
              <w:t>表1-4  与淮河相关政策相符性分析</w:t>
            </w:r>
          </w:p>
          <w:tbl>
            <w:tblPr>
              <w:tblStyle w:val="22"/>
              <w:tblW w:w="7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521"/>
              <w:gridCol w:w="2401"/>
              <w:gridCol w:w="641"/>
            </w:tblGrid>
            <w:tr w14:paraId="0927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4" w:type="dxa"/>
                  <w:vAlign w:val="center"/>
                </w:tcPr>
                <w:p w14:paraId="2A0774CD">
                  <w:pPr>
                    <w:pStyle w:val="29"/>
                  </w:pPr>
                  <w:r>
                    <w:t>政策名称</w:t>
                  </w:r>
                </w:p>
              </w:tc>
              <w:tc>
                <w:tcPr>
                  <w:tcW w:w="3521" w:type="dxa"/>
                  <w:vAlign w:val="center"/>
                </w:tcPr>
                <w:p w14:paraId="7B18962A">
                  <w:pPr>
                    <w:pStyle w:val="29"/>
                  </w:pPr>
                  <w:r>
                    <w:t>相关要求</w:t>
                  </w:r>
                </w:p>
              </w:tc>
              <w:tc>
                <w:tcPr>
                  <w:tcW w:w="2401" w:type="dxa"/>
                  <w:vAlign w:val="center"/>
                </w:tcPr>
                <w:p w14:paraId="7945C436">
                  <w:pPr>
                    <w:pStyle w:val="29"/>
                  </w:pPr>
                  <w:r>
                    <w:t>本项目情况</w:t>
                  </w:r>
                </w:p>
              </w:tc>
              <w:tc>
                <w:tcPr>
                  <w:tcW w:w="641" w:type="dxa"/>
                  <w:vAlign w:val="center"/>
                </w:tcPr>
                <w:p w14:paraId="04854EAC">
                  <w:pPr>
                    <w:pStyle w:val="29"/>
                  </w:pPr>
                  <w:r>
                    <w:t>符合性</w:t>
                  </w:r>
                </w:p>
              </w:tc>
            </w:tr>
            <w:tr w14:paraId="3406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559BB679">
                  <w:pPr>
                    <w:pStyle w:val="29"/>
                  </w:pPr>
                  <w:r>
                    <w:t>《淮北市水污染防治工作方案》（淮政〔2015〕65号）</w:t>
                  </w:r>
                </w:p>
              </w:tc>
              <w:tc>
                <w:tcPr>
                  <w:tcW w:w="3521" w:type="dxa"/>
                  <w:vAlign w:val="center"/>
                </w:tcPr>
                <w:p w14:paraId="51B4184C">
                  <w:pPr>
                    <w:pStyle w:val="29"/>
                    <w:rPr>
                      <w:lang w:val="en"/>
                    </w:rPr>
                  </w:pPr>
                  <w:r>
                    <w:rPr>
                      <w:lang w:val="en"/>
                    </w:rPr>
                    <w:t>到2020年，沱河、澥河及淮水北调调水通道水体水质要全面达到Ⅲ类水质标准，浍河水体水质稳定达到Ⅳ类水质标准，濉河流域水体水质无劣Ⅴ类水质；南湖、东湖、中湖、相湖、乾隆湖及华家湖水体水质稳定达到Ⅲ类水质标准；城市建成区黑臭水体控制在10%以内，城市及濉溪县城集中式生活饮用水水源地水质达标率达到或优于Ⅲ类比例稳定达到100%，地下水质量考核点位水质级别保持稳定。</w:t>
                  </w:r>
                </w:p>
              </w:tc>
              <w:tc>
                <w:tcPr>
                  <w:tcW w:w="2401" w:type="dxa"/>
                  <w:vAlign w:val="center"/>
                </w:tcPr>
                <w:p w14:paraId="0514FB5F">
                  <w:pPr>
                    <w:pStyle w:val="29"/>
                  </w:pPr>
                  <w:r>
                    <w:t>项目所在区域</w:t>
                  </w:r>
                  <w:r>
                    <w:rPr>
                      <w:rFonts w:hint="eastAsia"/>
                    </w:rPr>
                    <w:t>萧濉新河</w:t>
                  </w:r>
                  <w:r>
                    <w:t>执行《地表水环境质量标准》</w:t>
                  </w:r>
                  <w:r>
                    <w:rPr>
                      <w:rFonts w:hint="eastAsia"/>
                    </w:rPr>
                    <w:t>（</w:t>
                  </w:r>
                  <w:r>
                    <w:t>GB3838-2002</w:t>
                  </w:r>
                  <w:r>
                    <w:rPr>
                      <w:rFonts w:hint="eastAsia"/>
                    </w:rPr>
                    <w:t>）</w:t>
                  </w:r>
                  <w:r>
                    <w:rPr>
                      <w:lang w:val="en"/>
                    </w:rPr>
                    <w:t>Ⅳ</w:t>
                  </w:r>
                  <w:r>
                    <w:t>类水质标准。本次项目</w:t>
                  </w:r>
                  <w:r>
                    <w:rPr>
                      <w:rFonts w:hint="eastAsia"/>
                    </w:rPr>
                    <w:t>生活污水经化粪池预处理后排入园区污水管网；生产废水经污水处理站处理达标后排入园区污水管网，最终排入安徽淮相科技发展有限公司第二污水处理厂，</w:t>
                  </w:r>
                  <w:r>
                    <w:t>对</w:t>
                  </w:r>
                  <w:r>
                    <w:rPr>
                      <w:rFonts w:hint="eastAsia"/>
                    </w:rPr>
                    <w:t>萧濉新河</w:t>
                  </w:r>
                  <w:r>
                    <w:t>水质影响</w:t>
                  </w:r>
                  <w:r>
                    <w:rPr>
                      <w:rFonts w:hint="eastAsia"/>
                    </w:rPr>
                    <w:t>小</w:t>
                  </w:r>
                  <w:r>
                    <w:t>。</w:t>
                  </w:r>
                </w:p>
              </w:tc>
              <w:tc>
                <w:tcPr>
                  <w:tcW w:w="641" w:type="dxa"/>
                  <w:vAlign w:val="center"/>
                </w:tcPr>
                <w:p w14:paraId="10FC243C">
                  <w:pPr>
                    <w:pStyle w:val="29"/>
                  </w:pPr>
                  <w:r>
                    <w:t>符合</w:t>
                  </w:r>
                </w:p>
              </w:tc>
            </w:tr>
            <w:tr w14:paraId="043E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restart"/>
                  <w:vAlign w:val="center"/>
                </w:tcPr>
                <w:p w14:paraId="05AD9EDE">
                  <w:pPr>
                    <w:pStyle w:val="29"/>
                  </w:pPr>
                  <w:r>
                    <w:t>《安徽省淮河流域水污染防治条例》（2018年11月23日安徽省第十三届人民代表大会常务委员会修订）</w:t>
                  </w:r>
                </w:p>
              </w:tc>
              <w:tc>
                <w:tcPr>
                  <w:tcW w:w="3521" w:type="dxa"/>
                  <w:vAlign w:val="center"/>
                </w:tcPr>
                <w:p w14:paraId="70B46CBC">
                  <w:pPr>
                    <w:pStyle w:val="29"/>
                  </w:pPr>
                  <w:r>
                    <w:t>第十三条 禁止在淮河流域新建化学制浆造纸企业和印染、制革、化工、电镀、酿造等污染严重的小型企业。</w:t>
                  </w:r>
                </w:p>
                <w:p w14:paraId="54BC4A14">
                  <w:pPr>
                    <w:pStyle w:val="29"/>
                  </w:pPr>
                  <w:r>
                    <w:t>严格限制在淮河流域新建印染、制革、化工、电镀、酿造等大中型项目或者其他污染严重的项目；建设该类项目的，应当事前征得省人民政府生态环境行政主管部门的同意，并按照规定办理有关手续。</w:t>
                  </w:r>
                </w:p>
              </w:tc>
              <w:tc>
                <w:tcPr>
                  <w:tcW w:w="2401" w:type="dxa"/>
                  <w:vAlign w:val="center"/>
                </w:tcPr>
                <w:p w14:paraId="5672BCC1">
                  <w:pPr>
                    <w:pStyle w:val="29"/>
                  </w:pPr>
                  <w:r>
                    <w:rPr>
                      <w:rFonts w:hint="eastAsia"/>
                    </w:rPr>
                    <w:t>本项目为C1432速冻食品制造，不属于</w:t>
                  </w:r>
                  <w:r>
                    <w:t>化学制浆造纸企业和印染、制革、化工、电镀、酿造</w:t>
                  </w:r>
                  <w:r>
                    <w:rPr>
                      <w:rFonts w:hint="eastAsia"/>
                    </w:rPr>
                    <w:t>项目。</w:t>
                  </w:r>
                </w:p>
              </w:tc>
              <w:tc>
                <w:tcPr>
                  <w:tcW w:w="641" w:type="dxa"/>
                  <w:vAlign w:val="center"/>
                </w:tcPr>
                <w:p w14:paraId="0AC009A4">
                  <w:pPr>
                    <w:pStyle w:val="29"/>
                  </w:pPr>
                  <w:r>
                    <w:t>符合</w:t>
                  </w:r>
                </w:p>
              </w:tc>
            </w:tr>
            <w:tr w14:paraId="2726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vAlign w:val="center"/>
                </w:tcPr>
                <w:p w14:paraId="6C67DF96">
                  <w:pPr>
                    <w:pStyle w:val="29"/>
                  </w:pPr>
                </w:p>
              </w:tc>
              <w:tc>
                <w:tcPr>
                  <w:tcW w:w="3521" w:type="dxa"/>
                  <w:vAlign w:val="center"/>
                </w:tcPr>
                <w:p w14:paraId="67F96EDB">
                  <w:pPr>
                    <w:pStyle w:val="29"/>
                  </w:pPr>
                  <w:r>
                    <w:t>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w:t>
                  </w:r>
                </w:p>
                <w:p w14:paraId="671EC104">
                  <w:pPr>
                    <w:pStyle w:val="29"/>
                  </w:pPr>
                  <w:r>
                    <w:t>新建、扩建、改建项目，除执行前款规定外，还应当遵守下列规定：</w:t>
                  </w:r>
                </w:p>
                <w:p w14:paraId="21DFA127">
                  <w:pPr>
                    <w:pStyle w:val="29"/>
                  </w:pPr>
                  <w:r>
                    <w:t>（一）新建项目的选址应符合城市总体规划，避开饮用水水源地和对环境有特殊要求的功能区；</w:t>
                  </w:r>
                </w:p>
                <w:p w14:paraId="1B3621D2">
                  <w:pPr>
                    <w:pStyle w:val="29"/>
                  </w:pPr>
                  <w:r>
                    <w:t>（二）采用资源利用率高、污染物排放量少的先进设备和先进工艺；</w:t>
                  </w:r>
                </w:p>
                <w:p w14:paraId="06BC482A">
                  <w:pPr>
                    <w:pStyle w:val="29"/>
                  </w:pPr>
                  <w:r>
                    <w:t>（三）改建、扩建项目和技改项目应当把水污染治理纳入项目内容。</w:t>
                  </w:r>
                </w:p>
              </w:tc>
              <w:tc>
                <w:tcPr>
                  <w:tcW w:w="2401" w:type="dxa"/>
                  <w:vAlign w:val="center"/>
                </w:tcPr>
                <w:p w14:paraId="002922B1">
                  <w:pPr>
                    <w:pStyle w:val="29"/>
                  </w:pPr>
                  <w:r>
                    <w:t>本项目</w:t>
                  </w:r>
                  <w:r>
                    <w:rPr>
                      <w:rFonts w:hint="eastAsia"/>
                    </w:rPr>
                    <w:t>位于安徽淮北相山经济开发区凤冠路3号</w:t>
                  </w:r>
                  <w:r>
                    <w:t>，</w:t>
                  </w:r>
                  <w:r>
                    <w:rPr>
                      <w:rFonts w:hint="eastAsia"/>
                    </w:rPr>
                    <w:t>项目选址符合城市总体规划，</w:t>
                  </w:r>
                  <w:r>
                    <w:t>项目所在区属于淮河流域，距离</w:t>
                  </w:r>
                  <w:r>
                    <w:rPr>
                      <w:rFonts w:hint="eastAsia"/>
                    </w:rPr>
                    <w:t>萧濉新河</w:t>
                  </w:r>
                  <w:r>
                    <w:t>最近距离约</w:t>
                  </w:r>
                  <w:r>
                    <w:rPr>
                      <w:rFonts w:hint="eastAsia"/>
                    </w:rPr>
                    <w:t>267</w:t>
                  </w:r>
                  <w:r>
                    <w:t>m。本次项目</w:t>
                  </w:r>
                  <w:r>
                    <w:rPr>
                      <w:rFonts w:hint="eastAsia"/>
                    </w:rPr>
                    <w:t>生活污水经化粪池预处理后排入园区污水管网；生产废水经污水处理站处理达标后排入园区污水管网，最终排入安徽淮相科技发展有限公司第二污水处理厂</w:t>
                  </w:r>
                  <w:r>
                    <w:t>，对区域地表水体影响小。</w:t>
                  </w:r>
                </w:p>
              </w:tc>
              <w:tc>
                <w:tcPr>
                  <w:tcW w:w="641" w:type="dxa"/>
                  <w:vAlign w:val="center"/>
                </w:tcPr>
                <w:p w14:paraId="452492F4">
                  <w:pPr>
                    <w:pStyle w:val="29"/>
                  </w:pPr>
                  <w:r>
                    <w:t>符合</w:t>
                  </w:r>
                </w:p>
              </w:tc>
            </w:tr>
            <w:tr w14:paraId="2D97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081900B6">
                  <w:pPr>
                    <w:pStyle w:val="29"/>
                  </w:pPr>
                </w:p>
              </w:tc>
              <w:tc>
                <w:tcPr>
                  <w:tcW w:w="3521" w:type="dxa"/>
                  <w:vAlign w:val="center"/>
                </w:tcPr>
                <w:p w14:paraId="423D0B6D">
                  <w:pPr>
                    <w:pStyle w:val="29"/>
                  </w:pPr>
                  <w:r>
                    <w:t>第十六条 在淮河流域城市公共排水设施覆盖区域内，应当实行雨水、污水分流；排水户应当将雨水、污水分别排入公共雨水、污水管网及其附属设施。</w:t>
                  </w:r>
                </w:p>
              </w:tc>
              <w:tc>
                <w:tcPr>
                  <w:tcW w:w="2401" w:type="dxa"/>
                  <w:vAlign w:val="center"/>
                </w:tcPr>
                <w:p w14:paraId="3AEC2F1D">
                  <w:pPr>
                    <w:pStyle w:val="29"/>
                  </w:pPr>
                  <w:r>
                    <w:t>项目实行雨污分流制，雨水进入市政雨水管网；本次项目</w:t>
                  </w:r>
                  <w:r>
                    <w:rPr>
                      <w:rFonts w:hint="eastAsia"/>
                    </w:rPr>
                    <w:t>生活污水经化粪池预处理后排入园区污水管网；生产废水经污水处理站处理达标后排入园区污水管网，最终排入安徽淮相科技发展有限公司第二污水处理厂。</w:t>
                  </w:r>
                </w:p>
              </w:tc>
              <w:tc>
                <w:tcPr>
                  <w:tcW w:w="641" w:type="dxa"/>
                  <w:vAlign w:val="center"/>
                </w:tcPr>
                <w:p w14:paraId="11D82F33">
                  <w:pPr>
                    <w:pStyle w:val="29"/>
                  </w:pPr>
                  <w:r>
                    <w:t>符合</w:t>
                  </w:r>
                </w:p>
              </w:tc>
            </w:tr>
            <w:tr w14:paraId="18B0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vAlign w:val="center"/>
                </w:tcPr>
                <w:p w14:paraId="2510759D">
                  <w:pPr>
                    <w:pStyle w:val="29"/>
                  </w:pPr>
                </w:p>
              </w:tc>
              <w:tc>
                <w:tcPr>
                  <w:tcW w:w="3521" w:type="dxa"/>
                  <w:vAlign w:val="center"/>
                </w:tcPr>
                <w:p w14:paraId="037CDA76">
                  <w:pPr>
                    <w:pStyle w:val="29"/>
                    <w:jc w:val="both"/>
                  </w:pPr>
                  <w:r>
                    <w:t>第十九条 禁止下列行为：</w:t>
                  </w:r>
                </w:p>
                <w:p w14:paraId="67D58CD9">
                  <w:pPr>
                    <w:pStyle w:val="29"/>
                    <w:jc w:val="both"/>
                  </w:pPr>
                  <w:r>
                    <w:rPr>
                      <w:rFonts w:hint="eastAsia"/>
                    </w:rPr>
                    <w:t>（</w:t>
                  </w:r>
                  <w:r>
                    <w:t>一</w:t>
                  </w:r>
                  <w:r>
                    <w:rPr>
                      <w:rFonts w:hint="eastAsia"/>
                    </w:rPr>
                    <w:t>）</w:t>
                  </w:r>
                  <w:r>
                    <w:t>向水体排放或者倾倒油类、酸液、碱液和其他有毒有害液体；</w:t>
                  </w:r>
                </w:p>
                <w:p w14:paraId="06895294">
                  <w:pPr>
                    <w:pStyle w:val="29"/>
                    <w:jc w:val="both"/>
                  </w:pPr>
                  <w:r>
                    <w:rPr>
                      <w:rFonts w:hint="eastAsia"/>
                    </w:rPr>
                    <w:t>（</w:t>
                  </w:r>
                  <w:r>
                    <w:t>二</w:t>
                  </w:r>
                  <w:r>
                    <w:rPr>
                      <w:rFonts w:hint="eastAsia"/>
                    </w:rPr>
                    <w:t>）</w:t>
                  </w:r>
                  <w:r>
                    <w:t>在水体中清洗装贮过有毒有害污染物的车辆、船舶和容器；</w:t>
                  </w:r>
                </w:p>
                <w:p w14:paraId="5D31A0E6">
                  <w:pPr>
                    <w:pStyle w:val="29"/>
                    <w:jc w:val="both"/>
                  </w:pPr>
                  <w:r>
                    <w:rPr>
                      <w:rFonts w:hint="eastAsia"/>
                    </w:rPr>
                    <w:t>（</w:t>
                  </w:r>
                  <w:r>
                    <w:t>三</w:t>
                  </w:r>
                  <w:r>
                    <w:rPr>
                      <w:rFonts w:hint="eastAsia"/>
                    </w:rPr>
                    <w:t>）</w:t>
                  </w:r>
                  <w:r>
                    <w:t>向水体排放、倾倒含有汞、镉、砷、铬、铅、氰化物、黄磷等可溶性剧毒废液或者将上述物质直接埋入地下；</w:t>
                  </w:r>
                </w:p>
                <w:p w14:paraId="53F68D0B">
                  <w:pPr>
                    <w:pStyle w:val="29"/>
                    <w:jc w:val="both"/>
                  </w:pPr>
                  <w:r>
                    <w:rPr>
                      <w:rFonts w:hint="eastAsia"/>
                    </w:rPr>
                    <w:t>（</w:t>
                  </w:r>
                  <w:r>
                    <w:t>四</w:t>
                  </w:r>
                  <w:r>
                    <w:rPr>
                      <w:rFonts w:hint="eastAsia"/>
                    </w:rPr>
                    <w:t>）</w:t>
                  </w:r>
                  <w:r>
                    <w:t>向水体排放、倾倒工业废渣、城镇垃圾和其他废弃物；</w:t>
                  </w:r>
                </w:p>
                <w:p w14:paraId="348DB1A5">
                  <w:pPr>
                    <w:pStyle w:val="29"/>
                    <w:jc w:val="both"/>
                  </w:pPr>
                  <w:r>
                    <w:rPr>
                      <w:rFonts w:hint="eastAsia"/>
                    </w:rPr>
                    <w:t>（</w:t>
                  </w:r>
                  <w:r>
                    <w:t>五</w:t>
                  </w:r>
                  <w:r>
                    <w:rPr>
                      <w:rFonts w:hint="eastAsia"/>
                    </w:rPr>
                    <w:t>）</w:t>
                  </w:r>
                  <w:r>
                    <w:t>向水体排放、倾倒放射性固体废弃物或者放射性废水；</w:t>
                  </w:r>
                </w:p>
                <w:p w14:paraId="3AE4C7D4">
                  <w:pPr>
                    <w:pStyle w:val="29"/>
                    <w:jc w:val="both"/>
                  </w:pPr>
                  <w:r>
                    <w:rPr>
                      <w:rFonts w:hint="eastAsia"/>
                    </w:rPr>
                    <w:t>（</w:t>
                  </w:r>
                  <w:r>
                    <w:t>六</w:t>
                  </w:r>
                  <w:r>
                    <w:rPr>
                      <w:rFonts w:hint="eastAsia"/>
                    </w:rPr>
                    <w:t>）</w:t>
                  </w:r>
                  <w:r>
                    <w:t>利用渗井、渗坑、裂隙、溶洞、塌陷区和废弃矿坑排放、倾倒，或者利用无防渗措施的沟渠、坑塘输送或者存贮含毒污染物或者病原体的废水和其他废弃物；</w:t>
                  </w:r>
                </w:p>
                <w:p w14:paraId="75D2F564">
                  <w:pPr>
                    <w:pStyle w:val="29"/>
                    <w:jc w:val="both"/>
                  </w:pPr>
                  <w:r>
                    <w:rPr>
                      <w:rFonts w:hint="eastAsia"/>
                    </w:rPr>
                    <w:t>（</w:t>
                  </w:r>
                  <w:r>
                    <w:t>七</w:t>
                  </w:r>
                  <w:r>
                    <w:rPr>
                      <w:rFonts w:hint="eastAsia"/>
                    </w:rPr>
                    <w:t>）</w:t>
                  </w:r>
                  <w:r>
                    <w:t>在河流、湖泊、运河、渠道、水库最高水位线以下的滩地和岸坡堆放、贮存固体废弃物和其他污染物；</w:t>
                  </w:r>
                </w:p>
                <w:p w14:paraId="391CF451">
                  <w:pPr>
                    <w:pStyle w:val="29"/>
                    <w:jc w:val="both"/>
                  </w:pPr>
                  <w:r>
                    <w:rPr>
                      <w:rFonts w:hint="eastAsia"/>
                    </w:rPr>
                    <w:t>（</w:t>
                  </w:r>
                  <w:r>
                    <w:t>八</w:t>
                  </w:r>
                  <w:r>
                    <w:rPr>
                      <w:rFonts w:hint="eastAsia"/>
                    </w:rPr>
                    <w:t>）</w:t>
                  </w:r>
                  <w:r>
                    <w:t>围湖和其他破坏水环境生态平衡的活动；</w:t>
                  </w:r>
                </w:p>
                <w:p w14:paraId="26D58BFD">
                  <w:pPr>
                    <w:pStyle w:val="29"/>
                    <w:jc w:val="both"/>
                  </w:pPr>
                  <w:r>
                    <w:rPr>
                      <w:rFonts w:hint="eastAsia"/>
                    </w:rPr>
                    <w:t>（</w:t>
                  </w:r>
                  <w:r>
                    <w:t>九</w:t>
                  </w:r>
                  <w:r>
                    <w:rPr>
                      <w:rFonts w:hint="eastAsia"/>
                    </w:rPr>
                    <w:t>）</w:t>
                  </w:r>
                  <w:r>
                    <w:t>引进不符合国家环境保护规定要求的技术和设备；</w:t>
                  </w:r>
                </w:p>
                <w:p w14:paraId="6968241A">
                  <w:pPr>
                    <w:pStyle w:val="29"/>
                    <w:jc w:val="both"/>
                  </w:pPr>
                  <w:r>
                    <w:rPr>
                      <w:rFonts w:hint="eastAsia"/>
                    </w:rPr>
                    <w:t>（</w:t>
                  </w:r>
                  <w:r>
                    <w:t>十</w:t>
                  </w:r>
                  <w:r>
                    <w:rPr>
                      <w:rFonts w:hint="eastAsia"/>
                    </w:rPr>
                    <w:t>）</w:t>
                  </w:r>
                  <w:r>
                    <w:t>法律、法规禁止的其他行为。</w:t>
                  </w:r>
                </w:p>
              </w:tc>
              <w:tc>
                <w:tcPr>
                  <w:tcW w:w="2401" w:type="dxa"/>
                  <w:vAlign w:val="center"/>
                </w:tcPr>
                <w:p w14:paraId="5B3DE651">
                  <w:pPr>
                    <w:pStyle w:val="29"/>
                  </w:pPr>
                  <w:r>
                    <w:t>项目建成后严格按照要求进行废气处理</w:t>
                  </w:r>
                  <w:r>
                    <w:rPr>
                      <w:rFonts w:hint="eastAsia"/>
                    </w:rPr>
                    <w:t>、废水处理</w:t>
                  </w:r>
                  <w:r>
                    <w:t>及固废处置，严格按照相关法律、法规要求进行日常生产活动</w:t>
                  </w:r>
                  <w:r>
                    <w:rPr>
                      <w:rFonts w:hint="eastAsia"/>
                    </w:rPr>
                    <w:t>，本项目生活污水经化粪池预处理后与经过污水处理站处理的生产废水进入安徽淮相科技发展有限公司第二污水处理厂，不会向水体排放废水。</w:t>
                  </w:r>
                </w:p>
              </w:tc>
              <w:tc>
                <w:tcPr>
                  <w:tcW w:w="641" w:type="dxa"/>
                  <w:vAlign w:val="center"/>
                </w:tcPr>
                <w:p w14:paraId="70B98857">
                  <w:pPr>
                    <w:pStyle w:val="29"/>
                  </w:pPr>
                  <w:r>
                    <w:t>符合</w:t>
                  </w:r>
                </w:p>
              </w:tc>
            </w:tr>
          </w:tbl>
          <w:p w14:paraId="4255F79B">
            <w:r>
              <w:rPr>
                <w:rFonts w:hint="eastAsia"/>
              </w:rPr>
              <w:t>4、与《空气质量持续改善行动计划》（国发〔2023〕24号）相符性分析</w:t>
            </w:r>
          </w:p>
          <w:p w14:paraId="7708BBE3">
            <w:pPr>
              <w:pStyle w:val="32"/>
              <w:rPr>
                <w:rFonts w:hint="default"/>
              </w:rPr>
            </w:pPr>
            <w:r>
              <w:t>表1-5  与《空气质量持续改善行动计划》（国发〔2023〕24号）相符性分析</w:t>
            </w:r>
          </w:p>
          <w:tbl>
            <w:tblPr>
              <w:tblStyle w:val="22"/>
              <w:tblW w:w="75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00"/>
              <w:gridCol w:w="888"/>
              <w:gridCol w:w="850"/>
            </w:tblGrid>
            <w:tr w14:paraId="286BE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00" w:type="dxa"/>
                  <w:tcBorders>
                    <w:tl2br w:val="nil"/>
                    <w:tr2bl w:val="nil"/>
                  </w:tcBorders>
                  <w:vAlign w:val="center"/>
                </w:tcPr>
                <w:p w14:paraId="251CF7B7">
                  <w:pPr>
                    <w:pStyle w:val="29"/>
                  </w:pPr>
                  <w:r>
                    <w:t>与本项目相关的要求</w:t>
                  </w:r>
                </w:p>
              </w:tc>
              <w:tc>
                <w:tcPr>
                  <w:tcW w:w="888" w:type="dxa"/>
                  <w:tcBorders>
                    <w:tl2br w:val="nil"/>
                    <w:tr2bl w:val="nil"/>
                  </w:tcBorders>
                  <w:vAlign w:val="center"/>
                </w:tcPr>
                <w:p w14:paraId="6357F1E2">
                  <w:pPr>
                    <w:pStyle w:val="29"/>
                  </w:pPr>
                  <w:r>
                    <w:t>本项目情况</w:t>
                  </w:r>
                </w:p>
              </w:tc>
              <w:tc>
                <w:tcPr>
                  <w:tcW w:w="850" w:type="dxa"/>
                  <w:tcBorders>
                    <w:tl2br w:val="nil"/>
                    <w:tr2bl w:val="nil"/>
                  </w:tcBorders>
                  <w:vAlign w:val="center"/>
                </w:tcPr>
                <w:p w14:paraId="3FE7531A">
                  <w:pPr>
                    <w:pStyle w:val="29"/>
                  </w:pPr>
                  <w:r>
                    <w:t>相符</w:t>
                  </w:r>
                  <w:r>
                    <w:rPr>
                      <w:rFonts w:hint="eastAsia"/>
                    </w:rPr>
                    <w:t>性分析</w:t>
                  </w:r>
                </w:p>
              </w:tc>
            </w:tr>
            <w:tr w14:paraId="5D652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800" w:type="dxa"/>
                  <w:tcBorders>
                    <w:tl2br w:val="nil"/>
                    <w:tr2bl w:val="nil"/>
                  </w:tcBorders>
                  <w:vAlign w:val="center"/>
                </w:tcPr>
                <w:p w14:paraId="4F1AC86E">
                  <w:pPr>
                    <w:pStyle w:val="29"/>
                  </w:pPr>
                  <w:r>
                    <w:rPr>
                      <w:rFonts w:hint="eastAsia"/>
                    </w:rPr>
                    <w:t>严格合理控制煤炭消费总量。在保障能源安全供应的前提下，重点区域继续实施煤炭消费总量控制。到2025年，京津冀及周边地区、长三角地区煤炭消费量较2020年分别下降10%和5%左右，汾渭平原煤炭消费量实现负增长，重点削减非电力用煤。重点区域新改扩建用煤项目，依法实行煤炭等量或减量替代，替代方案不完善的不予审批；不得将使用石油焦、焦炭、兰炭等高污染燃料作为煤炭减量替代措施。完善重点区域煤炭消费减量替代管理办法，煤矸石、原料用煤不纳入煤炭消费总量考核。原则上不再新增自备燃煤机组，支持自备燃煤机组实施清洁能源替代。对支撑电力稳定供应、电网安全运行、清洁能源大规模并网消纳的煤电项目及其用煤量应予以合理保障。</w:t>
                  </w:r>
                </w:p>
              </w:tc>
              <w:tc>
                <w:tcPr>
                  <w:tcW w:w="888" w:type="dxa"/>
                  <w:tcBorders>
                    <w:tl2br w:val="nil"/>
                    <w:tr2bl w:val="nil"/>
                  </w:tcBorders>
                  <w:vAlign w:val="center"/>
                </w:tcPr>
                <w:p w14:paraId="518812A1">
                  <w:pPr>
                    <w:pStyle w:val="29"/>
                  </w:pPr>
                  <w:r>
                    <w:t>项目</w:t>
                  </w:r>
                  <w:r>
                    <w:rPr>
                      <w:rFonts w:hint="eastAsia"/>
                    </w:rPr>
                    <w:t>使用外购的液化石油气提供热量，不使用煤炭。</w:t>
                  </w:r>
                </w:p>
              </w:tc>
              <w:tc>
                <w:tcPr>
                  <w:tcW w:w="850" w:type="dxa"/>
                  <w:tcBorders>
                    <w:tl2br w:val="nil"/>
                    <w:tr2bl w:val="nil"/>
                  </w:tcBorders>
                  <w:vAlign w:val="center"/>
                </w:tcPr>
                <w:p w14:paraId="6C3F8F31">
                  <w:pPr>
                    <w:pStyle w:val="29"/>
                  </w:pPr>
                  <w:r>
                    <w:rPr>
                      <w:rFonts w:hint="eastAsia"/>
                    </w:rPr>
                    <w:t>符合</w:t>
                  </w:r>
                </w:p>
              </w:tc>
            </w:tr>
            <w:tr w14:paraId="03A75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0" w:type="dxa"/>
                  <w:tcBorders>
                    <w:tl2br w:val="nil"/>
                    <w:tr2bl w:val="nil"/>
                  </w:tcBorders>
                  <w:vAlign w:val="center"/>
                </w:tcPr>
                <w:p w14:paraId="0CF3710D">
                  <w:pPr>
                    <w:pStyle w:val="29"/>
                  </w:pPr>
                  <w:r>
                    <w:rPr>
                      <w:rFonts w:hint="eastAsia"/>
                    </w:rPr>
                    <w:t>积极开展燃煤锅炉关停整合。各地要将燃煤供热锅炉替代项目纳入城镇供热规划。县级及以上城市建成区原则上不再新建35蒸吨/小时及以下燃煤锅炉，重点区域原则上不再新建除集中供暖外的燃煤锅炉。加快热力管网建设，依托电厂、大型工业企业开展远距离供热示范，淘汰管网覆盖范围内的燃煤锅炉和散煤。到2025年，PM</w:t>
                  </w:r>
                  <w:r>
                    <w:rPr>
                      <w:rFonts w:hint="eastAsia"/>
                      <w:vertAlign w:val="subscript"/>
                    </w:rPr>
                    <w:t>2.5</w:t>
                  </w:r>
                  <w:r>
                    <w:rPr>
                      <w:rFonts w:hint="eastAsia"/>
                    </w:rPr>
                    <w:t>未达标城市基本淘汰10蒸吨/小时及以下燃煤锅炉；重点区域基本淘汰35蒸吨/小时及以下燃煤锅炉及茶水炉、经营性炉灶、储粮烘干设备、农产品加工等燃煤设施，充分发挥30万千瓦及以上热电联产电厂的供热能力，对其供热半径30公里范围内的燃煤锅炉和落后燃煤小热电机组（含自备电厂）进行关停或整合。</w:t>
                  </w:r>
                </w:p>
              </w:tc>
              <w:tc>
                <w:tcPr>
                  <w:tcW w:w="888" w:type="dxa"/>
                  <w:tcBorders>
                    <w:tl2br w:val="nil"/>
                    <w:tr2bl w:val="nil"/>
                  </w:tcBorders>
                  <w:vAlign w:val="center"/>
                </w:tcPr>
                <w:p w14:paraId="7244BE83">
                  <w:pPr>
                    <w:pStyle w:val="29"/>
                  </w:pPr>
                  <w:r>
                    <w:t>项目</w:t>
                  </w:r>
                  <w:r>
                    <w:rPr>
                      <w:rFonts w:hint="eastAsia"/>
                    </w:rPr>
                    <w:t>使用外购的液化石油气提供热量，不使用煤炭。</w:t>
                  </w:r>
                </w:p>
              </w:tc>
              <w:tc>
                <w:tcPr>
                  <w:tcW w:w="850" w:type="dxa"/>
                  <w:tcBorders>
                    <w:tl2br w:val="nil"/>
                    <w:tr2bl w:val="nil"/>
                  </w:tcBorders>
                  <w:vAlign w:val="center"/>
                </w:tcPr>
                <w:p w14:paraId="524D89AC">
                  <w:pPr>
                    <w:pStyle w:val="29"/>
                  </w:pPr>
                  <w:r>
                    <w:rPr>
                      <w:rFonts w:hint="eastAsia"/>
                    </w:rPr>
                    <w:t>相符</w:t>
                  </w:r>
                </w:p>
              </w:tc>
            </w:tr>
          </w:tbl>
          <w:p w14:paraId="4693C216">
            <w:r>
              <w:rPr>
                <w:rFonts w:hint="eastAsia"/>
              </w:rPr>
              <w:t>5、本项目与《淮北市生态环境保护“十四五”规划》（2022年1月，淮环〔2022〕1号）的相符性分析</w:t>
            </w:r>
          </w:p>
          <w:p w14:paraId="2D8992F2">
            <w:pPr>
              <w:pStyle w:val="32"/>
              <w:rPr>
                <w:rFonts w:hint="default"/>
              </w:rPr>
            </w:pPr>
            <w:r>
              <w:t>表1-6  项目与《淮北市生态环境保护“十四五”规划》相符性分析</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3811"/>
              <w:gridCol w:w="2511"/>
              <w:gridCol w:w="722"/>
            </w:tblGrid>
            <w:tr w14:paraId="2A36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 w:type="pct"/>
                  <w:vAlign w:val="center"/>
                </w:tcPr>
                <w:p w14:paraId="11D7164C">
                  <w:pPr>
                    <w:pStyle w:val="29"/>
                  </w:pPr>
                  <w:r>
                    <w:rPr>
                      <w:rFonts w:hint="eastAsia"/>
                    </w:rPr>
                    <w:t>序号</w:t>
                  </w:r>
                </w:p>
              </w:tc>
              <w:tc>
                <w:tcPr>
                  <w:tcW w:w="2565" w:type="pct"/>
                  <w:vAlign w:val="center"/>
                </w:tcPr>
                <w:p w14:paraId="037F26EC">
                  <w:pPr>
                    <w:pStyle w:val="29"/>
                  </w:pPr>
                  <w:r>
                    <w:rPr>
                      <w:rFonts w:hint="eastAsia"/>
                    </w:rPr>
                    <w:t>规划要求</w:t>
                  </w:r>
                </w:p>
              </w:tc>
              <w:tc>
                <w:tcPr>
                  <w:tcW w:w="1690" w:type="pct"/>
                  <w:vAlign w:val="center"/>
                </w:tcPr>
                <w:p w14:paraId="4004DFE3">
                  <w:pPr>
                    <w:pStyle w:val="29"/>
                  </w:pPr>
                  <w:r>
                    <w:rPr>
                      <w:rFonts w:hint="eastAsia"/>
                    </w:rPr>
                    <w:t>本项目情况</w:t>
                  </w:r>
                </w:p>
              </w:tc>
              <w:tc>
                <w:tcPr>
                  <w:tcW w:w="486" w:type="pct"/>
                  <w:vAlign w:val="center"/>
                </w:tcPr>
                <w:p w14:paraId="160DCB21">
                  <w:pPr>
                    <w:pStyle w:val="29"/>
                  </w:pPr>
                  <w:r>
                    <w:rPr>
                      <w:rFonts w:hint="eastAsia"/>
                    </w:rPr>
                    <w:t>是否符合</w:t>
                  </w:r>
                </w:p>
              </w:tc>
            </w:tr>
            <w:tr w14:paraId="7FC5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 w:type="pct"/>
                  <w:vAlign w:val="center"/>
                </w:tcPr>
                <w:p w14:paraId="03D8997C">
                  <w:pPr>
                    <w:pStyle w:val="29"/>
                  </w:pPr>
                  <w:r>
                    <w:t>1</w:t>
                  </w:r>
                </w:p>
              </w:tc>
              <w:tc>
                <w:tcPr>
                  <w:tcW w:w="2565" w:type="pct"/>
                  <w:vAlign w:val="center"/>
                </w:tcPr>
                <w:p w14:paraId="2784D61B">
                  <w:pPr>
                    <w:pStyle w:val="29"/>
                  </w:pPr>
                  <w:r>
                    <w:rPr>
                      <w:rFonts w:hint="eastAsia"/>
                    </w:rPr>
                    <w:t>协同推进，持续改善环境空气质量。以降低</w:t>
                  </w:r>
                  <w:r>
                    <w:t>PM</w:t>
                  </w:r>
                  <w:r>
                    <w:rPr>
                      <w:vertAlign w:val="subscript"/>
                    </w:rPr>
                    <w:t>2.5</w:t>
                  </w:r>
                  <w:r>
                    <w:rPr>
                      <w:rFonts w:hint="eastAsia"/>
                    </w:rPr>
                    <w:t>污染为环境空气质量改善的核心目标，推动</w:t>
                  </w:r>
                  <w:r>
                    <w:t>O</w:t>
                  </w:r>
                  <w:r>
                    <w:rPr>
                      <w:vertAlign w:val="subscript"/>
                    </w:rPr>
                    <w:t>3</w:t>
                  </w:r>
                  <w:r>
                    <w:rPr>
                      <w:rFonts w:hint="eastAsia"/>
                    </w:rPr>
                    <w:t>污染的协同控制，以质量改善目标引领大气污染防治布局，采取多种手段推动环境空气质量持续改善。</w:t>
                  </w:r>
                </w:p>
              </w:tc>
              <w:tc>
                <w:tcPr>
                  <w:tcW w:w="1690" w:type="pct"/>
                  <w:vAlign w:val="center"/>
                </w:tcPr>
                <w:p w14:paraId="2E169C28">
                  <w:pPr>
                    <w:pStyle w:val="29"/>
                  </w:pPr>
                  <w:r>
                    <w:rPr>
                      <w:rFonts w:hint="eastAsia"/>
                    </w:rPr>
                    <w:t>炒制过程产生油烟废气经静电油烟处理器处理后15m高排气筒（DA001）排放；</w:t>
                  </w:r>
                  <w:r>
                    <w:rPr>
                      <w:rFonts w:hint="eastAsia"/>
                      <w:color w:val="0000FF"/>
                    </w:rPr>
                    <w:t>蒸汽发生器安装低氮燃烧器，烟气通过15m高排气筒（DA002）排放</w:t>
                  </w:r>
                  <w:r>
                    <w:rPr>
                      <w:rFonts w:hint="eastAsia"/>
                    </w:rPr>
                    <w:t>。</w:t>
                  </w:r>
                </w:p>
              </w:tc>
              <w:tc>
                <w:tcPr>
                  <w:tcW w:w="486" w:type="pct"/>
                  <w:vAlign w:val="center"/>
                </w:tcPr>
                <w:p w14:paraId="347175E9">
                  <w:pPr>
                    <w:pStyle w:val="29"/>
                  </w:pPr>
                  <w:r>
                    <w:rPr>
                      <w:rFonts w:hint="eastAsia"/>
                    </w:rPr>
                    <w:t>相符</w:t>
                  </w:r>
                </w:p>
              </w:tc>
            </w:tr>
            <w:tr w14:paraId="352C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 w:type="pct"/>
                  <w:vAlign w:val="center"/>
                </w:tcPr>
                <w:p w14:paraId="4C7AC991">
                  <w:pPr>
                    <w:pStyle w:val="29"/>
                  </w:pPr>
                  <w:r>
                    <w:t>2</w:t>
                  </w:r>
                </w:p>
              </w:tc>
              <w:tc>
                <w:tcPr>
                  <w:tcW w:w="2565" w:type="pct"/>
                  <w:vAlign w:val="center"/>
                </w:tcPr>
                <w:p w14:paraId="1D939253">
                  <w:pPr>
                    <w:pStyle w:val="29"/>
                  </w:pPr>
                  <w:r>
                    <w:rPr>
                      <w:rFonts w:hint="eastAsia"/>
                    </w:rPr>
                    <w:t>推进移动源污染防治。推进重型柴油车远程排放在线监管，基本消除柴油货车和工程机械冒黑烟现象，基本完成非道路移动机械编码登记和上牌，推广使用新能源和清洁能源非道路移动机械。</w:t>
                  </w:r>
                </w:p>
              </w:tc>
              <w:tc>
                <w:tcPr>
                  <w:tcW w:w="1690" w:type="pct"/>
                  <w:vAlign w:val="center"/>
                </w:tcPr>
                <w:p w14:paraId="41613B0A">
                  <w:pPr>
                    <w:pStyle w:val="29"/>
                  </w:pPr>
                  <w:r>
                    <w:t>本项目原辅材料及产品运输不使用国</w:t>
                  </w:r>
                  <w:r>
                    <w:rPr>
                      <w:rFonts w:hint="eastAsia"/>
                      <w:lang w:eastAsia="ja-JP"/>
                    </w:rPr>
                    <w:t>Ⅳ</w:t>
                  </w:r>
                  <w:r>
                    <w:t>以下车辆运输，环评要求使用符合污染控制要求的运输机械</w:t>
                  </w:r>
                  <w:r>
                    <w:rPr>
                      <w:rFonts w:hint="eastAsia"/>
                    </w:rPr>
                    <w:t>。</w:t>
                  </w:r>
                </w:p>
              </w:tc>
              <w:tc>
                <w:tcPr>
                  <w:tcW w:w="486" w:type="pct"/>
                  <w:vAlign w:val="center"/>
                </w:tcPr>
                <w:p w14:paraId="4A22D403">
                  <w:pPr>
                    <w:pStyle w:val="29"/>
                  </w:pPr>
                  <w:r>
                    <w:rPr>
                      <w:rFonts w:hint="eastAsia"/>
                    </w:rPr>
                    <w:t>相符</w:t>
                  </w:r>
                </w:p>
              </w:tc>
            </w:tr>
            <w:tr w14:paraId="2600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 w:type="pct"/>
                  <w:vAlign w:val="center"/>
                </w:tcPr>
                <w:p w14:paraId="7EC7FC09">
                  <w:pPr>
                    <w:pStyle w:val="29"/>
                  </w:pPr>
                  <w:r>
                    <w:t>3</w:t>
                  </w:r>
                </w:p>
              </w:tc>
              <w:tc>
                <w:tcPr>
                  <w:tcW w:w="2565" w:type="pct"/>
                  <w:vAlign w:val="center"/>
                </w:tcPr>
                <w:p w14:paraId="591CED30">
                  <w:pPr>
                    <w:pStyle w:val="29"/>
                  </w:pPr>
                  <w:r>
                    <w:rPr>
                      <w:rFonts w:hint="eastAsia"/>
                    </w:rPr>
                    <w:t>强化面源污染治理。加强施工扬尘综合治理，严格落实“六个百分之百”扬尘防控长效机制。</w:t>
                  </w:r>
                </w:p>
              </w:tc>
              <w:tc>
                <w:tcPr>
                  <w:tcW w:w="1690" w:type="pct"/>
                  <w:vAlign w:val="center"/>
                </w:tcPr>
                <w:p w14:paraId="45C43775">
                  <w:pPr>
                    <w:pStyle w:val="29"/>
                  </w:pPr>
                  <w:r>
                    <w:rPr>
                      <w:rFonts w:hint="eastAsia"/>
                    </w:rPr>
                    <w:t>本项目租赁已建厂房建设，仅安装设备。</w:t>
                  </w:r>
                </w:p>
              </w:tc>
              <w:tc>
                <w:tcPr>
                  <w:tcW w:w="486" w:type="pct"/>
                  <w:vAlign w:val="center"/>
                </w:tcPr>
                <w:p w14:paraId="1390685C">
                  <w:pPr>
                    <w:pStyle w:val="29"/>
                  </w:pPr>
                  <w:r>
                    <w:rPr>
                      <w:rFonts w:hint="eastAsia"/>
                    </w:rPr>
                    <w:t>相符</w:t>
                  </w:r>
                </w:p>
              </w:tc>
            </w:tr>
            <w:tr w14:paraId="1AAF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 w:type="pct"/>
                  <w:vAlign w:val="center"/>
                </w:tcPr>
                <w:p w14:paraId="762E9CE4">
                  <w:pPr>
                    <w:pStyle w:val="29"/>
                  </w:pPr>
                  <w:r>
                    <w:rPr>
                      <w:rFonts w:hint="eastAsia"/>
                    </w:rPr>
                    <w:t>4</w:t>
                  </w:r>
                </w:p>
              </w:tc>
              <w:tc>
                <w:tcPr>
                  <w:tcW w:w="2565" w:type="pct"/>
                  <w:vAlign w:val="center"/>
                </w:tcPr>
                <w:p w14:paraId="7545DC1F">
                  <w:pPr>
                    <w:pStyle w:val="29"/>
                  </w:pPr>
                  <w:r>
                    <w:t>加强固定源污染综合治理。深入开展锅炉综合整治，全面淘汰35蒸吨/小时以下燃煤锅炉，持续开展燃气锅炉低氮改造和建成区生物质锅炉超低排放改造或淘汰。城市建成区原则上不再新建每小时65蒸吨以下的燃煤锅炉，65蒸吨/小时及以上燃煤锅炉完成超低排放改造，主要污染物排放达到超低排放标准要求，安装大气污染源自动监控设备，并与省、市生态环境部门联网。</w:t>
                  </w:r>
                </w:p>
              </w:tc>
              <w:tc>
                <w:tcPr>
                  <w:tcW w:w="1690" w:type="pct"/>
                  <w:vAlign w:val="center"/>
                </w:tcPr>
                <w:p w14:paraId="141A96DD">
                  <w:pPr>
                    <w:pStyle w:val="29"/>
                  </w:pPr>
                  <w:r>
                    <w:t>项目</w:t>
                  </w:r>
                  <w:r>
                    <w:rPr>
                      <w:rFonts w:hint="eastAsia"/>
                    </w:rPr>
                    <w:t>使用电作为能源，外购液化石油气提供热能，不涉及锅炉使用。</w:t>
                  </w:r>
                </w:p>
              </w:tc>
              <w:tc>
                <w:tcPr>
                  <w:tcW w:w="486" w:type="pct"/>
                  <w:vAlign w:val="center"/>
                </w:tcPr>
                <w:p w14:paraId="5B1A4AAA">
                  <w:pPr>
                    <w:pStyle w:val="29"/>
                  </w:pPr>
                  <w:r>
                    <w:rPr>
                      <w:rFonts w:hint="eastAsia"/>
                    </w:rPr>
                    <w:t>相符</w:t>
                  </w:r>
                </w:p>
              </w:tc>
            </w:tr>
          </w:tbl>
          <w:p w14:paraId="5129036A">
            <w:pPr>
              <w:pStyle w:val="32"/>
              <w:spacing w:line="360" w:lineRule="auto"/>
              <w:ind w:firstLine="480" w:firstLineChars="200"/>
              <w:jc w:val="both"/>
              <w:rPr>
                <w:rFonts w:hint="default"/>
                <w:b w:val="0"/>
                <w:bCs/>
              </w:rPr>
            </w:pPr>
            <w:r>
              <w:rPr>
                <w:b w:val="0"/>
                <w:bCs/>
              </w:rPr>
              <w:t>6、与《关于生产和使用消耗臭氧层物质建设项目管理有关工作的通知》（环大气﹝2018﹞5号）相符性分析</w:t>
            </w:r>
          </w:p>
          <w:p w14:paraId="2D74D49F">
            <w:pPr>
              <w:pStyle w:val="32"/>
              <w:rPr>
                <w:rFonts w:hint="default"/>
              </w:rPr>
            </w:pPr>
            <w:r>
              <w:t>表1-7  项目与《关于生产和使用消耗臭氧层物质建设项目管理有关工作的通知</w:t>
            </w:r>
            <w:r>
              <w:rPr>
                <w:bCs/>
              </w:rPr>
              <w:t>》</w:t>
            </w:r>
            <w:r>
              <w:t>（环大气﹝2018﹞5号）相符性分析</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961"/>
              <w:gridCol w:w="2891"/>
              <w:gridCol w:w="934"/>
            </w:tblGrid>
            <w:tr w14:paraId="288E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3" w:type="pct"/>
                  <w:vAlign w:val="center"/>
                </w:tcPr>
                <w:p w14:paraId="760DACCD">
                  <w:pPr>
                    <w:pStyle w:val="32"/>
                    <w:rPr>
                      <w:rFonts w:hint="default"/>
                      <w:b w:val="0"/>
                      <w:bCs/>
                      <w:sz w:val="21"/>
                      <w:szCs w:val="21"/>
                    </w:rPr>
                  </w:pPr>
                  <w:r>
                    <w:rPr>
                      <w:b w:val="0"/>
                      <w:bCs/>
                      <w:sz w:val="21"/>
                      <w:szCs w:val="21"/>
                    </w:rPr>
                    <w:t>文件名称</w:t>
                  </w:r>
                </w:p>
              </w:tc>
              <w:tc>
                <w:tcPr>
                  <w:tcW w:w="1321" w:type="pct"/>
                  <w:vAlign w:val="center"/>
                </w:tcPr>
                <w:p w14:paraId="05AB3AE6">
                  <w:pPr>
                    <w:pStyle w:val="32"/>
                    <w:rPr>
                      <w:rFonts w:hint="default"/>
                      <w:b w:val="0"/>
                      <w:bCs/>
                      <w:sz w:val="21"/>
                      <w:szCs w:val="21"/>
                    </w:rPr>
                  </w:pPr>
                  <w:r>
                    <w:rPr>
                      <w:b w:val="0"/>
                      <w:bCs/>
                      <w:sz w:val="21"/>
                      <w:szCs w:val="21"/>
                    </w:rPr>
                    <w:t>相关要求</w:t>
                  </w:r>
                </w:p>
              </w:tc>
              <w:tc>
                <w:tcPr>
                  <w:tcW w:w="1947" w:type="pct"/>
                  <w:vAlign w:val="center"/>
                </w:tcPr>
                <w:p w14:paraId="14FF37F0">
                  <w:pPr>
                    <w:pStyle w:val="32"/>
                    <w:rPr>
                      <w:rFonts w:hint="default"/>
                      <w:b w:val="0"/>
                      <w:bCs/>
                      <w:sz w:val="21"/>
                      <w:szCs w:val="21"/>
                    </w:rPr>
                  </w:pPr>
                  <w:r>
                    <w:rPr>
                      <w:b w:val="0"/>
                      <w:bCs/>
                      <w:sz w:val="21"/>
                      <w:szCs w:val="21"/>
                    </w:rPr>
                    <w:t>本项目情况</w:t>
                  </w:r>
                </w:p>
              </w:tc>
              <w:tc>
                <w:tcPr>
                  <w:tcW w:w="627" w:type="pct"/>
                  <w:vAlign w:val="center"/>
                </w:tcPr>
                <w:p w14:paraId="1E11B660">
                  <w:pPr>
                    <w:pStyle w:val="32"/>
                    <w:rPr>
                      <w:rFonts w:hint="default"/>
                      <w:b w:val="0"/>
                      <w:bCs/>
                      <w:sz w:val="21"/>
                      <w:szCs w:val="21"/>
                    </w:rPr>
                  </w:pPr>
                  <w:r>
                    <w:rPr>
                      <w:b w:val="0"/>
                      <w:bCs/>
                      <w:sz w:val="21"/>
                      <w:szCs w:val="21"/>
                    </w:rPr>
                    <w:t>符合性</w:t>
                  </w:r>
                </w:p>
              </w:tc>
            </w:tr>
            <w:tr w14:paraId="20D2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3" w:type="pct"/>
                  <w:vAlign w:val="center"/>
                </w:tcPr>
                <w:p w14:paraId="742A5EF7">
                  <w:pPr>
                    <w:pStyle w:val="32"/>
                    <w:rPr>
                      <w:rFonts w:hint="default"/>
                      <w:b w:val="0"/>
                      <w:bCs/>
                      <w:sz w:val="21"/>
                      <w:szCs w:val="21"/>
                    </w:rPr>
                  </w:pPr>
                  <w:r>
                    <w:rPr>
                      <w:b w:val="0"/>
                      <w:bCs/>
                      <w:sz w:val="21"/>
                      <w:szCs w:val="21"/>
                    </w:rPr>
                    <w:t>《关于生产和使用消耗臭氧层物质建设项目管理有关工作的通知》（环大气﹝2018﹞5号）</w:t>
                  </w:r>
                </w:p>
              </w:tc>
              <w:tc>
                <w:tcPr>
                  <w:tcW w:w="1321" w:type="pct"/>
                  <w:vAlign w:val="center"/>
                </w:tcPr>
                <w:p w14:paraId="188A2524">
                  <w:pPr>
                    <w:pStyle w:val="32"/>
                    <w:rPr>
                      <w:rFonts w:hint="default"/>
                      <w:b w:val="0"/>
                      <w:bCs/>
                      <w:sz w:val="21"/>
                      <w:szCs w:val="21"/>
                    </w:rPr>
                  </w:pPr>
                  <w:r>
                    <w:rPr>
                      <w:b w:val="0"/>
                      <w:bCs/>
                      <w:sz w:val="21"/>
                      <w:szCs w:val="21"/>
                    </w:rPr>
                    <w:t>禁止新建、扩建生产和使用作为制冷剂、发泡剂、灭火剂、溶剂、清洗剂、加工助剂、气雾剂、土壤熏蒸剂等受控用途的消耗臭氧层物质的建设项目。</w:t>
                  </w:r>
                </w:p>
              </w:tc>
              <w:tc>
                <w:tcPr>
                  <w:tcW w:w="1947" w:type="pct"/>
                  <w:vAlign w:val="center"/>
                </w:tcPr>
                <w:p w14:paraId="06BF8FDA">
                  <w:pPr>
                    <w:pStyle w:val="32"/>
                    <w:rPr>
                      <w:rFonts w:hint="default"/>
                      <w:b w:val="0"/>
                      <w:bCs/>
                      <w:sz w:val="21"/>
                      <w:szCs w:val="21"/>
                    </w:rPr>
                  </w:pPr>
                  <w:r>
                    <w:rPr>
                      <w:b w:val="0"/>
                      <w:bCs/>
                      <w:sz w:val="21"/>
                      <w:szCs w:val="21"/>
                    </w:rPr>
                    <w:t>本项目所使用的制冷剂R507主要成分为五氟乙烷/三氟乙烷，</w:t>
                  </w:r>
                  <w:r>
                    <w:rPr>
                      <w:b w:val="0"/>
                      <w:bCs/>
                      <w:color w:val="0000FF"/>
                      <w:sz w:val="21"/>
                      <w:szCs w:val="21"/>
                    </w:rPr>
                    <w:t>ODP 值为零</w:t>
                  </w:r>
                  <w:r>
                    <w:rPr>
                      <w:b w:val="0"/>
                      <w:bCs/>
                      <w:sz w:val="21"/>
                      <w:szCs w:val="21"/>
                    </w:rPr>
                    <w:t>，不含任何破坏臭氧层的物质，不在《中国受控消耗臭氧层物质清单》（环境保护部、发展改革委、工业和信息化部公告 2010年第 72 号）清单范围内。</w:t>
                  </w:r>
                </w:p>
              </w:tc>
              <w:tc>
                <w:tcPr>
                  <w:tcW w:w="627" w:type="pct"/>
                  <w:vAlign w:val="center"/>
                </w:tcPr>
                <w:p w14:paraId="7DFE5364">
                  <w:pPr>
                    <w:pStyle w:val="32"/>
                    <w:rPr>
                      <w:rFonts w:hint="default"/>
                      <w:b w:val="0"/>
                      <w:bCs/>
                      <w:sz w:val="21"/>
                      <w:szCs w:val="21"/>
                    </w:rPr>
                  </w:pPr>
                  <w:r>
                    <w:rPr>
                      <w:b w:val="0"/>
                      <w:bCs/>
                      <w:sz w:val="21"/>
                      <w:szCs w:val="21"/>
                    </w:rPr>
                    <w:t>符合</w:t>
                  </w:r>
                </w:p>
              </w:tc>
            </w:tr>
            <w:tr w14:paraId="2895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14:paraId="38762C7B">
                  <w:pPr>
                    <w:pStyle w:val="32"/>
                    <w:rPr>
                      <w:rFonts w:hint="default"/>
                      <w:b w:val="0"/>
                      <w:bCs/>
                      <w:sz w:val="21"/>
                      <w:szCs w:val="21"/>
                    </w:rPr>
                  </w:pPr>
                  <w:r>
                    <w:rPr>
                      <w:rFonts w:hint="default"/>
                      <w:b w:val="0"/>
                      <w:bCs/>
                      <w:color w:val="0000FF"/>
                      <w:sz w:val="18"/>
                      <w:szCs w:val="18"/>
                    </w:rPr>
                    <w:t>注：ODP值（臭氧消耗潜势）是指单位质量的某种气体在大气中引起的臭氧总量变化量相对于单位质量的三氯氟甲烷（CFC-11，或称R-11）在大气中引起的臭氧总量变化量的比值。</w:t>
                  </w:r>
                </w:p>
              </w:tc>
            </w:tr>
          </w:tbl>
          <w:p w14:paraId="020AF380">
            <w:pPr>
              <w:pStyle w:val="32"/>
              <w:spacing w:line="360" w:lineRule="auto"/>
              <w:ind w:firstLine="480" w:firstLineChars="200"/>
              <w:jc w:val="both"/>
              <w:rPr>
                <w:rFonts w:hint="default"/>
                <w:b w:val="0"/>
                <w:bCs/>
              </w:rPr>
            </w:pPr>
            <w:r>
              <w:rPr>
                <w:b w:val="0"/>
                <w:bCs/>
              </w:rPr>
              <w:t>综上，本项目符合《关于生产和使用消耗臭氧层物质建设项目管理有关工作的通知》（环大气﹝2018﹞5号）相关要求。</w:t>
            </w:r>
          </w:p>
          <w:p w14:paraId="792C3449">
            <w:pPr>
              <w:pStyle w:val="32"/>
              <w:spacing w:line="360" w:lineRule="auto"/>
              <w:ind w:firstLine="480" w:firstLineChars="200"/>
              <w:jc w:val="both"/>
              <w:rPr>
                <w:rFonts w:hint="default"/>
                <w:b w:val="0"/>
                <w:bCs/>
              </w:rPr>
            </w:pPr>
            <w:r>
              <w:rPr>
                <w:b w:val="0"/>
                <w:bCs/>
              </w:rPr>
              <w:t>7、与《食品安全国家标准食品生产通用卫生规范》（GB14881-2013）选址符合性分析</w:t>
            </w:r>
          </w:p>
          <w:p w14:paraId="2FDEDCF8">
            <w:pPr>
              <w:pStyle w:val="32"/>
              <w:spacing w:line="360" w:lineRule="auto"/>
              <w:ind w:firstLine="480" w:firstLineChars="200"/>
              <w:jc w:val="both"/>
              <w:rPr>
                <w:rFonts w:hint="default"/>
                <w:b w:val="0"/>
                <w:bCs/>
              </w:rPr>
            </w:pPr>
            <w:r>
              <w:rPr>
                <w:b w:val="0"/>
                <w:bCs/>
              </w:rPr>
              <w:t>本项目为速冻食品制造生产企业，项目选址对外环境要求较高。国家颁布的《食品安全国家标准食品生产通用卫生规范》（GB 14881-2013）中对食品厂选址做出了相关要求，将该规范的相关要求与本项目选址进行分析，其符合性情况见下表：</w:t>
            </w:r>
          </w:p>
          <w:p w14:paraId="13CFD7A9">
            <w:pPr>
              <w:pStyle w:val="32"/>
              <w:rPr>
                <w:rFonts w:hint="default"/>
              </w:rPr>
            </w:pPr>
            <w:r>
              <w:t>表1-8  与《食品安全国家标准食品生产通用卫生规范》（GB 14881-2013）</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078"/>
              <w:gridCol w:w="2764"/>
              <w:gridCol w:w="901"/>
            </w:tblGrid>
            <w:tr w14:paraId="0B15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Align w:val="center"/>
                </w:tcPr>
                <w:p w14:paraId="27911F66">
                  <w:pPr>
                    <w:pStyle w:val="32"/>
                    <w:rPr>
                      <w:rFonts w:hint="default"/>
                      <w:b w:val="0"/>
                      <w:bCs/>
                      <w:sz w:val="21"/>
                      <w:szCs w:val="21"/>
                    </w:rPr>
                  </w:pPr>
                  <w:r>
                    <w:rPr>
                      <w:rFonts w:hint="default"/>
                      <w:b w:val="0"/>
                      <w:bCs/>
                      <w:sz w:val="21"/>
                      <w:szCs w:val="21"/>
                    </w:rPr>
                    <w:t>序号</w:t>
                  </w:r>
                </w:p>
              </w:tc>
              <w:tc>
                <w:tcPr>
                  <w:tcW w:w="2072" w:type="pct"/>
                  <w:vAlign w:val="center"/>
                </w:tcPr>
                <w:p w14:paraId="056E5DF5">
                  <w:pPr>
                    <w:pStyle w:val="32"/>
                    <w:rPr>
                      <w:rFonts w:hint="default"/>
                      <w:b w:val="0"/>
                      <w:bCs/>
                      <w:sz w:val="21"/>
                      <w:szCs w:val="21"/>
                    </w:rPr>
                  </w:pPr>
                  <w:r>
                    <w:rPr>
                      <w:rFonts w:hint="default"/>
                      <w:b w:val="0"/>
                      <w:bCs/>
                      <w:sz w:val="21"/>
                      <w:szCs w:val="21"/>
                    </w:rPr>
                    <w:t>要求</w:t>
                  </w:r>
                </w:p>
              </w:tc>
              <w:tc>
                <w:tcPr>
                  <w:tcW w:w="1861" w:type="pct"/>
                  <w:vAlign w:val="center"/>
                </w:tcPr>
                <w:p w14:paraId="76172192">
                  <w:pPr>
                    <w:pStyle w:val="32"/>
                    <w:rPr>
                      <w:rFonts w:hint="default"/>
                      <w:b w:val="0"/>
                      <w:bCs/>
                      <w:sz w:val="21"/>
                      <w:szCs w:val="21"/>
                    </w:rPr>
                  </w:pPr>
                  <w:r>
                    <w:rPr>
                      <w:rFonts w:hint="default"/>
                      <w:b w:val="0"/>
                      <w:bCs/>
                      <w:sz w:val="21"/>
                      <w:szCs w:val="21"/>
                    </w:rPr>
                    <w:t>本项目情况</w:t>
                  </w:r>
                </w:p>
              </w:tc>
              <w:tc>
                <w:tcPr>
                  <w:tcW w:w="607" w:type="pct"/>
                  <w:vAlign w:val="center"/>
                </w:tcPr>
                <w:p w14:paraId="706FC643">
                  <w:pPr>
                    <w:pStyle w:val="32"/>
                    <w:rPr>
                      <w:rFonts w:hint="default"/>
                      <w:b w:val="0"/>
                      <w:bCs/>
                      <w:sz w:val="21"/>
                      <w:szCs w:val="21"/>
                    </w:rPr>
                  </w:pPr>
                  <w:r>
                    <w:rPr>
                      <w:rFonts w:hint="default"/>
                      <w:b w:val="0"/>
                      <w:bCs/>
                      <w:sz w:val="21"/>
                      <w:szCs w:val="21"/>
                    </w:rPr>
                    <w:t>符合性</w:t>
                  </w:r>
                </w:p>
              </w:tc>
            </w:tr>
            <w:tr w14:paraId="5E9F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Align w:val="center"/>
                </w:tcPr>
                <w:p w14:paraId="62FE547C">
                  <w:pPr>
                    <w:pStyle w:val="32"/>
                    <w:rPr>
                      <w:rFonts w:hint="default"/>
                      <w:b w:val="0"/>
                      <w:bCs/>
                      <w:sz w:val="21"/>
                      <w:szCs w:val="21"/>
                    </w:rPr>
                  </w:pPr>
                  <w:r>
                    <w:rPr>
                      <w:rFonts w:hint="default"/>
                      <w:b w:val="0"/>
                      <w:bCs/>
                      <w:sz w:val="21"/>
                      <w:szCs w:val="21"/>
                    </w:rPr>
                    <w:t>3.1.1</w:t>
                  </w:r>
                </w:p>
              </w:tc>
              <w:tc>
                <w:tcPr>
                  <w:tcW w:w="2072" w:type="pct"/>
                  <w:vAlign w:val="center"/>
                </w:tcPr>
                <w:p w14:paraId="51FC0BB0">
                  <w:pPr>
                    <w:pStyle w:val="32"/>
                    <w:rPr>
                      <w:rFonts w:hint="default"/>
                      <w:b w:val="0"/>
                      <w:bCs/>
                      <w:sz w:val="21"/>
                      <w:szCs w:val="21"/>
                    </w:rPr>
                  </w:pPr>
                  <w:r>
                    <w:rPr>
                      <w:rFonts w:hint="default"/>
                      <w:b w:val="0"/>
                      <w:bCs/>
                      <w:sz w:val="21"/>
                      <w:szCs w:val="21"/>
                    </w:rPr>
                    <w:t>厂区不应选择对食品有显著污染的区域。如某地对食品安全和食品宜食用性存在明显的不利影响，且无法通过采取措施加以改善，应避免在该地址建厂。</w:t>
                  </w:r>
                </w:p>
              </w:tc>
              <w:tc>
                <w:tcPr>
                  <w:tcW w:w="1861" w:type="pct"/>
                  <w:vAlign w:val="center"/>
                </w:tcPr>
                <w:p w14:paraId="4D593554">
                  <w:pPr>
                    <w:pStyle w:val="32"/>
                    <w:rPr>
                      <w:rFonts w:hint="default"/>
                      <w:b w:val="0"/>
                      <w:bCs/>
                      <w:sz w:val="21"/>
                      <w:szCs w:val="21"/>
                    </w:rPr>
                  </w:pPr>
                  <w:r>
                    <w:rPr>
                      <w:rFonts w:hint="default"/>
                      <w:b w:val="0"/>
                      <w:bCs/>
                      <w:sz w:val="21"/>
                      <w:szCs w:val="21"/>
                    </w:rPr>
                    <w:t>本项目周边主要为居民、农田、林地及工业企业（食品、建材类），不属于对食品有显著污染的区域。</w:t>
                  </w:r>
                </w:p>
              </w:tc>
              <w:tc>
                <w:tcPr>
                  <w:tcW w:w="607" w:type="pct"/>
                  <w:vAlign w:val="center"/>
                </w:tcPr>
                <w:p w14:paraId="725FC1E9">
                  <w:pPr>
                    <w:pStyle w:val="32"/>
                    <w:rPr>
                      <w:rFonts w:hint="default"/>
                      <w:b w:val="0"/>
                      <w:bCs/>
                      <w:sz w:val="21"/>
                      <w:szCs w:val="21"/>
                    </w:rPr>
                  </w:pPr>
                  <w:r>
                    <w:rPr>
                      <w:rFonts w:hint="default"/>
                      <w:b w:val="0"/>
                      <w:bCs/>
                      <w:sz w:val="21"/>
                      <w:szCs w:val="21"/>
                    </w:rPr>
                    <w:t>符合</w:t>
                  </w:r>
                </w:p>
              </w:tc>
            </w:tr>
            <w:tr w14:paraId="0717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Align w:val="center"/>
                </w:tcPr>
                <w:p w14:paraId="1595663D">
                  <w:pPr>
                    <w:pStyle w:val="32"/>
                    <w:rPr>
                      <w:rFonts w:hint="default"/>
                      <w:b w:val="0"/>
                      <w:bCs/>
                      <w:sz w:val="21"/>
                      <w:szCs w:val="21"/>
                    </w:rPr>
                  </w:pPr>
                  <w:r>
                    <w:rPr>
                      <w:rFonts w:hint="default"/>
                      <w:b w:val="0"/>
                      <w:bCs/>
                      <w:sz w:val="21"/>
                      <w:szCs w:val="21"/>
                    </w:rPr>
                    <w:t>3.1.2</w:t>
                  </w:r>
                </w:p>
              </w:tc>
              <w:tc>
                <w:tcPr>
                  <w:tcW w:w="2072" w:type="pct"/>
                  <w:vAlign w:val="center"/>
                </w:tcPr>
                <w:p w14:paraId="1F7FE710">
                  <w:pPr>
                    <w:pStyle w:val="32"/>
                    <w:rPr>
                      <w:rFonts w:hint="default"/>
                      <w:b w:val="0"/>
                      <w:bCs/>
                      <w:sz w:val="21"/>
                      <w:szCs w:val="21"/>
                    </w:rPr>
                  </w:pPr>
                  <w:r>
                    <w:rPr>
                      <w:rFonts w:hint="default"/>
                      <w:b w:val="0"/>
                      <w:bCs/>
                      <w:sz w:val="21"/>
                      <w:szCs w:val="21"/>
                    </w:rPr>
                    <w:t>厂区不应选择有害废弃物以及粉尘、有害气体、放射性物质和其他扩散性污染源不能有效清除的地址。</w:t>
                  </w:r>
                </w:p>
              </w:tc>
              <w:tc>
                <w:tcPr>
                  <w:tcW w:w="1861" w:type="pct"/>
                  <w:vAlign w:val="center"/>
                </w:tcPr>
                <w:p w14:paraId="08D00D6F">
                  <w:pPr>
                    <w:pStyle w:val="32"/>
                    <w:rPr>
                      <w:rFonts w:hint="default"/>
                      <w:b w:val="0"/>
                      <w:bCs/>
                      <w:sz w:val="21"/>
                      <w:szCs w:val="21"/>
                    </w:rPr>
                  </w:pPr>
                  <w:r>
                    <w:rPr>
                      <w:rFonts w:hint="default"/>
                      <w:b w:val="0"/>
                      <w:bCs/>
                      <w:color w:val="0000FF"/>
                      <w:sz w:val="21"/>
                      <w:szCs w:val="21"/>
                    </w:rPr>
                    <w:t>本项目厂区周围无粉尘、有害气体、放射性物质和其他扩散性污染源不能有效清除的情况</w:t>
                  </w:r>
                  <w:r>
                    <w:rPr>
                      <w:b w:val="0"/>
                      <w:bCs/>
                      <w:color w:val="0000FF"/>
                      <w:sz w:val="21"/>
                      <w:szCs w:val="21"/>
                    </w:rPr>
                    <w:t>。</w:t>
                  </w:r>
                </w:p>
              </w:tc>
              <w:tc>
                <w:tcPr>
                  <w:tcW w:w="607" w:type="pct"/>
                  <w:vAlign w:val="center"/>
                </w:tcPr>
                <w:p w14:paraId="30A00CC7">
                  <w:pPr>
                    <w:pStyle w:val="32"/>
                    <w:rPr>
                      <w:rFonts w:hint="default"/>
                      <w:b w:val="0"/>
                      <w:bCs/>
                      <w:sz w:val="21"/>
                      <w:szCs w:val="21"/>
                    </w:rPr>
                  </w:pPr>
                  <w:r>
                    <w:rPr>
                      <w:rFonts w:hint="default"/>
                      <w:b w:val="0"/>
                      <w:bCs/>
                      <w:sz w:val="21"/>
                      <w:szCs w:val="21"/>
                    </w:rPr>
                    <w:t>符合</w:t>
                  </w:r>
                </w:p>
              </w:tc>
            </w:tr>
            <w:tr w14:paraId="08CB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Align w:val="center"/>
                </w:tcPr>
                <w:p w14:paraId="18F359C9">
                  <w:pPr>
                    <w:pStyle w:val="32"/>
                    <w:rPr>
                      <w:rFonts w:hint="default"/>
                      <w:b w:val="0"/>
                      <w:bCs/>
                      <w:sz w:val="21"/>
                      <w:szCs w:val="21"/>
                    </w:rPr>
                  </w:pPr>
                  <w:r>
                    <w:rPr>
                      <w:rFonts w:hint="default"/>
                      <w:b w:val="0"/>
                      <w:bCs/>
                      <w:sz w:val="21"/>
                      <w:szCs w:val="21"/>
                    </w:rPr>
                    <w:t>3.1.3</w:t>
                  </w:r>
                </w:p>
              </w:tc>
              <w:tc>
                <w:tcPr>
                  <w:tcW w:w="2072" w:type="pct"/>
                  <w:vAlign w:val="center"/>
                </w:tcPr>
                <w:p w14:paraId="4AC83821">
                  <w:pPr>
                    <w:pStyle w:val="32"/>
                    <w:rPr>
                      <w:rFonts w:hint="default"/>
                      <w:b w:val="0"/>
                      <w:bCs/>
                      <w:sz w:val="21"/>
                      <w:szCs w:val="21"/>
                    </w:rPr>
                  </w:pPr>
                  <w:r>
                    <w:rPr>
                      <w:rFonts w:hint="default"/>
                      <w:b w:val="0"/>
                      <w:bCs/>
                      <w:sz w:val="21"/>
                      <w:szCs w:val="21"/>
                    </w:rPr>
                    <w:t>厂区不宜择易发生洪涝灾害的地区，难以避开时应设计必要的防范措施。</w:t>
                  </w:r>
                </w:p>
              </w:tc>
              <w:tc>
                <w:tcPr>
                  <w:tcW w:w="1861" w:type="pct"/>
                  <w:vAlign w:val="center"/>
                </w:tcPr>
                <w:p w14:paraId="7E1E2818">
                  <w:pPr>
                    <w:pStyle w:val="32"/>
                    <w:rPr>
                      <w:rFonts w:hint="default"/>
                      <w:b w:val="0"/>
                      <w:bCs/>
                      <w:sz w:val="21"/>
                      <w:szCs w:val="21"/>
                    </w:rPr>
                  </w:pPr>
                  <w:r>
                    <w:rPr>
                      <w:rFonts w:hint="default"/>
                      <w:b w:val="0"/>
                      <w:bCs/>
                      <w:sz w:val="21"/>
                      <w:szCs w:val="21"/>
                    </w:rPr>
                    <w:t>本项目不属于易发生洪涝灾害的地区，废水经过处理后排放至污水处理厂，雨水经厂界雨水管网排出。</w:t>
                  </w:r>
                </w:p>
              </w:tc>
              <w:tc>
                <w:tcPr>
                  <w:tcW w:w="607" w:type="pct"/>
                  <w:vAlign w:val="center"/>
                </w:tcPr>
                <w:p w14:paraId="65F52650">
                  <w:pPr>
                    <w:pStyle w:val="32"/>
                    <w:rPr>
                      <w:rFonts w:hint="default"/>
                      <w:b w:val="0"/>
                      <w:bCs/>
                      <w:sz w:val="21"/>
                      <w:szCs w:val="21"/>
                    </w:rPr>
                  </w:pPr>
                  <w:r>
                    <w:rPr>
                      <w:rFonts w:hint="default"/>
                      <w:b w:val="0"/>
                      <w:bCs/>
                      <w:sz w:val="21"/>
                      <w:szCs w:val="21"/>
                    </w:rPr>
                    <w:t>符合</w:t>
                  </w:r>
                </w:p>
              </w:tc>
            </w:tr>
            <w:tr w14:paraId="5C5B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Align w:val="center"/>
                </w:tcPr>
                <w:p w14:paraId="0C7E4A2C">
                  <w:pPr>
                    <w:pStyle w:val="32"/>
                    <w:rPr>
                      <w:rFonts w:hint="default"/>
                      <w:b w:val="0"/>
                      <w:bCs/>
                      <w:sz w:val="21"/>
                      <w:szCs w:val="21"/>
                    </w:rPr>
                  </w:pPr>
                  <w:r>
                    <w:rPr>
                      <w:rFonts w:hint="default"/>
                      <w:b w:val="0"/>
                      <w:bCs/>
                      <w:sz w:val="21"/>
                      <w:szCs w:val="21"/>
                    </w:rPr>
                    <w:t>3.1.4</w:t>
                  </w:r>
                </w:p>
              </w:tc>
              <w:tc>
                <w:tcPr>
                  <w:tcW w:w="2072" w:type="pct"/>
                  <w:vAlign w:val="center"/>
                </w:tcPr>
                <w:p w14:paraId="63F038B3">
                  <w:pPr>
                    <w:pStyle w:val="32"/>
                    <w:rPr>
                      <w:rFonts w:hint="default"/>
                      <w:b w:val="0"/>
                      <w:bCs/>
                      <w:sz w:val="21"/>
                      <w:szCs w:val="21"/>
                    </w:rPr>
                  </w:pPr>
                  <w:r>
                    <w:rPr>
                      <w:rFonts w:hint="default"/>
                      <w:b w:val="0"/>
                      <w:bCs/>
                      <w:sz w:val="21"/>
                      <w:szCs w:val="21"/>
                    </w:rPr>
                    <w:t>厂区周围不宜有虫害大量滋生的潜在场所，难以避开时应设计必要的防范措施。</w:t>
                  </w:r>
                </w:p>
              </w:tc>
              <w:tc>
                <w:tcPr>
                  <w:tcW w:w="1861" w:type="pct"/>
                  <w:vAlign w:val="center"/>
                </w:tcPr>
                <w:p w14:paraId="11BC0625">
                  <w:pPr>
                    <w:pStyle w:val="32"/>
                    <w:rPr>
                      <w:rFonts w:hint="default"/>
                      <w:b w:val="0"/>
                      <w:bCs/>
                      <w:sz w:val="21"/>
                      <w:szCs w:val="21"/>
                    </w:rPr>
                  </w:pPr>
                  <w:r>
                    <w:rPr>
                      <w:rFonts w:hint="default"/>
                      <w:b w:val="0"/>
                      <w:bCs/>
                      <w:sz w:val="21"/>
                      <w:szCs w:val="21"/>
                    </w:rPr>
                    <w:t>根据建设单位提供厂区布局图，企业厂区各功能区域划分明显，并有适当的分类或分隔措施，防止交叉污染。</w:t>
                  </w:r>
                </w:p>
              </w:tc>
              <w:tc>
                <w:tcPr>
                  <w:tcW w:w="607" w:type="pct"/>
                  <w:vAlign w:val="center"/>
                </w:tcPr>
                <w:p w14:paraId="7544681E">
                  <w:pPr>
                    <w:pStyle w:val="32"/>
                    <w:rPr>
                      <w:rFonts w:hint="default"/>
                      <w:b w:val="0"/>
                      <w:bCs/>
                      <w:sz w:val="21"/>
                      <w:szCs w:val="21"/>
                    </w:rPr>
                  </w:pPr>
                  <w:r>
                    <w:rPr>
                      <w:rFonts w:hint="default"/>
                      <w:b w:val="0"/>
                      <w:bCs/>
                      <w:sz w:val="21"/>
                      <w:szCs w:val="21"/>
                    </w:rPr>
                    <w:t>符合</w:t>
                  </w:r>
                </w:p>
              </w:tc>
            </w:tr>
          </w:tbl>
          <w:p w14:paraId="35B21789">
            <w:pPr>
              <w:pStyle w:val="32"/>
              <w:spacing w:line="360" w:lineRule="auto"/>
              <w:ind w:firstLine="480" w:firstLineChars="200"/>
              <w:jc w:val="both"/>
              <w:rPr>
                <w:rFonts w:hint="default"/>
                <w:b w:val="0"/>
                <w:bCs/>
              </w:rPr>
            </w:pPr>
            <w:r>
              <w:rPr>
                <w:rFonts w:hint="default"/>
                <w:b w:val="0"/>
                <w:bCs/>
              </w:rPr>
              <w:t>由表格可知，本项目周边主要为工业企业</w:t>
            </w:r>
            <w:r>
              <w:rPr>
                <w:b w:val="0"/>
                <w:bCs/>
              </w:rPr>
              <w:t>（</w:t>
            </w:r>
            <w:r>
              <w:rPr>
                <w:rFonts w:hint="default"/>
                <w:b w:val="0"/>
                <w:bCs/>
              </w:rPr>
              <w:t>建材类、食品类</w:t>
            </w:r>
            <w:r>
              <w:rPr>
                <w:b w:val="0"/>
                <w:bCs/>
              </w:rPr>
              <w:t>）</w:t>
            </w:r>
            <w:r>
              <w:rPr>
                <w:rFonts w:hint="default"/>
                <w:b w:val="0"/>
                <w:bCs/>
              </w:rPr>
              <w:t>、农村散居住户、耕地、空地等，非显著污染、易发生洪涝灾害、有大量虫害</w:t>
            </w:r>
            <w:r>
              <w:rPr>
                <w:b w:val="0"/>
                <w:bCs/>
              </w:rPr>
              <w:t>滋生</w:t>
            </w:r>
            <w:r>
              <w:rPr>
                <w:rFonts w:hint="default"/>
                <w:b w:val="0"/>
                <w:bCs/>
              </w:rPr>
              <w:t>、污染物不能</w:t>
            </w:r>
            <w:r>
              <w:rPr>
                <w:b w:val="0"/>
                <w:bCs/>
              </w:rPr>
              <w:t>有效清除</w:t>
            </w:r>
            <w:r>
              <w:rPr>
                <w:rFonts w:hint="default"/>
                <w:b w:val="0"/>
                <w:bCs/>
              </w:rPr>
              <w:t>的区域，不会对食品安全及食品宜食用性存在明显的不利影响。综上</w:t>
            </w:r>
            <w:r>
              <w:rPr>
                <w:b w:val="0"/>
                <w:bCs/>
              </w:rPr>
              <w:t>，</w:t>
            </w:r>
            <w:r>
              <w:rPr>
                <w:rFonts w:hint="default"/>
                <w:b w:val="0"/>
                <w:bCs/>
              </w:rPr>
              <w:t>本项目与《食品安全国家标准食品生产通用卫生规范》</w:t>
            </w:r>
            <w:r>
              <w:rPr>
                <w:b w:val="0"/>
                <w:bCs/>
              </w:rPr>
              <w:t>（</w:t>
            </w:r>
            <w:r>
              <w:rPr>
                <w:rFonts w:hint="default"/>
                <w:b w:val="0"/>
                <w:bCs/>
              </w:rPr>
              <w:t>GB 14881-2013</w:t>
            </w:r>
            <w:r>
              <w:rPr>
                <w:b w:val="0"/>
                <w:bCs/>
              </w:rPr>
              <w:t>）</w:t>
            </w:r>
            <w:r>
              <w:rPr>
                <w:rFonts w:hint="default"/>
                <w:b w:val="0"/>
                <w:bCs/>
              </w:rPr>
              <w:t>选址要求相符。</w:t>
            </w:r>
          </w:p>
          <w:p w14:paraId="0C3DA6F5">
            <w:pPr>
              <w:rPr>
                <w:color w:val="0000FF"/>
              </w:rPr>
            </w:pPr>
          </w:p>
          <w:p w14:paraId="343AC3B8">
            <w:pPr>
              <w:rPr>
                <w:color w:val="0000FF"/>
              </w:rPr>
            </w:pPr>
          </w:p>
          <w:p w14:paraId="4D7344F5">
            <w:pPr>
              <w:rPr>
                <w:color w:val="0000FF"/>
              </w:rPr>
            </w:pPr>
          </w:p>
          <w:p w14:paraId="5A29400C">
            <w:pPr>
              <w:rPr>
                <w:color w:val="0000FF"/>
              </w:rPr>
            </w:pPr>
          </w:p>
          <w:p w14:paraId="7B8AEC6A">
            <w:pPr>
              <w:rPr>
                <w:color w:val="0000FF"/>
              </w:rPr>
            </w:pPr>
          </w:p>
          <w:p w14:paraId="1B9C9978">
            <w:pPr>
              <w:ind w:firstLine="0" w:firstLineChars="0"/>
              <w:rPr>
                <w:color w:val="0000FF"/>
              </w:rPr>
            </w:pPr>
            <w:r>
              <w:rPr>
                <w:rFonts w:hint="eastAsia"/>
                <w:color w:val="0000FF"/>
              </w:rPr>
              <w:t>8、与《淮北市2023-2024年秋冬季大气污染防治攻坚行动实施方案》的相符性分析</w:t>
            </w:r>
          </w:p>
          <w:p w14:paraId="61B846EA">
            <w:pPr>
              <w:pStyle w:val="32"/>
              <w:rPr>
                <w:rFonts w:hint="default"/>
                <w:color w:val="0000FF"/>
              </w:rPr>
            </w:pPr>
            <w:r>
              <w:rPr>
                <w:color w:val="0000FF"/>
              </w:rPr>
              <w:t>表1-9  与《淮北市2023-2024年秋冬季大气污染防治攻坚行动实施方案》相符性分析</w:t>
            </w:r>
          </w:p>
          <w:tbl>
            <w:tblPr>
              <w:tblStyle w:val="23"/>
              <w:tblW w:w="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2"/>
              <w:gridCol w:w="1573"/>
              <w:gridCol w:w="973"/>
            </w:tblGrid>
            <w:tr w14:paraId="424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2" w:type="dxa"/>
                  <w:vAlign w:val="center"/>
                </w:tcPr>
                <w:p w14:paraId="7585734B">
                  <w:pPr>
                    <w:spacing w:line="240" w:lineRule="auto"/>
                    <w:ind w:firstLine="0" w:firstLineChars="0"/>
                    <w:jc w:val="center"/>
                    <w:rPr>
                      <w:color w:val="0000FF"/>
                      <w:sz w:val="21"/>
                      <w:szCs w:val="21"/>
                    </w:rPr>
                  </w:pPr>
                  <w:r>
                    <w:rPr>
                      <w:color w:val="0000FF"/>
                      <w:sz w:val="21"/>
                      <w:szCs w:val="21"/>
                    </w:rPr>
                    <w:t>与本项目相关的要求</w:t>
                  </w:r>
                </w:p>
              </w:tc>
              <w:tc>
                <w:tcPr>
                  <w:tcW w:w="1573" w:type="dxa"/>
                  <w:vAlign w:val="center"/>
                </w:tcPr>
                <w:p w14:paraId="1BA500DB">
                  <w:pPr>
                    <w:spacing w:line="240" w:lineRule="auto"/>
                    <w:ind w:firstLine="0" w:firstLineChars="0"/>
                    <w:jc w:val="center"/>
                    <w:rPr>
                      <w:color w:val="0000FF"/>
                      <w:sz w:val="21"/>
                      <w:szCs w:val="21"/>
                    </w:rPr>
                  </w:pPr>
                  <w:r>
                    <w:rPr>
                      <w:color w:val="0000FF"/>
                      <w:sz w:val="21"/>
                      <w:szCs w:val="21"/>
                    </w:rPr>
                    <w:t>本项目情况</w:t>
                  </w:r>
                </w:p>
              </w:tc>
              <w:tc>
                <w:tcPr>
                  <w:tcW w:w="973" w:type="dxa"/>
                  <w:vAlign w:val="center"/>
                </w:tcPr>
                <w:p w14:paraId="241E87BC">
                  <w:pPr>
                    <w:spacing w:line="240" w:lineRule="auto"/>
                    <w:ind w:firstLine="0" w:firstLineChars="0"/>
                    <w:jc w:val="center"/>
                    <w:rPr>
                      <w:color w:val="0000FF"/>
                      <w:sz w:val="21"/>
                      <w:szCs w:val="21"/>
                    </w:rPr>
                  </w:pPr>
                  <w:r>
                    <w:rPr>
                      <w:color w:val="0000FF"/>
                      <w:sz w:val="21"/>
                      <w:szCs w:val="21"/>
                    </w:rPr>
                    <w:t>相符性</w:t>
                  </w:r>
                </w:p>
              </w:tc>
            </w:tr>
            <w:tr w14:paraId="1ACF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2" w:type="dxa"/>
                  <w:vAlign w:val="center"/>
                </w:tcPr>
                <w:p w14:paraId="2AA08A01">
                  <w:pPr>
                    <w:numPr>
                      <w:ilvl w:val="0"/>
                      <w:numId w:val="5"/>
                    </w:numPr>
                    <w:spacing w:line="240" w:lineRule="auto"/>
                    <w:ind w:firstLine="0" w:firstLineChars="0"/>
                    <w:jc w:val="center"/>
                    <w:rPr>
                      <w:color w:val="0000FF"/>
                      <w:sz w:val="21"/>
                      <w:szCs w:val="21"/>
                    </w:rPr>
                  </w:pPr>
                  <w:r>
                    <w:rPr>
                      <w:color w:val="0000FF"/>
                      <w:sz w:val="21"/>
                      <w:szCs w:val="21"/>
                    </w:rPr>
                    <w:t>推动落后燃煤锅炉、炉窑淘汰更新。开展全面排查，完善锅炉和炉窑清单，覆盖全燃料种类、各行业领域、不同炉型，依法依规淘汰35蒸吨/小时及以下的燃煤锅炉（含茶水炉、经营性炉灶、储粮烘干设备等燃煤设施）。严控新增燃煤锅炉，严格依法落实煤炭消费等量或减量替代，并达到超低排放要求。推动间歇式固定床煤气发生炉新型煤气化工艺改造，取缔燃煤热风炉。</w:t>
                  </w:r>
                </w:p>
              </w:tc>
              <w:tc>
                <w:tcPr>
                  <w:tcW w:w="1573" w:type="dxa"/>
                  <w:vAlign w:val="center"/>
                </w:tcPr>
                <w:p w14:paraId="6BDB2413">
                  <w:pPr>
                    <w:spacing w:line="240" w:lineRule="auto"/>
                    <w:ind w:firstLine="0" w:firstLineChars="0"/>
                    <w:jc w:val="center"/>
                    <w:rPr>
                      <w:color w:val="0000FF"/>
                      <w:sz w:val="21"/>
                      <w:szCs w:val="21"/>
                    </w:rPr>
                  </w:pPr>
                  <w:r>
                    <w:rPr>
                      <w:color w:val="0000FF"/>
                      <w:sz w:val="21"/>
                      <w:szCs w:val="21"/>
                    </w:rPr>
                    <w:t>本项目使用液化石油气、电提供热，不涉及燃煤锅炉的使用。</w:t>
                  </w:r>
                </w:p>
              </w:tc>
              <w:tc>
                <w:tcPr>
                  <w:tcW w:w="973" w:type="dxa"/>
                  <w:vAlign w:val="center"/>
                </w:tcPr>
                <w:p w14:paraId="5103D354">
                  <w:pPr>
                    <w:spacing w:line="240" w:lineRule="auto"/>
                    <w:ind w:firstLine="0" w:firstLineChars="0"/>
                    <w:jc w:val="center"/>
                    <w:rPr>
                      <w:color w:val="0000FF"/>
                      <w:sz w:val="21"/>
                      <w:szCs w:val="21"/>
                    </w:rPr>
                  </w:pPr>
                  <w:r>
                    <w:rPr>
                      <w:color w:val="0000FF"/>
                      <w:sz w:val="21"/>
                      <w:szCs w:val="21"/>
                    </w:rPr>
                    <w:t>相符</w:t>
                  </w:r>
                </w:p>
              </w:tc>
            </w:tr>
            <w:tr w14:paraId="00A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2" w:type="dxa"/>
                  <w:vAlign w:val="center"/>
                </w:tcPr>
                <w:p w14:paraId="17803B8F">
                  <w:pPr>
                    <w:spacing w:line="240" w:lineRule="auto"/>
                    <w:ind w:firstLine="0" w:firstLineChars="0"/>
                    <w:rPr>
                      <w:color w:val="0000FF"/>
                      <w:sz w:val="21"/>
                      <w:szCs w:val="21"/>
                    </w:rPr>
                  </w:pPr>
                  <w:r>
                    <w:rPr>
                      <w:color w:val="0000FF"/>
                      <w:sz w:val="21"/>
                      <w:szCs w:val="21"/>
                    </w:rPr>
                    <w:t>2、深入推进锅炉、炉窑综合治理。开展简易低效治理设施排查整治工作，对无达标排放能力的予以淘汰，治理水平低的进行升级，运维不到位的实施整改。加快推进燃气锅炉低氮燃烧改造，完成改造的要加强低氮燃烧系统运行维护。生物质锅炉应采用专用炉具，配套袋式等高效除尘设施，氮氧化物排放浓度难以稳定达标的应配备脱硝设施，禁止掺烧煤炭、垃圾、工业固体废物等其他物料，开展抽查抽测，对于污染物无法稳定达标排放的，依法依规实施整治。</w:t>
                  </w:r>
                </w:p>
              </w:tc>
              <w:tc>
                <w:tcPr>
                  <w:tcW w:w="1573" w:type="dxa"/>
                  <w:vAlign w:val="center"/>
                </w:tcPr>
                <w:p w14:paraId="2D799945">
                  <w:pPr>
                    <w:spacing w:line="240" w:lineRule="auto"/>
                    <w:ind w:firstLine="0" w:firstLineChars="0"/>
                    <w:jc w:val="center"/>
                    <w:rPr>
                      <w:color w:val="0000FF"/>
                      <w:sz w:val="21"/>
                      <w:szCs w:val="21"/>
                    </w:rPr>
                  </w:pPr>
                  <w:r>
                    <w:rPr>
                      <w:color w:val="0000FF"/>
                      <w:sz w:val="21"/>
                      <w:szCs w:val="21"/>
                    </w:rPr>
                    <w:t>本项目使用蒸汽发生器，蒸汽发生器安装低氮燃烧器，烟气通过</w:t>
                  </w:r>
                  <w:r>
                    <w:rPr>
                      <w:rFonts w:hint="eastAsia"/>
                      <w:color w:val="0000FF"/>
                      <w:sz w:val="21"/>
                      <w:szCs w:val="21"/>
                    </w:rPr>
                    <w:t>15m</w:t>
                  </w:r>
                  <w:r>
                    <w:rPr>
                      <w:color w:val="0000FF"/>
                      <w:sz w:val="21"/>
                      <w:szCs w:val="21"/>
                    </w:rPr>
                    <w:t>高排气筒（DA002）排放。</w:t>
                  </w:r>
                </w:p>
              </w:tc>
              <w:tc>
                <w:tcPr>
                  <w:tcW w:w="973" w:type="dxa"/>
                  <w:vAlign w:val="center"/>
                </w:tcPr>
                <w:p w14:paraId="2CF9A803">
                  <w:pPr>
                    <w:spacing w:line="240" w:lineRule="auto"/>
                    <w:ind w:firstLine="0" w:firstLineChars="0"/>
                    <w:jc w:val="center"/>
                    <w:rPr>
                      <w:color w:val="0000FF"/>
                      <w:sz w:val="21"/>
                      <w:szCs w:val="21"/>
                    </w:rPr>
                  </w:pPr>
                  <w:r>
                    <w:rPr>
                      <w:color w:val="0000FF"/>
                      <w:sz w:val="21"/>
                      <w:szCs w:val="21"/>
                    </w:rPr>
                    <w:t>相符</w:t>
                  </w:r>
                </w:p>
              </w:tc>
            </w:tr>
          </w:tbl>
          <w:p w14:paraId="5D662DA7">
            <w:pPr>
              <w:ind w:firstLine="0" w:firstLineChars="0"/>
            </w:pPr>
          </w:p>
          <w:p w14:paraId="33F2583B">
            <w:pPr>
              <w:pStyle w:val="3"/>
              <w:ind w:firstLine="643"/>
            </w:pPr>
          </w:p>
          <w:p w14:paraId="732F9856"/>
          <w:p w14:paraId="03F41155">
            <w:pPr>
              <w:pStyle w:val="3"/>
              <w:ind w:firstLine="643"/>
            </w:pPr>
          </w:p>
          <w:p w14:paraId="4549A78B"/>
          <w:p w14:paraId="35AD6C25">
            <w:pPr>
              <w:pStyle w:val="3"/>
              <w:ind w:firstLine="643"/>
            </w:pPr>
          </w:p>
          <w:p w14:paraId="591A8974">
            <w:pPr>
              <w:ind w:firstLine="0" w:firstLineChars="0"/>
            </w:pPr>
          </w:p>
          <w:p w14:paraId="6A1801F4">
            <w:pPr>
              <w:ind w:firstLine="0" w:firstLineChars="0"/>
            </w:pPr>
          </w:p>
          <w:p w14:paraId="360FCD2D">
            <w:pPr>
              <w:ind w:firstLine="0" w:firstLineChars="0"/>
            </w:pPr>
          </w:p>
        </w:tc>
      </w:tr>
    </w:tbl>
    <w:p w14:paraId="672A6B23">
      <w:r>
        <w:br w:type="page"/>
      </w:r>
    </w:p>
    <w:p w14:paraId="615D0869">
      <w:pPr>
        <w:numPr>
          <w:ilvl w:val="0"/>
          <w:numId w:val="1"/>
        </w:numPr>
        <w:ind w:firstLine="0" w:firstLineChars="0"/>
        <w:jc w:val="center"/>
        <w:outlineLvl w:val="0"/>
        <w:rPr>
          <w:rFonts w:hint="eastAsia" w:ascii="黑体" w:hAnsi="黑体" w:eastAsia="黑体"/>
          <w:snapToGrid w:val="0"/>
          <w:sz w:val="30"/>
          <w:szCs w:val="30"/>
        </w:rPr>
      </w:pPr>
      <w:bookmarkStart w:id="10" w:name="_Toc8981"/>
      <w:bookmarkStart w:id="11" w:name="_Toc68109903"/>
      <w:bookmarkStart w:id="12" w:name="_Toc17528"/>
      <w:bookmarkStart w:id="13" w:name="_Toc355"/>
      <w:bookmarkStart w:id="14" w:name="_Toc27707"/>
      <w:commentRangeStart w:id="1"/>
      <w:r>
        <w:rPr>
          <w:rFonts w:hint="eastAsia" w:ascii="黑体" w:hAnsi="黑体" w:eastAsia="黑体"/>
          <w:snapToGrid w:val="0"/>
          <w:sz w:val="30"/>
          <w:szCs w:val="30"/>
        </w:rPr>
        <w:t>建设项目工程分析</w:t>
      </w:r>
      <w:commentRangeEnd w:id="1"/>
      <w:bookmarkEnd w:id="10"/>
      <w:bookmarkEnd w:id="11"/>
      <w:bookmarkEnd w:id="12"/>
      <w:bookmarkEnd w:id="13"/>
      <w:bookmarkEnd w:id="14"/>
      <w:r>
        <w:rPr>
          <w:rStyle w:val="27"/>
        </w:rPr>
        <w:commentReference w:id="1"/>
      </w:r>
    </w:p>
    <w:tbl>
      <w:tblPr>
        <w:tblStyle w:val="22"/>
        <w:tblW w:w="8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79"/>
      </w:tblGrid>
      <w:tr w14:paraId="65AF5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540" w:type="dxa"/>
            <w:vAlign w:val="center"/>
          </w:tcPr>
          <w:p w14:paraId="49189729">
            <w:pPr>
              <w:adjustRightInd w:val="0"/>
              <w:snapToGrid w:val="0"/>
              <w:ind w:firstLine="0" w:firstLineChars="0"/>
              <w:jc w:val="center"/>
              <w:rPr>
                <w:rFonts w:cs="宋体"/>
                <w:sz w:val="21"/>
                <w:szCs w:val="21"/>
              </w:rPr>
            </w:pPr>
            <w:r>
              <w:rPr>
                <w:rFonts w:hint="eastAsia" w:cs="宋体"/>
              </w:rPr>
              <w:t>建设内容</w:t>
            </w:r>
          </w:p>
        </w:tc>
        <w:tc>
          <w:tcPr>
            <w:tcW w:w="7979" w:type="dxa"/>
          </w:tcPr>
          <w:p w14:paraId="4F6BD2C4">
            <w:pPr>
              <w:adjustRightInd w:val="0"/>
              <w:snapToGrid w:val="0"/>
              <w:spacing w:line="500" w:lineRule="exact"/>
              <w:ind w:firstLine="482"/>
              <w:jc w:val="left"/>
              <w:rPr>
                <w:b/>
              </w:rPr>
            </w:pPr>
            <w:r>
              <w:rPr>
                <w:rFonts w:hint="eastAsia"/>
                <w:b/>
              </w:rPr>
              <w:t>1、项目由来</w:t>
            </w:r>
          </w:p>
          <w:p w14:paraId="76817EFE">
            <w:pPr>
              <w:rPr>
                <w:highlight w:val="yellow"/>
              </w:rPr>
            </w:pPr>
            <w:r>
              <w:rPr>
                <w:rFonts w:hint="eastAsia"/>
              </w:rPr>
              <w:t>安徽麦锦餐饮管理有限公司租赁位于安徽淮北相山经济开发区凤冠路3号已建2#厂房（建筑面积1300m</w:t>
            </w:r>
            <w:r>
              <w:rPr>
                <w:rFonts w:hint="eastAsia"/>
                <w:vertAlign w:val="superscript"/>
              </w:rPr>
              <w:t>2</w:t>
            </w:r>
            <w:r>
              <w:rPr>
                <w:rFonts w:hint="eastAsia"/>
              </w:rPr>
              <w:t>），投资1000万元建设年产1000吨速冻食品项目。主要利用已建厂房重新进行车间布局，建设速冻食品生产线2条，购置清洗线、绞肉机、脱水机、搅拌机、切菜机、蒸箱等。其中蔬菜加工车间187m</w:t>
            </w:r>
            <w:r>
              <w:rPr>
                <w:rFonts w:hint="eastAsia"/>
                <w:vertAlign w:val="superscript"/>
              </w:rPr>
              <w:t>2</w:t>
            </w:r>
            <w:r>
              <w:rPr>
                <w:rFonts w:hint="eastAsia"/>
              </w:rPr>
              <w:t>、器具清洗间31m</w:t>
            </w:r>
            <w:r>
              <w:rPr>
                <w:rFonts w:hint="eastAsia"/>
                <w:vertAlign w:val="superscript"/>
              </w:rPr>
              <w:t>2</w:t>
            </w:r>
            <w:r>
              <w:rPr>
                <w:rFonts w:hint="eastAsia"/>
              </w:rPr>
              <w:t>、拌馅车间45m</w:t>
            </w:r>
            <w:r>
              <w:rPr>
                <w:rFonts w:hint="eastAsia"/>
                <w:vertAlign w:val="superscript"/>
              </w:rPr>
              <w:t>2</w:t>
            </w:r>
            <w:r>
              <w:rPr>
                <w:rFonts w:hint="eastAsia"/>
              </w:rPr>
              <w:t>、烧麦车间80m</w:t>
            </w:r>
            <w:r>
              <w:rPr>
                <w:rFonts w:hint="eastAsia"/>
                <w:vertAlign w:val="superscript"/>
              </w:rPr>
              <w:t>2</w:t>
            </w:r>
            <w:r>
              <w:rPr>
                <w:rFonts w:hint="eastAsia"/>
              </w:rPr>
              <w:t>、冷库90m</w:t>
            </w:r>
            <w:r>
              <w:rPr>
                <w:rFonts w:hint="eastAsia"/>
                <w:vertAlign w:val="superscript"/>
              </w:rPr>
              <w:t>2</w:t>
            </w:r>
            <w:r>
              <w:rPr>
                <w:rFonts w:hint="eastAsia"/>
              </w:rPr>
              <w:t>、急冻库20m</w:t>
            </w:r>
            <w:r>
              <w:rPr>
                <w:rFonts w:hint="eastAsia"/>
                <w:vertAlign w:val="superscript"/>
              </w:rPr>
              <w:t>2</w:t>
            </w:r>
            <w:r>
              <w:rPr>
                <w:rFonts w:hint="eastAsia"/>
              </w:rPr>
              <w:t>、冷藏间15m</w:t>
            </w:r>
            <w:r>
              <w:rPr>
                <w:rFonts w:hint="eastAsia"/>
                <w:vertAlign w:val="superscript"/>
              </w:rPr>
              <w:t>2</w:t>
            </w:r>
            <w:r>
              <w:rPr>
                <w:rFonts w:hint="eastAsia"/>
              </w:rPr>
              <w:t>，污水处理系统、厂区道路、停车场等硬化地面500m</w:t>
            </w:r>
            <w:r>
              <w:rPr>
                <w:rFonts w:hint="eastAsia"/>
                <w:vertAlign w:val="superscript"/>
              </w:rPr>
              <w:t>2</w:t>
            </w:r>
            <w:r>
              <w:rPr>
                <w:rFonts w:hint="eastAsia"/>
              </w:rPr>
              <w:t>。</w:t>
            </w:r>
          </w:p>
          <w:p w14:paraId="60F1D5A6">
            <w:r>
              <w:t>按照《中华人民共和国环境影响评价法》和《建设项目环境保护管理条例》的有关规定，建设项目需履行环境影响评价手续。根据《国民经济行业分类》（GB 4754-2017）</w:t>
            </w:r>
            <w:r>
              <w:rPr>
                <w:rFonts w:hint="eastAsia"/>
              </w:rPr>
              <w:t>（2019年修订版）</w:t>
            </w:r>
            <w:r>
              <w:t>，本项目行业类别为：</w:t>
            </w:r>
            <w:r>
              <w:rPr>
                <w:rFonts w:hint="eastAsia"/>
              </w:rPr>
              <w:t>C1432速冻食品制造。</w:t>
            </w:r>
            <w:r>
              <w:t>依据《建设项目环境影响评价分类管理名录</w:t>
            </w:r>
            <w:r>
              <w:rPr>
                <w:rFonts w:hint="eastAsia"/>
              </w:rPr>
              <w:t>（2021版）</w:t>
            </w:r>
            <w:r>
              <w:t>》（中华人民共和国生态环境部令第16号）的有关规定，本项目属于名录中：</w:t>
            </w:r>
            <w:r>
              <w:rPr>
                <w:rFonts w:hint="eastAsia"/>
              </w:rPr>
              <w:t>“十一、食品制造业14”中“21.方便食品制造 143*”中“其他（单纯混合、分装的除外）”，因此本项目需编制</w:t>
            </w:r>
            <w:r>
              <w:t>环境影响评价报告表。</w:t>
            </w:r>
          </w:p>
          <w:p w14:paraId="389E396A">
            <w:pPr>
              <w:ind w:firstLine="482"/>
              <w:rPr>
                <w:b/>
                <w:bCs/>
              </w:rPr>
            </w:pPr>
            <w:r>
              <w:rPr>
                <w:rFonts w:hint="eastAsia"/>
                <w:b/>
                <w:bCs/>
              </w:rPr>
              <w:t>2</w:t>
            </w:r>
            <w:r>
              <w:rPr>
                <w:b/>
                <w:bCs/>
              </w:rPr>
              <w:t>、建设内容</w:t>
            </w:r>
          </w:p>
          <w:p w14:paraId="290D77DE">
            <w:r>
              <w:rPr>
                <w:rFonts w:hint="eastAsia"/>
              </w:rPr>
              <w:t>本项目</w:t>
            </w:r>
            <w:r>
              <w:t>主要建设内容</w:t>
            </w:r>
            <w:r>
              <w:rPr>
                <w:rFonts w:hint="eastAsia"/>
              </w:rPr>
              <w:t>及规模</w:t>
            </w:r>
            <w:r>
              <w:t>见表</w:t>
            </w:r>
            <w:r>
              <w:rPr>
                <w:rFonts w:hint="eastAsia"/>
              </w:rPr>
              <w:t>2-1</w:t>
            </w:r>
            <w:r>
              <w:t>。</w:t>
            </w:r>
          </w:p>
          <w:p w14:paraId="04BC49C2">
            <w:pPr>
              <w:pStyle w:val="32"/>
              <w:rPr>
                <w:rFonts w:hint="default"/>
              </w:rPr>
            </w:pPr>
            <w:r>
              <w:t>表2-1 项目主要建设内容及规模一览表</w:t>
            </w:r>
          </w:p>
          <w:tbl>
            <w:tblPr>
              <w:tblStyle w:val="22"/>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73"/>
              <w:gridCol w:w="5415"/>
              <w:gridCol w:w="688"/>
            </w:tblGrid>
            <w:tr w14:paraId="3D85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tcBorders>
                    <w:tl2br w:val="nil"/>
                    <w:tr2bl w:val="nil"/>
                  </w:tcBorders>
                  <w:vAlign w:val="center"/>
                </w:tcPr>
                <w:p w14:paraId="46663D3E">
                  <w:pPr>
                    <w:pStyle w:val="29"/>
                  </w:pPr>
                  <w:r>
                    <w:t>工程类别</w:t>
                  </w:r>
                </w:p>
              </w:tc>
              <w:tc>
                <w:tcPr>
                  <w:tcW w:w="1073" w:type="dxa"/>
                  <w:tcBorders>
                    <w:tl2br w:val="nil"/>
                    <w:tr2bl w:val="nil"/>
                  </w:tcBorders>
                  <w:vAlign w:val="center"/>
                </w:tcPr>
                <w:p w14:paraId="5B483BFA">
                  <w:pPr>
                    <w:pStyle w:val="29"/>
                  </w:pPr>
                  <w:r>
                    <w:rPr>
                      <w:rFonts w:hint="eastAsia"/>
                    </w:rPr>
                    <w:t>单项</w:t>
                  </w:r>
                  <w:r>
                    <w:t>工程名称</w:t>
                  </w:r>
                </w:p>
              </w:tc>
              <w:tc>
                <w:tcPr>
                  <w:tcW w:w="5415" w:type="dxa"/>
                  <w:tcBorders>
                    <w:tl2br w:val="nil"/>
                    <w:tr2bl w:val="nil"/>
                  </w:tcBorders>
                  <w:vAlign w:val="center"/>
                </w:tcPr>
                <w:p w14:paraId="7D31D875">
                  <w:pPr>
                    <w:pStyle w:val="29"/>
                  </w:pPr>
                  <w:r>
                    <w:rPr>
                      <w:rFonts w:hint="eastAsia"/>
                    </w:rPr>
                    <w:t>工程建设内容及规模</w:t>
                  </w:r>
                </w:p>
              </w:tc>
              <w:tc>
                <w:tcPr>
                  <w:tcW w:w="688" w:type="dxa"/>
                  <w:tcBorders>
                    <w:tl2br w:val="nil"/>
                    <w:tr2bl w:val="nil"/>
                  </w:tcBorders>
                  <w:vAlign w:val="center"/>
                </w:tcPr>
                <w:p w14:paraId="7C49FD42">
                  <w:pPr>
                    <w:pStyle w:val="29"/>
                  </w:pPr>
                  <w:r>
                    <w:t>备注</w:t>
                  </w:r>
                </w:p>
              </w:tc>
            </w:tr>
            <w:tr w14:paraId="3AF8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restart"/>
                  <w:tcBorders>
                    <w:tl2br w:val="nil"/>
                    <w:tr2bl w:val="nil"/>
                  </w:tcBorders>
                  <w:vAlign w:val="center"/>
                </w:tcPr>
                <w:p w14:paraId="4DDB94F6">
                  <w:pPr>
                    <w:pStyle w:val="29"/>
                  </w:pPr>
                  <w:r>
                    <w:t>主体工程</w:t>
                  </w:r>
                </w:p>
              </w:tc>
              <w:tc>
                <w:tcPr>
                  <w:tcW w:w="1073" w:type="dxa"/>
                  <w:tcBorders>
                    <w:tl2br w:val="nil"/>
                    <w:tr2bl w:val="nil"/>
                  </w:tcBorders>
                  <w:vAlign w:val="center"/>
                </w:tcPr>
                <w:p w14:paraId="7BEE8791">
                  <w:pPr>
                    <w:pStyle w:val="29"/>
                  </w:pPr>
                  <w:r>
                    <w:rPr>
                      <w:rFonts w:hint="eastAsia"/>
                    </w:rPr>
                    <w:t>蔬菜加工车间</w:t>
                  </w:r>
                </w:p>
              </w:tc>
              <w:tc>
                <w:tcPr>
                  <w:tcW w:w="5415" w:type="dxa"/>
                  <w:tcBorders>
                    <w:tl2br w:val="nil"/>
                    <w:tr2bl w:val="nil"/>
                  </w:tcBorders>
                  <w:vAlign w:val="center"/>
                </w:tcPr>
                <w:p w14:paraId="08D3BC97">
                  <w:pPr>
                    <w:pStyle w:val="29"/>
                  </w:pPr>
                  <w:r>
                    <w:rPr>
                      <w:rFonts w:hint="eastAsia"/>
                    </w:rPr>
                    <w:t>1F，建筑面积约为187m</w:t>
                  </w:r>
                  <w:r>
                    <w:rPr>
                      <w:rFonts w:hint="eastAsia"/>
                      <w:vertAlign w:val="superscript"/>
                    </w:rPr>
                    <w:t>2</w:t>
                  </w:r>
                  <w:r>
                    <w:rPr>
                      <w:rFonts w:hint="eastAsia"/>
                    </w:rPr>
                    <w:t>，布设小型叶菜清洗线、</w:t>
                  </w:r>
                  <w:r>
                    <w:t>脱水机</w:t>
                  </w:r>
                  <w:r>
                    <w:rPr>
                      <w:rFonts w:hint="eastAsia"/>
                    </w:rPr>
                    <w:t>、切菜机、</w:t>
                  </w:r>
                  <w:r>
                    <w:rPr>
                      <w:rFonts w:hint="eastAsia"/>
                      <w:color w:val="0000FF"/>
                    </w:rPr>
                    <w:t>蒸汽发生器</w:t>
                  </w:r>
                  <w:r>
                    <w:rPr>
                      <w:rFonts w:hint="eastAsia"/>
                    </w:rPr>
                    <w:t>等设备，主要对购买的蔬菜进行清洗-焯水-切菜-脱水。</w:t>
                  </w:r>
                </w:p>
              </w:tc>
              <w:tc>
                <w:tcPr>
                  <w:tcW w:w="688" w:type="dxa"/>
                  <w:vMerge w:val="restart"/>
                  <w:tcBorders>
                    <w:tl2br w:val="nil"/>
                    <w:tr2bl w:val="nil"/>
                  </w:tcBorders>
                  <w:vAlign w:val="center"/>
                </w:tcPr>
                <w:p w14:paraId="3DF6AA86">
                  <w:pPr>
                    <w:pStyle w:val="29"/>
                  </w:pPr>
                  <w:r>
                    <w:rPr>
                      <w:rFonts w:hint="eastAsia"/>
                    </w:rPr>
                    <w:t>依托租赁厂房主体，新建布局</w:t>
                  </w:r>
                </w:p>
              </w:tc>
            </w:tr>
            <w:tr w14:paraId="065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6EAA71BD">
                  <w:pPr>
                    <w:pStyle w:val="29"/>
                  </w:pPr>
                </w:p>
              </w:tc>
              <w:tc>
                <w:tcPr>
                  <w:tcW w:w="1073" w:type="dxa"/>
                  <w:tcBorders>
                    <w:tl2br w:val="nil"/>
                    <w:tr2bl w:val="nil"/>
                  </w:tcBorders>
                  <w:vAlign w:val="center"/>
                </w:tcPr>
                <w:p w14:paraId="1BDA60D7">
                  <w:pPr>
                    <w:pStyle w:val="29"/>
                  </w:pPr>
                  <w:r>
                    <w:rPr>
                      <w:rFonts w:hint="eastAsia"/>
                    </w:rPr>
                    <w:t>肉类加工车间</w:t>
                  </w:r>
                </w:p>
              </w:tc>
              <w:tc>
                <w:tcPr>
                  <w:tcW w:w="5415" w:type="dxa"/>
                  <w:tcBorders>
                    <w:tl2br w:val="nil"/>
                    <w:tr2bl w:val="nil"/>
                  </w:tcBorders>
                  <w:vAlign w:val="center"/>
                </w:tcPr>
                <w:p w14:paraId="23C1D147">
                  <w:pPr>
                    <w:pStyle w:val="29"/>
                  </w:pPr>
                  <w:r>
                    <w:rPr>
                      <w:rFonts w:hint="eastAsia"/>
                    </w:rPr>
                    <w:t>1F，建筑面积40m</w:t>
                  </w:r>
                  <w:r>
                    <w:rPr>
                      <w:rFonts w:hint="eastAsia"/>
                      <w:vertAlign w:val="superscript"/>
                    </w:rPr>
                    <w:t>2</w:t>
                  </w:r>
                  <w:r>
                    <w:rPr>
                      <w:rFonts w:hint="eastAsia"/>
                    </w:rPr>
                    <w:t>，布设</w:t>
                  </w:r>
                  <w:r>
                    <w:t>绞肉机</w:t>
                  </w:r>
                  <w:r>
                    <w:rPr>
                      <w:rFonts w:hint="eastAsia"/>
                    </w:rPr>
                    <w:t>，对购买的肉类进行绞碎。</w:t>
                  </w:r>
                </w:p>
              </w:tc>
              <w:tc>
                <w:tcPr>
                  <w:tcW w:w="688" w:type="dxa"/>
                  <w:vMerge w:val="continue"/>
                  <w:tcBorders>
                    <w:tl2br w:val="nil"/>
                    <w:tr2bl w:val="nil"/>
                  </w:tcBorders>
                  <w:vAlign w:val="center"/>
                </w:tcPr>
                <w:p w14:paraId="5D865AF8">
                  <w:pPr>
                    <w:pStyle w:val="29"/>
                  </w:pPr>
                </w:p>
              </w:tc>
            </w:tr>
            <w:tr w14:paraId="06D5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32796CEC">
                  <w:pPr>
                    <w:pStyle w:val="29"/>
                  </w:pPr>
                </w:p>
              </w:tc>
              <w:tc>
                <w:tcPr>
                  <w:tcW w:w="1073" w:type="dxa"/>
                  <w:tcBorders>
                    <w:tl2br w:val="nil"/>
                    <w:tr2bl w:val="nil"/>
                  </w:tcBorders>
                  <w:vAlign w:val="center"/>
                </w:tcPr>
                <w:p w14:paraId="77546662">
                  <w:pPr>
                    <w:pStyle w:val="29"/>
                  </w:pPr>
                  <w:r>
                    <w:rPr>
                      <w:rFonts w:hint="eastAsia"/>
                    </w:rPr>
                    <w:t>拌馅车间</w:t>
                  </w:r>
                </w:p>
              </w:tc>
              <w:tc>
                <w:tcPr>
                  <w:tcW w:w="5415" w:type="dxa"/>
                  <w:tcBorders>
                    <w:tl2br w:val="nil"/>
                    <w:tr2bl w:val="nil"/>
                  </w:tcBorders>
                  <w:vAlign w:val="center"/>
                </w:tcPr>
                <w:p w14:paraId="7BE8B6D5">
                  <w:pPr>
                    <w:pStyle w:val="29"/>
                  </w:pPr>
                  <w:r>
                    <w:rPr>
                      <w:rFonts w:hint="eastAsia"/>
                    </w:rPr>
                    <w:t>1F，建筑面积45m</w:t>
                  </w:r>
                  <w:r>
                    <w:rPr>
                      <w:rFonts w:hint="eastAsia"/>
                      <w:vertAlign w:val="superscript"/>
                    </w:rPr>
                    <w:t>2</w:t>
                  </w:r>
                  <w:r>
                    <w:rPr>
                      <w:rFonts w:hint="eastAsia"/>
                    </w:rPr>
                    <w:t>，布设</w:t>
                  </w:r>
                  <w:r>
                    <w:t>搅拌机</w:t>
                  </w:r>
                  <w:r>
                    <w:rPr>
                      <w:rFonts w:hint="eastAsia"/>
                    </w:rPr>
                    <w:t>、蒸箱，将混合在一起的菜类搅拌均匀。</w:t>
                  </w:r>
                </w:p>
              </w:tc>
              <w:tc>
                <w:tcPr>
                  <w:tcW w:w="688" w:type="dxa"/>
                  <w:vMerge w:val="continue"/>
                  <w:tcBorders>
                    <w:tl2br w:val="nil"/>
                    <w:tr2bl w:val="nil"/>
                  </w:tcBorders>
                  <w:vAlign w:val="center"/>
                </w:tcPr>
                <w:p w14:paraId="29BB05B0">
                  <w:pPr>
                    <w:pStyle w:val="29"/>
                  </w:pPr>
                </w:p>
              </w:tc>
            </w:tr>
            <w:tr w14:paraId="3578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58A2716B">
                  <w:pPr>
                    <w:pStyle w:val="29"/>
                  </w:pPr>
                </w:p>
              </w:tc>
              <w:tc>
                <w:tcPr>
                  <w:tcW w:w="1073" w:type="dxa"/>
                  <w:tcBorders>
                    <w:tl2br w:val="nil"/>
                    <w:tr2bl w:val="nil"/>
                  </w:tcBorders>
                  <w:vAlign w:val="center"/>
                </w:tcPr>
                <w:p w14:paraId="6AE5F2DB">
                  <w:pPr>
                    <w:pStyle w:val="29"/>
                  </w:pPr>
                  <w:r>
                    <w:rPr>
                      <w:rFonts w:hint="eastAsia"/>
                    </w:rPr>
                    <w:t>烧麦车间</w:t>
                  </w:r>
                </w:p>
              </w:tc>
              <w:tc>
                <w:tcPr>
                  <w:tcW w:w="5415" w:type="dxa"/>
                  <w:tcBorders>
                    <w:tl2br w:val="nil"/>
                    <w:tr2bl w:val="nil"/>
                  </w:tcBorders>
                  <w:vAlign w:val="center"/>
                </w:tcPr>
                <w:p w14:paraId="12A2A55C">
                  <w:pPr>
                    <w:pStyle w:val="29"/>
                  </w:pPr>
                  <w:r>
                    <w:rPr>
                      <w:rFonts w:hint="eastAsia"/>
                    </w:rPr>
                    <w:t>1F，建筑面积80m</w:t>
                  </w:r>
                  <w:r>
                    <w:rPr>
                      <w:rFonts w:hint="eastAsia"/>
                      <w:vertAlign w:val="superscript"/>
                    </w:rPr>
                    <w:t>2</w:t>
                  </w:r>
                  <w:r>
                    <w:rPr>
                      <w:rFonts w:hint="eastAsia"/>
                    </w:rPr>
                    <w:t>，布设分米机、</w:t>
                  </w:r>
                  <w:r>
                    <w:t>快速脚踏封口机</w:t>
                  </w:r>
                  <w:r>
                    <w:rPr>
                      <w:rFonts w:hint="eastAsia"/>
                    </w:rPr>
                    <w:t>，进行烧麦制作。</w:t>
                  </w:r>
                </w:p>
              </w:tc>
              <w:tc>
                <w:tcPr>
                  <w:tcW w:w="688" w:type="dxa"/>
                  <w:vMerge w:val="continue"/>
                  <w:tcBorders>
                    <w:tl2br w:val="nil"/>
                    <w:tr2bl w:val="nil"/>
                  </w:tcBorders>
                  <w:vAlign w:val="center"/>
                </w:tcPr>
                <w:p w14:paraId="04AE802F">
                  <w:pPr>
                    <w:pStyle w:val="29"/>
                  </w:pPr>
                </w:p>
              </w:tc>
            </w:tr>
            <w:tr w14:paraId="0A6B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restart"/>
                  <w:tcBorders>
                    <w:tl2br w:val="nil"/>
                    <w:tr2bl w:val="nil"/>
                  </w:tcBorders>
                  <w:vAlign w:val="center"/>
                </w:tcPr>
                <w:p w14:paraId="61A291C8">
                  <w:pPr>
                    <w:pStyle w:val="29"/>
                  </w:pPr>
                  <w:r>
                    <w:t>储运工程</w:t>
                  </w:r>
                </w:p>
              </w:tc>
              <w:tc>
                <w:tcPr>
                  <w:tcW w:w="1073" w:type="dxa"/>
                  <w:tcBorders>
                    <w:tl2br w:val="nil"/>
                    <w:tr2bl w:val="nil"/>
                  </w:tcBorders>
                  <w:shd w:val="clear" w:color="auto" w:fill="auto"/>
                  <w:vAlign w:val="center"/>
                </w:tcPr>
                <w:p w14:paraId="34BF8291">
                  <w:pPr>
                    <w:pStyle w:val="29"/>
                  </w:pPr>
                  <w:r>
                    <w:rPr>
                      <w:rFonts w:hint="eastAsia"/>
                    </w:rPr>
                    <w:t>原料暂存间</w:t>
                  </w:r>
                </w:p>
              </w:tc>
              <w:tc>
                <w:tcPr>
                  <w:tcW w:w="5415" w:type="dxa"/>
                  <w:tcBorders>
                    <w:tl2br w:val="nil"/>
                    <w:tr2bl w:val="nil"/>
                  </w:tcBorders>
                  <w:shd w:val="clear" w:color="auto" w:fill="auto"/>
                  <w:vAlign w:val="center"/>
                </w:tcPr>
                <w:p w14:paraId="3200D782">
                  <w:pPr>
                    <w:pStyle w:val="29"/>
                  </w:pPr>
                  <w:r>
                    <w:rPr>
                      <w:rFonts w:hint="eastAsia"/>
                    </w:rPr>
                    <w:t>位于厂房东侧，面积约71m</w:t>
                  </w:r>
                  <w:r>
                    <w:rPr>
                      <w:rFonts w:hint="eastAsia"/>
                      <w:vertAlign w:val="superscript"/>
                    </w:rPr>
                    <w:t>2</w:t>
                  </w:r>
                  <w:r>
                    <w:rPr>
                      <w:rFonts w:hint="eastAsia"/>
                    </w:rPr>
                    <w:t>，主要用于储存食用盐、油、葱、姜、蒜、味精、辣椒面、酱油等原料。</w:t>
                  </w:r>
                </w:p>
              </w:tc>
              <w:tc>
                <w:tcPr>
                  <w:tcW w:w="688" w:type="dxa"/>
                  <w:vMerge w:val="continue"/>
                  <w:tcBorders>
                    <w:tl2br w:val="nil"/>
                    <w:tr2bl w:val="nil"/>
                  </w:tcBorders>
                  <w:shd w:val="clear" w:color="auto" w:fill="auto"/>
                  <w:vAlign w:val="center"/>
                </w:tcPr>
                <w:p w14:paraId="6558601B">
                  <w:pPr>
                    <w:pStyle w:val="29"/>
                  </w:pPr>
                </w:p>
              </w:tc>
            </w:tr>
            <w:tr w14:paraId="4914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tcBorders>
                    <w:tl2br w:val="nil"/>
                    <w:tr2bl w:val="nil"/>
                  </w:tcBorders>
                  <w:vAlign w:val="center"/>
                </w:tcPr>
                <w:p w14:paraId="6419FC82">
                  <w:pPr>
                    <w:pStyle w:val="29"/>
                  </w:pPr>
                </w:p>
              </w:tc>
              <w:tc>
                <w:tcPr>
                  <w:tcW w:w="1073" w:type="dxa"/>
                  <w:tcBorders>
                    <w:tl2br w:val="nil"/>
                    <w:tr2bl w:val="nil"/>
                  </w:tcBorders>
                  <w:shd w:val="clear" w:color="auto" w:fill="auto"/>
                  <w:vAlign w:val="center"/>
                </w:tcPr>
                <w:p w14:paraId="53F8F8BE">
                  <w:pPr>
                    <w:pStyle w:val="29"/>
                  </w:pPr>
                  <w:r>
                    <w:rPr>
                      <w:rFonts w:hint="eastAsia"/>
                    </w:rPr>
                    <w:t>包材间</w:t>
                  </w:r>
                </w:p>
              </w:tc>
              <w:tc>
                <w:tcPr>
                  <w:tcW w:w="5415" w:type="dxa"/>
                  <w:tcBorders>
                    <w:tl2br w:val="nil"/>
                    <w:tr2bl w:val="nil"/>
                  </w:tcBorders>
                  <w:shd w:val="clear" w:color="auto" w:fill="auto"/>
                  <w:vAlign w:val="center"/>
                </w:tcPr>
                <w:p w14:paraId="116B71FC">
                  <w:pPr>
                    <w:pStyle w:val="29"/>
                  </w:pPr>
                  <w:r>
                    <w:rPr>
                      <w:rFonts w:hint="eastAsia"/>
                    </w:rPr>
                    <w:t>位于厂房东侧，面积约29m</w:t>
                  </w:r>
                  <w:r>
                    <w:rPr>
                      <w:rFonts w:hint="eastAsia"/>
                      <w:vertAlign w:val="superscript"/>
                    </w:rPr>
                    <w:t>2</w:t>
                  </w:r>
                  <w:r>
                    <w:rPr>
                      <w:rFonts w:hint="eastAsia"/>
                    </w:rPr>
                    <w:t>，用于储存内包装材料。</w:t>
                  </w:r>
                </w:p>
              </w:tc>
              <w:tc>
                <w:tcPr>
                  <w:tcW w:w="688" w:type="dxa"/>
                  <w:vMerge w:val="continue"/>
                  <w:tcBorders>
                    <w:tl2br w:val="nil"/>
                    <w:tr2bl w:val="nil"/>
                  </w:tcBorders>
                  <w:shd w:val="clear" w:color="auto" w:fill="auto"/>
                  <w:vAlign w:val="center"/>
                </w:tcPr>
                <w:p w14:paraId="620085AB">
                  <w:pPr>
                    <w:pStyle w:val="29"/>
                  </w:pPr>
                </w:p>
              </w:tc>
            </w:tr>
            <w:tr w14:paraId="1C0B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423BBD2E">
                  <w:pPr>
                    <w:pStyle w:val="29"/>
                  </w:pPr>
                </w:p>
              </w:tc>
              <w:tc>
                <w:tcPr>
                  <w:tcW w:w="1073" w:type="dxa"/>
                  <w:tcBorders>
                    <w:tl2br w:val="nil"/>
                    <w:tr2bl w:val="nil"/>
                  </w:tcBorders>
                  <w:shd w:val="clear" w:color="auto" w:fill="auto"/>
                  <w:vAlign w:val="center"/>
                </w:tcPr>
                <w:p w14:paraId="08D5642F">
                  <w:pPr>
                    <w:pStyle w:val="29"/>
                  </w:pPr>
                  <w:r>
                    <w:rPr>
                      <w:rFonts w:hint="eastAsia"/>
                    </w:rPr>
                    <w:t>配料间</w:t>
                  </w:r>
                </w:p>
              </w:tc>
              <w:tc>
                <w:tcPr>
                  <w:tcW w:w="5415" w:type="dxa"/>
                  <w:tcBorders>
                    <w:tl2br w:val="nil"/>
                    <w:tr2bl w:val="nil"/>
                  </w:tcBorders>
                  <w:shd w:val="clear" w:color="auto" w:fill="auto"/>
                  <w:vAlign w:val="center"/>
                </w:tcPr>
                <w:p w14:paraId="7D7103B6">
                  <w:pPr>
                    <w:pStyle w:val="29"/>
                  </w:pPr>
                  <w:r>
                    <w:rPr>
                      <w:rFonts w:hint="eastAsia"/>
                    </w:rPr>
                    <w:t>位于厂区南侧，面积约50m</w:t>
                  </w:r>
                  <w:r>
                    <w:rPr>
                      <w:rFonts w:hint="eastAsia"/>
                      <w:vertAlign w:val="superscript"/>
                    </w:rPr>
                    <w:t>2</w:t>
                  </w:r>
                  <w:r>
                    <w:rPr>
                      <w:rFonts w:hint="eastAsia"/>
                    </w:rPr>
                    <w:t>，用于储存焦糖色、鸡精、味精、辣椒等辅料。</w:t>
                  </w:r>
                </w:p>
              </w:tc>
              <w:tc>
                <w:tcPr>
                  <w:tcW w:w="688" w:type="dxa"/>
                  <w:vMerge w:val="continue"/>
                  <w:tcBorders>
                    <w:tl2br w:val="nil"/>
                    <w:tr2bl w:val="nil"/>
                  </w:tcBorders>
                  <w:shd w:val="clear" w:color="auto" w:fill="auto"/>
                  <w:vAlign w:val="center"/>
                </w:tcPr>
                <w:p w14:paraId="73A85680">
                  <w:pPr>
                    <w:pStyle w:val="29"/>
                  </w:pPr>
                </w:p>
              </w:tc>
            </w:tr>
            <w:tr w14:paraId="397E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7911B847">
                  <w:pPr>
                    <w:pStyle w:val="29"/>
                  </w:pPr>
                </w:p>
              </w:tc>
              <w:tc>
                <w:tcPr>
                  <w:tcW w:w="1073" w:type="dxa"/>
                  <w:tcBorders>
                    <w:tl2br w:val="nil"/>
                    <w:tr2bl w:val="nil"/>
                  </w:tcBorders>
                  <w:shd w:val="clear" w:color="auto" w:fill="auto"/>
                  <w:vAlign w:val="center"/>
                </w:tcPr>
                <w:p w14:paraId="37D77B9F">
                  <w:pPr>
                    <w:pStyle w:val="29"/>
                  </w:pPr>
                  <w:r>
                    <w:rPr>
                      <w:rFonts w:hint="eastAsia"/>
                    </w:rPr>
                    <w:t>冷藏间</w:t>
                  </w:r>
                </w:p>
              </w:tc>
              <w:tc>
                <w:tcPr>
                  <w:tcW w:w="5415" w:type="dxa"/>
                  <w:tcBorders>
                    <w:tl2br w:val="nil"/>
                    <w:tr2bl w:val="nil"/>
                  </w:tcBorders>
                  <w:shd w:val="clear" w:color="auto" w:fill="auto"/>
                  <w:vAlign w:val="center"/>
                </w:tcPr>
                <w:p w14:paraId="60AE581A">
                  <w:pPr>
                    <w:pStyle w:val="29"/>
                  </w:pPr>
                  <w:r>
                    <w:rPr>
                      <w:rFonts w:hint="eastAsia"/>
                    </w:rPr>
                    <w:t>位于厂房西南角，面积约15m</w:t>
                  </w:r>
                  <w:r>
                    <w:rPr>
                      <w:rFonts w:hint="eastAsia"/>
                      <w:vertAlign w:val="superscript"/>
                    </w:rPr>
                    <w:t>2</w:t>
                  </w:r>
                  <w:r>
                    <w:rPr>
                      <w:rFonts w:hint="eastAsia"/>
                    </w:rPr>
                    <w:t>，主要用于存放当天未使用完的馅料。</w:t>
                  </w:r>
                </w:p>
              </w:tc>
              <w:tc>
                <w:tcPr>
                  <w:tcW w:w="688" w:type="dxa"/>
                  <w:vMerge w:val="continue"/>
                  <w:tcBorders>
                    <w:tl2br w:val="nil"/>
                    <w:tr2bl w:val="nil"/>
                  </w:tcBorders>
                  <w:shd w:val="clear" w:color="auto" w:fill="auto"/>
                  <w:vAlign w:val="center"/>
                </w:tcPr>
                <w:p w14:paraId="1B76D961">
                  <w:pPr>
                    <w:pStyle w:val="29"/>
                  </w:pPr>
                </w:p>
              </w:tc>
            </w:tr>
            <w:tr w14:paraId="762A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36F88E71">
                  <w:pPr>
                    <w:pStyle w:val="29"/>
                  </w:pPr>
                </w:p>
              </w:tc>
              <w:tc>
                <w:tcPr>
                  <w:tcW w:w="1073" w:type="dxa"/>
                  <w:tcBorders>
                    <w:tl2br w:val="nil"/>
                    <w:tr2bl w:val="nil"/>
                  </w:tcBorders>
                  <w:shd w:val="clear" w:color="auto" w:fill="auto"/>
                  <w:vAlign w:val="center"/>
                </w:tcPr>
                <w:p w14:paraId="787D6448">
                  <w:pPr>
                    <w:pStyle w:val="29"/>
                  </w:pPr>
                  <w:r>
                    <w:rPr>
                      <w:rFonts w:hint="eastAsia"/>
                    </w:rPr>
                    <w:t>急冻库</w:t>
                  </w:r>
                </w:p>
              </w:tc>
              <w:tc>
                <w:tcPr>
                  <w:tcW w:w="5415" w:type="dxa"/>
                  <w:tcBorders>
                    <w:tl2br w:val="nil"/>
                    <w:tr2bl w:val="nil"/>
                  </w:tcBorders>
                  <w:shd w:val="clear" w:color="auto" w:fill="auto"/>
                  <w:vAlign w:val="center"/>
                </w:tcPr>
                <w:p w14:paraId="7D7D192F">
                  <w:pPr>
                    <w:pStyle w:val="29"/>
                  </w:pPr>
                  <w:r>
                    <w:rPr>
                      <w:rFonts w:hint="eastAsia"/>
                    </w:rPr>
                    <w:t>位于厂房东侧，面积约20m</w:t>
                  </w:r>
                  <w:r>
                    <w:rPr>
                      <w:rFonts w:hint="eastAsia"/>
                      <w:vertAlign w:val="superscript"/>
                    </w:rPr>
                    <w:t>2</w:t>
                  </w:r>
                  <w:r>
                    <w:rPr>
                      <w:rFonts w:hint="eastAsia"/>
                    </w:rPr>
                    <w:t>，主要用于馅料存放。</w:t>
                  </w:r>
                </w:p>
              </w:tc>
              <w:tc>
                <w:tcPr>
                  <w:tcW w:w="688" w:type="dxa"/>
                  <w:vMerge w:val="continue"/>
                  <w:tcBorders>
                    <w:tl2br w:val="nil"/>
                    <w:tr2bl w:val="nil"/>
                  </w:tcBorders>
                  <w:shd w:val="clear" w:color="auto" w:fill="auto"/>
                  <w:vAlign w:val="center"/>
                </w:tcPr>
                <w:p w14:paraId="433C2A2B">
                  <w:pPr>
                    <w:pStyle w:val="29"/>
                  </w:pPr>
                </w:p>
              </w:tc>
            </w:tr>
            <w:tr w14:paraId="3580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5828C90F">
                  <w:pPr>
                    <w:pStyle w:val="29"/>
                  </w:pPr>
                </w:p>
              </w:tc>
              <w:tc>
                <w:tcPr>
                  <w:tcW w:w="1073" w:type="dxa"/>
                  <w:tcBorders>
                    <w:tl2br w:val="nil"/>
                    <w:tr2bl w:val="nil"/>
                  </w:tcBorders>
                  <w:shd w:val="clear" w:color="auto" w:fill="auto"/>
                  <w:vAlign w:val="center"/>
                </w:tcPr>
                <w:p w14:paraId="2FB619CB">
                  <w:pPr>
                    <w:pStyle w:val="29"/>
                  </w:pPr>
                  <w:r>
                    <w:rPr>
                      <w:rFonts w:hint="eastAsia"/>
                    </w:rPr>
                    <w:t>冷库</w:t>
                  </w:r>
                </w:p>
              </w:tc>
              <w:tc>
                <w:tcPr>
                  <w:tcW w:w="5415" w:type="dxa"/>
                  <w:tcBorders>
                    <w:tl2br w:val="nil"/>
                    <w:tr2bl w:val="nil"/>
                  </w:tcBorders>
                  <w:shd w:val="clear" w:color="auto" w:fill="auto"/>
                  <w:vAlign w:val="center"/>
                </w:tcPr>
                <w:p w14:paraId="78085650">
                  <w:pPr>
                    <w:pStyle w:val="29"/>
                  </w:pPr>
                  <w:r>
                    <w:rPr>
                      <w:rFonts w:hint="eastAsia"/>
                    </w:rPr>
                    <w:t>位于厂房东南角，面积约90m</w:t>
                  </w:r>
                  <w:r>
                    <w:rPr>
                      <w:rFonts w:hint="eastAsia"/>
                      <w:vertAlign w:val="superscript"/>
                    </w:rPr>
                    <w:t>2</w:t>
                  </w:r>
                  <w:r>
                    <w:rPr>
                      <w:rFonts w:hint="eastAsia"/>
                    </w:rPr>
                    <w:t>，主要用于成品存放。</w:t>
                  </w:r>
                </w:p>
              </w:tc>
              <w:tc>
                <w:tcPr>
                  <w:tcW w:w="688" w:type="dxa"/>
                  <w:vMerge w:val="continue"/>
                  <w:tcBorders>
                    <w:tl2br w:val="nil"/>
                    <w:tr2bl w:val="nil"/>
                  </w:tcBorders>
                  <w:shd w:val="clear" w:color="auto" w:fill="auto"/>
                  <w:vAlign w:val="center"/>
                </w:tcPr>
                <w:p w14:paraId="72E42588">
                  <w:pPr>
                    <w:pStyle w:val="29"/>
                  </w:pPr>
                </w:p>
              </w:tc>
            </w:tr>
            <w:tr w14:paraId="301D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restart"/>
                  <w:tcBorders>
                    <w:tl2br w:val="nil"/>
                    <w:tr2bl w:val="nil"/>
                  </w:tcBorders>
                  <w:vAlign w:val="center"/>
                </w:tcPr>
                <w:p w14:paraId="2AC334EB">
                  <w:pPr>
                    <w:pStyle w:val="29"/>
                  </w:pPr>
                  <w:r>
                    <w:t>辅助工程</w:t>
                  </w:r>
                </w:p>
              </w:tc>
              <w:tc>
                <w:tcPr>
                  <w:tcW w:w="1073" w:type="dxa"/>
                  <w:tcBorders>
                    <w:tl2br w:val="nil"/>
                    <w:tr2bl w:val="nil"/>
                  </w:tcBorders>
                  <w:vAlign w:val="center"/>
                </w:tcPr>
                <w:p w14:paraId="1DD1F2E4">
                  <w:pPr>
                    <w:pStyle w:val="29"/>
                  </w:pPr>
                  <w:r>
                    <w:rPr>
                      <w:rFonts w:hint="eastAsia"/>
                    </w:rPr>
                    <w:t>办公室及会议室</w:t>
                  </w:r>
                </w:p>
              </w:tc>
              <w:tc>
                <w:tcPr>
                  <w:tcW w:w="5415" w:type="dxa"/>
                  <w:tcBorders>
                    <w:tl2br w:val="nil"/>
                    <w:tr2bl w:val="nil"/>
                  </w:tcBorders>
                  <w:vAlign w:val="center"/>
                </w:tcPr>
                <w:p w14:paraId="1A5FCE4D">
                  <w:pPr>
                    <w:pStyle w:val="29"/>
                  </w:pPr>
                  <w:r>
                    <w:rPr>
                      <w:rFonts w:hint="eastAsia"/>
                    </w:rPr>
                    <w:t>位于厂房北侧建筑面积79.6m</w:t>
                  </w:r>
                  <w:r>
                    <w:rPr>
                      <w:rFonts w:hint="eastAsia"/>
                      <w:vertAlign w:val="superscript"/>
                    </w:rPr>
                    <w:t>2</w:t>
                  </w:r>
                  <w:r>
                    <w:rPr>
                      <w:rFonts w:hint="eastAsia"/>
                    </w:rPr>
                    <w:t>，</w:t>
                  </w:r>
                  <w:r>
                    <w:t>主要用于办公、行政等</w:t>
                  </w:r>
                  <w:r>
                    <w:rPr>
                      <w:rFonts w:hint="eastAsia"/>
                    </w:rPr>
                    <w:t>。</w:t>
                  </w:r>
                </w:p>
              </w:tc>
              <w:tc>
                <w:tcPr>
                  <w:tcW w:w="688" w:type="dxa"/>
                  <w:vMerge w:val="continue"/>
                  <w:tcBorders>
                    <w:tl2br w:val="nil"/>
                    <w:tr2bl w:val="nil"/>
                  </w:tcBorders>
                  <w:vAlign w:val="center"/>
                </w:tcPr>
                <w:p w14:paraId="687A1FA9">
                  <w:pPr>
                    <w:pStyle w:val="29"/>
                  </w:pPr>
                </w:p>
              </w:tc>
            </w:tr>
            <w:tr w14:paraId="1AC8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76AC2558">
                  <w:pPr>
                    <w:pStyle w:val="29"/>
                  </w:pPr>
                </w:p>
              </w:tc>
              <w:tc>
                <w:tcPr>
                  <w:tcW w:w="1073" w:type="dxa"/>
                  <w:tcBorders>
                    <w:tl2br w:val="nil"/>
                    <w:tr2bl w:val="nil"/>
                  </w:tcBorders>
                  <w:vAlign w:val="center"/>
                </w:tcPr>
                <w:p w14:paraId="452185E6">
                  <w:pPr>
                    <w:pStyle w:val="29"/>
                  </w:pPr>
                  <w:r>
                    <w:rPr>
                      <w:rFonts w:hint="eastAsia"/>
                    </w:rPr>
                    <w:t>检验室</w:t>
                  </w:r>
                </w:p>
              </w:tc>
              <w:tc>
                <w:tcPr>
                  <w:tcW w:w="5415" w:type="dxa"/>
                  <w:tcBorders>
                    <w:tl2br w:val="nil"/>
                    <w:tr2bl w:val="nil"/>
                  </w:tcBorders>
                  <w:vAlign w:val="center"/>
                </w:tcPr>
                <w:p w14:paraId="321A95CF">
                  <w:pPr>
                    <w:pStyle w:val="29"/>
                  </w:pPr>
                  <w:r>
                    <w:rPr>
                      <w:rFonts w:hint="eastAsia"/>
                    </w:rPr>
                    <w:t>位于厂房北侧，面积约13m</w:t>
                  </w:r>
                  <w:r>
                    <w:rPr>
                      <w:rFonts w:hint="eastAsia"/>
                      <w:vertAlign w:val="superscript"/>
                    </w:rPr>
                    <w:t>2</w:t>
                  </w:r>
                  <w:r>
                    <w:rPr>
                      <w:rFonts w:hint="eastAsia"/>
                    </w:rPr>
                    <w:t>，内设电子天平、电子秤、用于基础检验。</w:t>
                  </w:r>
                </w:p>
              </w:tc>
              <w:tc>
                <w:tcPr>
                  <w:tcW w:w="688" w:type="dxa"/>
                  <w:vMerge w:val="continue"/>
                  <w:tcBorders>
                    <w:tl2br w:val="nil"/>
                    <w:tr2bl w:val="nil"/>
                  </w:tcBorders>
                  <w:vAlign w:val="center"/>
                </w:tcPr>
                <w:p w14:paraId="40F1E417">
                  <w:pPr>
                    <w:pStyle w:val="29"/>
                  </w:pPr>
                </w:p>
              </w:tc>
            </w:tr>
            <w:tr w14:paraId="4B73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0ABBAD83">
                  <w:pPr>
                    <w:pStyle w:val="29"/>
                  </w:pPr>
                </w:p>
              </w:tc>
              <w:tc>
                <w:tcPr>
                  <w:tcW w:w="1073" w:type="dxa"/>
                  <w:tcBorders>
                    <w:tl2br w:val="nil"/>
                    <w:tr2bl w:val="nil"/>
                  </w:tcBorders>
                  <w:vAlign w:val="center"/>
                </w:tcPr>
                <w:p w14:paraId="5CFC302A">
                  <w:pPr>
                    <w:pStyle w:val="29"/>
                  </w:pPr>
                  <w:r>
                    <w:rPr>
                      <w:rFonts w:hint="eastAsia"/>
                    </w:rPr>
                    <w:t>包装车间</w:t>
                  </w:r>
                </w:p>
              </w:tc>
              <w:tc>
                <w:tcPr>
                  <w:tcW w:w="5415" w:type="dxa"/>
                  <w:tcBorders>
                    <w:tl2br w:val="nil"/>
                    <w:tr2bl w:val="nil"/>
                  </w:tcBorders>
                  <w:vAlign w:val="center"/>
                </w:tcPr>
                <w:p w14:paraId="51D0903A">
                  <w:pPr>
                    <w:pStyle w:val="29"/>
                  </w:pPr>
                  <w:r>
                    <w:rPr>
                      <w:rFonts w:hint="eastAsia"/>
                    </w:rPr>
                    <w:t>位于厂房南侧中部，建筑面积94m</w:t>
                  </w:r>
                  <w:r>
                    <w:rPr>
                      <w:rFonts w:hint="eastAsia"/>
                      <w:vertAlign w:val="superscript"/>
                    </w:rPr>
                    <w:t>2</w:t>
                  </w:r>
                  <w:r>
                    <w:rPr>
                      <w:rFonts w:hint="eastAsia"/>
                    </w:rPr>
                    <w:t>，用于成品包装。</w:t>
                  </w:r>
                </w:p>
              </w:tc>
              <w:tc>
                <w:tcPr>
                  <w:tcW w:w="688" w:type="dxa"/>
                  <w:vMerge w:val="continue"/>
                  <w:tcBorders>
                    <w:tl2br w:val="nil"/>
                    <w:tr2bl w:val="nil"/>
                  </w:tcBorders>
                  <w:vAlign w:val="center"/>
                </w:tcPr>
                <w:p w14:paraId="4939DA29">
                  <w:pPr>
                    <w:pStyle w:val="29"/>
                  </w:pPr>
                </w:p>
              </w:tc>
            </w:tr>
            <w:tr w14:paraId="6C94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1CF64FE9">
                  <w:pPr>
                    <w:pStyle w:val="29"/>
                  </w:pPr>
                </w:p>
              </w:tc>
              <w:tc>
                <w:tcPr>
                  <w:tcW w:w="1073" w:type="dxa"/>
                  <w:tcBorders>
                    <w:tl2br w:val="nil"/>
                    <w:tr2bl w:val="nil"/>
                  </w:tcBorders>
                  <w:vAlign w:val="center"/>
                </w:tcPr>
                <w:p w14:paraId="30646820">
                  <w:pPr>
                    <w:pStyle w:val="29"/>
                  </w:pPr>
                  <w:r>
                    <w:rPr>
                      <w:rFonts w:hint="eastAsia"/>
                    </w:rPr>
                    <w:t>器具清洗间</w:t>
                  </w:r>
                </w:p>
              </w:tc>
              <w:tc>
                <w:tcPr>
                  <w:tcW w:w="5415" w:type="dxa"/>
                  <w:tcBorders>
                    <w:tl2br w:val="nil"/>
                    <w:tr2bl w:val="nil"/>
                  </w:tcBorders>
                  <w:vAlign w:val="center"/>
                </w:tcPr>
                <w:p w14:paraId="16FB5C3C">
                  <w:pPr>
                    <w:pStyle w:val="29"/>
                  </w:pPr>
                  <w:r>
                    <w:rPr>
                      <w:rFonts w:hint="eastAsia"/>
                    </w:rPr>
                    <w:t>位于厂房中部，建筑面积31m</w:t>
                  </w:r>
                  <w:r>
                    <w:rPr>
                      <w:rFonts w:hint="eastAsia"/>
                      <w:vertAlign w:val="superscript"/>
                    </w:rPr>
                    <w:t>2</w:t>
                  </w:r>
                  <w:r>
                    <w:rPr>
                      <w:rFonts w:hint="eastAsia"/>
                    </w:rPr>
                    <w:t>，用于生产设备清洗。</w:t>
                  </w:r>
                </w:p>
              </w:tc>
              <w:tc>
                <w:tcPr>
                  <w:tcW w:w="688" w:type="dxa"/>
                  <w:vMerge w:val="continue"/>
                  <w:tcBorders>
                    <w:tl2br w:val="nil"/>
                    <w:tr2bl w:val="nil"/>
                  </w:tcBorders>
                  <w:vAlign w:val="center"/>
                </w:tcPr>
                <w:p w14:paraId="440E1DA6">
                  <w:pPr>
                    <w:pStyle w:val="29"/>
                  </w:pPr>
                </w:p>
              </w:tc>
            </w:tr>
            <w:tr w14:paraId="345B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3" w:type="dxa"/>
                  <w:vMerge w:val="continue"/>
                  <w:tcBorders>
                    <w:tl2br w:val="nil"/>
                    <w:tr2bl w:val="nil"/>
                  </w:tcBorders>
                  <w:vAlign w:val="center"/>
                </w:tcPr>
                <w:p w14:paraId="0D20484B">
                  <w:pPr>
                    <w:pStyle w:val="29"/>
                  </w:pPr>
                </w:p>
              </w:tc>
              <w:tc>
                <w:tcPr>
                  <w:tcW w:w="1073" w:type="dxa"/>
                  <w:tcBorders>
                    <w:tl2br w:val="nil"/>
                    <w:tr2bl w:val="nil"/>
                  </w:tcBorders>
                  <w:vAlign w:val="center"/>
                </w:tcPr>
                <w:p w14:paraId="2A820F22">
                  <w:pPr>
                    <w:pStyle w:val="29"/>
                  </w:pPr>
                  <w:r>
                    <w:rPr>
                      <w:rFonts w:hint="eastAsia"/>
                    </w:rPr>
                    <w:t>洁具室</w:t>
                  </w:r>
                </w:p>
              </w:tc>
              <w:tc>
                <w:tcPr>
                  <w:tcW w:w="5415" w:type="dxa"/>
                  <w:tcBorders>
                    <w:tl2br w:val="nil"/>
                    <w:tr2bl w:val="nil"/>
                  </w:tcBorders>
                  <w:vAlign w:val="center"/>
                </w:tcPr>
                <w:p w14:paraId="5A8B536E">
                  <w:pPr>
                    <w:pStyle w:val="29"/>
                  </w:pPr>
                  <w:r>
                    <w:rPr>
                      <w:rFonts w:hint="eastAsia"/>
                    </w:rPr>
                    <w:t>位于厂房东侧，建筑面积6m</w:t>
                  </w:r>
                  <w:r>
                    <w:rPr>
                      <w:rFonts w:hint="eastAsia"/>
                      <w:vertAlign w:val="superscript"/>
                    </w:rPr>
                    <w:t>2</w:t>
                  </w:r>
                  <w:r>
                    <w:rPr>
                      <w:rFonts w:hint="eastAsia"/>
                    </w:rPr>
                    <w:t>，用于存放卫生清理的物品。</w:t>
                  </w:r>
                </w:p>
              </w:tc>
              <w:tc>
                <w:tcPr>
                  <w:tcW w:w="688" w:type="dxa"/>
                  <w:vMerge w:val="continue"/>
                  <w:tcBorders>
                    <w:tl2br w:val="nil"/>
                    <w:tr2bl w:val="nil"/>
                  </w:tcBorders>
                  <w:vAlign w:val="center"/>
                </w:tcPr>
                <w:p w14:paraId="2E0C9920">
                  <w:pPr>
                    <w:pStyle w:val="29"/>
                  </w:pPr>
                </w:p>
              </w:tc>
            </w:tr>
            <w:tr w14:paraId="0C1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restart"/>
                  <w:tcBorders>
                    <w:tl2br w:val="nil"/>
                    <w:tr2bl w:val="nil"/>
                  </w:tcBorders>
                  <w:vAlign w:val="center"/>
                </w:tcPr>
                <w:p w14:paraId="27B13D81">
                  <w:pPr>
                    <w:pStyle w:val="29"/>
                  </w:pPr>
                  <w:r>
                    <w:t>公用工程</w:t>
                  </w:r>
                </w:p>
                <w:p w14:paraId="55914040">
                  <w:pPr>
                    <w:pStyle w:val="29"/>
                  </w:pPr>
                </w:p>
              </w:tc>
              <w:tc>
                <w:tcPr>
                  <w:tcW w:w="1073" w:type="dxa"/>
                  <w:tcBorders>
                    <w:tl2br w:val="nil"/>
                    <w:tr2bl w:val="nil"/>
                  </w:tcBorders>
                  <w:vAlign w:val="center"/>
                </w:tcPr>
                <w:p w14:paraId="405AAE8B">
                  <w:pPr>
                    <w:pStyle w:val="29"/>
                  </w:pPr>
                  <w:r>
                    <w:t>给水系统</w:t>
                  </w:r>
                </w:p>
              </w:tc>
              <w:tc>
                <w:tcPr>
                  <w:tcW w:w="5415" w:type="dxa"/>
                  <w:tcBorders>
                    <w:tl2br w:val="nil"/>
                    <w:tr2bl w:val="nil"/>
                  </w:tcBorders>
                  <w:vAlign w:val="center"/>
                </w:tcPr>
                <w:p w14:paraId="71E6D56C">
                  <w:pPr>
                    <w:pStyle w:val="29"/>
                  </w:pPr>
                  <w:r>
                    <w:t>项目供水水源为自来水，由园区自来水厂供给，用水量</w:t>
                  </w:r>
                  <w:r>
                    <w:rPr>
                      <w:rFonts w:hint="eastAsia"/>
                    </w:rPr>
                    <w:t>约</w:t>
                  </w:r>
                  <w:r>
                    <w:t>为</w:t>
                  </w:r>
                  <w:r>
                    <w:rPr>
                      <w:rFonts w:hint="eastAsia"/>
                      <w:color w:val="0000FF"/>
                    </w:rPr>
                    <w:t>3090.9</w:t>
                  </w:r>
                  <w:r>
                    <w:rPr>
                      <w:rFonts w:hint="eastAsia"/>
                    </w:rPr>
                    <w:t>t</w:t>
                  </w:r>
                  <w:r>
                    <w:t>/a。</w:t>
                  </w:r>
                </w:p>
              </w:tc>
              <w:tc>
                <w:tcPr>
                  <w:tcW w:w="688" w:type="dxa"/>
                  <w:tcBorders>
                    <w:tl2br w:val="nil"/>
                    <w:tr2bl w:val="nil"/>
                  </w:tcBorders>
                  <w:vAlign w:val="center"/>
                </w:tcPr>
                <w:p w14:paraId="3F9682A6">
                  <w:pPr>
                    <w:pStyle w:val="29"/>
                  </w:pPr>
                  <w:r>
                    <w:rPr>
                      <w:rFonts w:hint="eastAsia"/>
                    </w:rPr>
                    <w:t>依托</w:t>
                  </w:r>
                </w:p>
              </w:tc>
            </w:tr>
            <w:tr w14:paraId="528E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1CA568CD">
                  <w:pPr>
                    <w:pStyle w:val="29"/>
                  </w:pPr>
                </w:p>
              </w:tc>
              <w:tc>
                <w:tcPr>
                  <w:tcW w:w="1073" w:type="dxa"/>
                  <w:tcBorders>
                    <w:tl2br w:val="nil"/>
                    <w:tr2bl w:val="nil"/>
                  </w:tcBorders>
                  <w:vAlign w:val="center"/>
                </w:tcPr>
                <w:p w14:paraId="10B2525F">
                  <w:pPr>
                    <w:pStyle w:val="29"/>
                  </w:pPr>
                  <w:r>
                    <w:rPr>
                      <w:rFonts w:hint="eastAsia"/>
                    </w:rPr>
                    <w:t>供热系统</w:t>
                  </w:r>
                </w:p>
              </w:tc>
              <w:tc>
                <w:tcPr>
                  <w:tcW w:w="5415" w:type="dxa"/>
                  <w:tcBorders>
                    <w:tl2br w:val="nil"/>
                    <w:tr2bl w:val="nil"/>
                  </w:tcBorders>
                  <w:vAlign w:val="center"/>
                </w:tcPr>
                <w:p w14:paraId="240ECE72">
                  <w:pPr>
                    <w:pStyle w:val="29"/>
                  </w:pPr>
                  <w:r>
                    <w:rPr>
                      <w:rFonts w:hint="eastAsia"/>
                      <w:color w:val="0000FF"/>
                    </w:rPr>
                    <w:t>项目焯菜过程中需要加热，外购液化石油气供给（年供给量4t）。</w:t>
                  </w:r>
                </w:p>
              </w:tc>
              <w:tc>
                <w:tcPr>
                  <w:tcW w:w="688" w:type="dxa"/>
                  <w:tcBorders>
                    <w:tl2br w:val="nil"/>
                    <w:tr2bl w:val="nil"/>
                  </w:tcBorders>
                  <w:vAlign w:val="center"/>
                </w:tcPr>
                <w:p w14:paraId="6712AD46">
                  <w:pPr>
                    <w:pStyle w:val="29"/>
                  </w:pPr>
                  <w:r>
                    <w:rPr>
                      <w:rFonts w:hint="eastAsia"/>
                    </w:rPr>
                    <w:t>新建</w:t>
                  </w:r>
                </w:p>
              </w:tc>
            </w:tr>
            <w:tr w14:paraId="69C1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37AD0CE6">
                  <w:pPr>
                    <w:pStyle w:val="29"/>
                  </w:pPr>
                </w:p>
              </w:tc>
              <w:tc>
                <w:tcPr>
                  <w:tcW w:w="1073" w:type="dxa"/>
                  <w:tcBorders>
                    <w:tl2br w:val="nil"/>
                    <w:tr2bl w:val="nil"/>
                  </w:tcBorders>
                  <w:vAlign w:val="center"/>
                </w:tcPr>
                <w:p w14:paraId="04D49CFD">
                  <w:pPr>
                    <w:pStyle w:val="29"/>
                  </w:pPr>
                  <w:r>
                    <w:t>排水系统</w:t>
                  </w:r>
                </w:p>
              </w:tc>
              <w:tc>
                <w:tcPr>
                  <w:tcW w:w="5415" w:type="dxa"/>
                  <w:tcBorders>
                    <w:tl2br w:val="nil"/>
                    <w:tr2bl w:val="nil"/>
                  </w:tcBorders>
                  <w:vAlign w:val="center"/>
                </w:tcPr>
                <w:p w14:paraId="6B9749AF">
                  <w:pPr>
                    <w:pStyle w:val="29"/>
                  </w:pPr>
                  <w:r>
                    <w:t>雨污分流体制；</w:t>
                  </w:r>
                  <w:r>
                    <w:rPr>
                      <w:rFonts w:hint="eastAsia"/>
                    </w:rPr>
                    <w:t>雨水排入雨水管网，生活污水经化粪池处理后与经过新建污水处理站处理后的生产废水排入安徽淮相科技发展有限公司第二污水处理厂。</w:t>
                  </w:r>
                </w:p>
              </w:tc>
              <w:tc>
                <w:tcPr>
                  <w:tcW w:w="688" w:type="dxa"/>
                  <w:tcBorders>
                    <w:tl2br w:val="nil"/>
                    <w:tr2bl w:val="nil"/>
                  </w:tcBorders>
                  <w:vAlign w:val="center"/>
                </w:tcPr>
                <w:p w14:paraId="25F2AC1F">
                  <w:pPr>
                    <w:pStyle w:val="29"/>
                  </w:pPr>
                  <w:r>
                    <w:rPr>
                      <w:rFonts w:hint="eastAsia"/>
                    </w:rPr>
                    <w:t>新建</w:t>
                  </w:r>
                </w:p>
              </w:tc>
            </w:tr>
            <w:tr w14:paraId="2689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4F470316">
                  <w:pPr>
                    <w:pStyle w:val="29"/>
                  </w:pPr>
                </w:p>
              </w:tc>
              <w:tc>
                <w:tcPr>
                  <w:tcW w:w="1073" w:type="dxa"/>
                  <w:tcBorders>
                    <w:tl2br w:val="nil"/>
                    <w:tr2bl w:val="nil"/>
                  </w:tcBorders>
                  <w:vAlign w:val="center"/>
                </w:tcPr>
                <w:p w14:paraId="724E3EC7">
                  <w:pPr>
                    <w:pStyle w:val="29"/>
                  </w:pPr>
                  <w:r>
                    <w:t>供电系统</w:t>
                  </w:r>
                </w:p>
              </w:tc>
              <w:tc>
                <w:tcPr>
                  <w:tcW w:w="5415" w:type="dxa"/>
                  <w:tcBorders>
                    <w:tl2br w:val="nil"/>
                    <w:tr2bl w:val="nil"/>
                  </w:tcBorders>
                  <w:vAlign w:val="center"/>
                </w:tcPr>
                <w:p w14:paraId="3ECB45B0">
                  <w:pPr>
                    <w:pStyle w:val="29"/>
                  </w:pPr>
                  <w:r>
                    <w:t>依托园区</w:t>
                  </w:r>
                  <w:r>
                    <w:rPr>
                      <w:rFonts w:hint="eastAsia"/>
                    </w:rPr>
                    <w:t>供电系统，</w:t>
                  </w:r>
                  <w:r>
                    <w:t>年用电量</w:t>
                  </w:r>
                  <w:r>
                    <w:rPr>
                      <w:rFonts w:hint="eastAsia"/>
                    </w:rPr>
                    <w:t>14</w:t>
                  </w:r>
                  <w:r>
                    <w:t>万</w:t>
                  </w:r>
                  <w:r>
                    <w:rPr>
                      <w:rFonts w:hint="eastAsia"/>
                    </w:rPr>
                    <w:t>kW·h。</w:t>
                  </w:r>
                </w:p>
              </w:tc>
              <w:tc>
                <w:tcPr>
                  <w:tcW w:w="688" w:type="dxa"/>
                  <w:tcBorders>
                    <w:tl2br w:val="nil"/>
                    <w:tr2bl w:val="nil"/>
                  </w:tcBorders>
                  <w:vAlign w:val="center"/>
                </w:tcPr>
                <w:p w14:paraId="173D5246">
                  <w:pPr>
                    <w:pStyle w:val="29"/>
                  </w:pPr>
                  <w:r>
                    <w:rPr>
                      <w:rFonts w:hint="eastAsia"/>
                    </w:rPr>
                    <w:t>依托</w:t>
                  </w:r>
                </w:p>
              </w:tc>
            </w:tr>
            <w:tr w14:paraId="3F11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restart"/>
                  <w:tcBorders>
                    <w:tl2br w:val="nil"/>
                    <w:tr2bl w:val="nil"/>
                  </w:tcBorders>
                  <w:vAlign w:val="center"/>
                </w:tcPr>
                <w:p w14:paraId="16238B30">
                  <w:pPr>
                    <w:pStyle w:val="29"/>
                  </w:pPr>
                  <w:r>
                    <w:t>环保工程</w:t>
                  </w:r>
                </w:p>
              </w:tc>
              <w:tc>
                <w:tcPr>
                  <w:tcW w:w="1073" w:type="dxa"/>
                  <w:vMerge w:val="restart"/>
                  <w:tcBorders>
                    <w:tl2br w:val="nil"/>
                    <w:tr2bl w:val="nil"/>
                  </w:tcBorders>
                  <w:vAlign w:val="center"/>
                </w:tcPr>
                <w:p w14:paraId="6C9F7DC3">
                  <w:pPr>
                    <w:pStyle w:val="29"/>
                  </w:pPr>
                  <w:r>
                    <w:t>废气处理</w:t>
                  </w:r>
                </w:p>
              </w:tc>
              <w:tc>
                <w:tcPr>
                  <w:tcW w:w="5415" w:type="dxa"/>
                  <w:tcBorders>
                    <w:tl2br w:val="nil"/>
                    <w:tr2bl w:val="nil"/>
                  </w:tcBorders>
                  <w:vAlign w:val="center"/>
                </w:tcPr>
                <w:p w14:paraId="3DA88D10">
                  <w:pPr>
                    <w:pStyle w:val="29"/>
                  </w:pPr>
                  <w:r>
                    <w:rPr>
                      <w:rFonts w:hint="eastAsia"/>
                    </w:rPr>
                    <w:t>蒸煮异味：无组织排放。</w:t>
                  </w:r>
                </w:p>
              </w:tc>
              <w:tc>
                <w:tcPr>
                  <w:tcW w:w="688" w:type="dxa"/>
                  <w:tcBorders>
                    <w:tl2br w:val="nil"/>
                    <w:tr2bl w:val="nil"/>
                  </w:tcBorders>
                  <w:vAlign w:val="center"/>
                </w:tcPr>
                <w:p w14:paraId="063875F5">
                  <w:pPr>
                    <w:pStyle w:val="29"/>
                  </w:pPr>
                  <w:r>
                    <w:rPr>
                      <w:rFonts w:hint="eastAsia"/>
                    </w:rPr>
                    <w:t>新建</w:t>
                  </w:r>
                </w:p>
              </w:tc>
            </w:tr>
            <w:tr w14:paraId="1D36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2EF0AEEF">
                  <w:pPr>
                    <w:pStyle w:val="29"/>
                  </w:pPr>
                </w:p>
              </w:tc>
              <w:tc>
                <w:tcPr>
                  <w:tcW w:w="1073" w:type="dxa"/>
                  <w:vMerge w:val="continue"/>
                  <w:tcBorders>
                    <w:tl2br w:val="nil"/>
                    <w:tr2bl w:val="nil"/>
                  </w:tcBorders>
                  <w:vAlign w:val="center"/>
                </w:tcPr>
                <w:p w14:paraId="6273C78F">
                  <w:pPr>
                    <w:pStyle w:val="29"/>
                  </w:pPr>
                </w:p>
              </w:tc>
              <w:tc>
                <w:tcPr>
                  <w:tcW w:w="5415" w:type="dxa"/>
                  <w:tcBorders>
                    <w:tl2br w:val="nil"/>
                    <w:tr2bl w:val="nil"/>
                  </w:tcBorders>
                  <w:vAlign w:val="center"/>
                </w:tcPr>
                <w:p w14:paraId="0EBBB6C2">
                  <w:pPr>
                    <w:pStyle w:val="29"/>
                  </w:pPr>
                  <w:r>
                    <w:rPr>
                      <w:rFonts w:hint="eastAsia"/>
                    </w:rPr>
                    <w:t>炒制油烟：静电油烟处理器处理后15m高排气筒（DA001）排放。</w:t>
                  </w:r>
                </w:p>
              </w:tc>
              <w:tc>
                <w:tcPr>
                  <w:tcW w:w="688" w:type="dxa"/>
                  <w:tcBorders>
                    <w:tl2br w:val="nil"/>
                    <w:tr2bl w:val="nil"/>
                  </w:tcBorders>
                  <w:vAlign w:val="center"/>
                </w:tcPr>
                <w:p w14:paraId="525EE2FA">
                  <w:pPr>
                    <w:pStyle w:val="29"/>
                  </w:pPr>
                  <w:r>
                    <w:rPr>
                      <w:rFonts w:hint="eastAsia"/>
                    </w:rPr>
                    <w:t>新建</w:t>
                  </w:r>
                </w:p>
              </w:tc>
            </w:tr>
            <w:tr w14:paraId="6E03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3" w:type="dxa"/>
                  <w:vMerge w:val="continue"/>
                  <w:tcBorders>
                    <w:tl2br w:val="nil"/>
                    <w:tr2bl w:val="nil"/>
                  </w:tcBorders>
                  <w:vAlign w:val="center"/>
                </w:tcPr>
                <w:p w14:paraId="4E194ADF">
                  <w:pPr>
                    <w:pStyle w:val="29"/>
                  </w:pPr>
                </w:p>
              </w:tc>
              <w:tc>
                <w:tcPr>
                  <w:tcW w:w="1073" w:type="dxa"/>
                  <w:vMerge w:val="continue"/>
                  <w:tcBorders>
                    <w:tl2br w:val="nil"/>
                    <w:tr2bl w:val="nil"/>
                  </w:tcBorders>
                  <w:vAlign w:val="center"/>
                </w:tcPr>
                <w:p w14:paraId="3B5A3CBB">
                  <w:pPr>
                    <w:pStyle w:val="29"/>
                  </w:pPr>
                </w:p>
              </w:tc>
              <w:tc>
                <w:tcPr>
                  <w:tcW w:w="5415" w:type="dxa"/>
                  <w:tcBorders>
                    <w:tl2br w:val="nil"/>
                    <w:tr2bl w:val="nil"/>
                  </w:tcBorders>
                  <w:vAlign w:val="center"/>
                </w:tcPr>
                <w:p w14:paraId="0FD8A51B">
                  <w:pPr>
                    <w:pStyle w:val="29"/>
                  </w:pPr>
                  <w:r>
                    <w:rPr>
                      <w:color w:val="0000FF"/>
                    </w:rPr>
                    <w:t>蒸汽发生器安装低氮燃烧器，烟气通过15</w:t>
                  </w:r>
                  <w:r>
                    <w:rPr>
                      <w:rFonts w:hint="eastAsia"/>
                      <w:color w:val="0000FF"/>
                    </w:rPr>
                    <w:t>m</w:t>
                  </w:r>
                  <w:r>
                    <w:rPr>
                      <w:color w:val="0000FF"/>
                    </w:rPr>
                    <w:t>高排气筒（DA002）排放</w:t>
                  </w:r>
                  <w:r>
                    <w:rPr>
                      <w:rFonts w:hint="eastAsia"/>
                      <w:color w:val="0000FF"/>
                    </w:rPr>
                    <w:t>。</w:t>
                  </w:r>
                </w:p>
              </w:tc>
              <w:tc>
                <w:tcPr>
                  <w:tcW w:w="688" w:type="dxa"/>
                  <w:tcBorders>
                    <w:tl2br w:val="nil"/>
                    <w:tr2bl w:val="nil"/>
                  </w:tcBorders>
                  <w:vAlign w:val="center"/>
                </w:tcPr>
                <w:p w14:paraId="0542C81E">
                  <w:pPr>
                    <w:pStyle w:val="29"/>
                  </w:pPr>
                  <w:r>
                    <w:rPr>
                      <w:rFonts w:hint="eastAsia"/>
                    </w:rPr>
                    <w:t>新建</w:t>
                  </w:r>
                </w:p>
              </w:tc>
            </w:tr>
            <w:tr w14:paraId="0791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2245646C">
                  <w:pPr>
                    <w:pStyle w:val="29"/>
                  </w:pPr>
                </w:p>
              </w:tc>
              <w:tc>
                <w:tcPr>
                  <w:tcW w:w="1073" w:type="dxa"/>
                  <w:vMerge w:val="continue"/>
                  <w:tcBorders>
                    <w:tl2br w:val="nil"/>
                    <w:tr2bl w:val="nil"/>
                  </w:tcBorders>
                  <w:vAlign w:val="center"/>
                </w:tcPr>
                <w:p w14:paraId="5B2A5594">
                  <w:pPr>
                    <w:pStyle w:val="29"/>
                  </w:pPr>
                </w:p>
              </w:tc>
              <w:tc>
                <w:tcPr>
                  <w:tcW w:w="5415" w:type="dxa"/>
                  <w:tcBorders>
                    <w:tl2br w:val="nil"/>
                    <w:tr2bl w:val="nil"/>
                  </w:tcBorders>
                  <w:vAlign w:val="center"/>
                </w:tcPr>
                <w:p w14:paraId="02220083">
                  <w:pPr>
                    <w:pStyle w:val="29"/>
                  </w:pPr>
                  <w:r>
                    <w:rPr>
                      <w:rFonts w:hint="eastAsia"/>
                    </w:rPr>
                    <w:t>污水处理站废气：通过加盖密闭、加强通风、定期除臭等措施后无组织排放。</w:t>
                  </w:r>
                </w:p>
              </w:tc>
              <w:tc>
                <w:tcPr>
                  <w:tcW w:w="688" w:type="dxa"/>
                  <w:tcBorders>
                    <w:tl2br w:val="nil"/>
                    <w:tr2bl w:val="nil"/>
                  </w:tcBorders>
                  <w:vAlign w:val="center"/>
                </w:tcPr>
                <w:p w14:paraId="6D7A4AB9">
                  <w:pPr>
                    <w:pStyle w:val="29"/>
                  </w:pPr>
                  <w:r>
                    <w:rPr>
                      <w:rFonts w:hint="eastAsia"/>
                    </w:rPr>
                    <w:t>新建</w:t>
                  </w:r>
                </w:p>
              </w:tc>
            </w:tr>
            <w:tr w14:paraId="7C98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7668E663">
                  <w:pPr>
                    <w:pStyle w:val="29"/>
                  </w:pPr>
                </w:p>
              </w:tc>
              <w:tc>
                <w:tcPr>
                  <w:tcW w:w="1073" w:type="dxa"/>
                  <w:tcBorders>
                    <w:tl2br w:val="nil"/>
                    <w:tr2bl w:val="nil"/>
                  </w:tcBorders>
                  <w:vAlign w:val="center"/>
                </w:tcPr>
                <w:p w14:paraId="315B491F">
                  <w:pPr>
                    <w:pStyle w:val="29"/>
                  </w:pPr>
                  <w:r>
                    <w:t>废水处理</w:t>
                  </w:r>
                </w:p>
              </w:tc>
              <w:tc>
                <w:tcPr>
                  <w:tcW w:w="5415" w:type="dxa"/>
                  <w:tcBorders>
                    <w:tl2br w:val="nil"/>
                    <w:tr2bl w:val="nil"/>
                  </w:tcBorders>
                  <w:vAlign w:val="center"/>
                </w:tcPr>
                <w:p w14:paraId="1610E622">
                  <w:pPr>
                    <w:pStyle w:val="29"/>
                    <w:rPr>
                      <w:highlight w:val="yellow"/>
                    </w:rPr>
                  </w:pPr>
                  <w:r>
                    <w:t>雨污分流体制</w:t>
                  </w:r>
                  <w:r>
                    <w:rPr>
                      <w:rFonts w:hint="eastAsia"/>
                    </w:rPr>
                    <w:t>，雨水经厂区雨水管网排放至附近河沟；生活污水经化粪池预处理后排入园区污水管网；生产废水经新建污水处理站处理达标后排入园区污水管网。最终排入</w:t>
                  </w:r>
                  <w:r>
                    <w:rPr>
                      <w:rFonts w:hint="eastAsia"/>
                      <w:color w:val="0000FF"/>
                    </w:rPr>
                    <w:t>安徽淮相科技发展有限公司第二污水处理厂（污水处理站规模：7m</w:t>
                  </w:r>
                  <w:r>
                    <w:rPr>
                      <w:rFonts w:hint="eastAsia"/>
                      <w:color w:val="0000FF"/>
                      <w:vertAlign w:val="superscript"/>
                    </w:rPr>
                    <w:t>3</w:t>
                  </w:r>
                  <w:r>
                    <w:rPr>
                      <w:rFonts w:hint="eastAsia"/>
                      <w:color w:val="0000FF"/>
                    </w:rPr>
                    <w:t>/d；污水处理工艺：</w:t>
                  </w:r>
                  <w:r>
                    <w:rPr>
                      <w:rFonts w:hint="eastAsia"/>
                      <w:color w:val="0000FF"/>
                      <w:lang w:bidi="ar"/>
                    </w:rPr>
                    <w:t>格栅+调节+气浮+初沉+隔油+SBR+厌氧+A/O+沉淀+紫外消毒+出水</w:t>
                  </w:r>
                  <w:r>
                    <w:rPr>
                      <w:rFonts w:hint="eastAsia"/>
                      <w:color w:val="0000FF"/>
                    </w:rPr>
                    <w:t>）。</w:t>
                  </w:r>
                </w:p>
              </w:tc>
              <w:tc>
                <w:tcPr>
                  <w:tcW w:w="688" w:type="dxa"/>
                  <w:tcBorders>
                    <w:tl2br w:val="nil"/>
                    <w:tr2bl w:val="nil"/>
                  </w:tcBorders>
                  <w:vAlign w:val="center"/>
                </w:tcPr>
                <w:p w14:paraId="21595EDA">
                  <w:pPr>
                    <w:pStyle w:val="29"/>
                  </w:pPr>
                  <w:r>
                    <w:rPr>
                      <w:rFonts w:hint="eastAsia"/>
                    </w:rPr>
                    <w:t>新建</w:t>
                  </w:r>
                </w:p>
              </w:tc>
            </w:tr>
            <w:tr w14:paraId="5B8D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01E74F01">
                  <w:pPr>
                    <w:pStyle w:val="29"/>
                  </w:pPr>
                </w:p>
              </w:tc>
              <w:tc>
                <w:tcPr>
                  <w:tcW w:w="1073" w:type="dxa"/>
                  <w:tcBorders>
                    <w:tl2br w:val="nil"/>
                    <w:tr2bl w:val="nil"/>
                  </w:tcBorders>
                  <w:vAlign w:val="center"/>
                </w:tcPr>
                <w:p w14:paraId="21CE9A54">
                  <w:pPr>
                    <w:pStyle w:val="29"/>
                  </w:pPr>
                  <w:r>
                    <w:t>固废处理</w:t>
                  </w:r>
                </w:p>
              </w:tc>
              <w:tc>
                <w:tcPr>
                  <w:tcW w:w="5415" w:type="dxa"/>
                  <w:tcBorders>
                    <w:tl2br w:val="nil"/>
                    <w:tr2bl w:val="nil"/>
                  </w:tcBorders>
                  <w:vAlign w:val="center"/>
                </w:tcPr>
                <w:p w14:paraId="0E034E81">
                  <w:pPr>
                    <w:pStyle w:val="29"/>
                  </w:pPr>
                  <w:r>
                    <w:rPr>
                      <w:rFonts w:hint="eastAsia"/>
                      <w:color w:val="0000FF"/>
                    </w:rPr>
                    <w:t>一般固废间位于东北角10m</w:t>
                  </w:r>
                  <w:r>
                    <w:rPr>
                      <w:rFonts w:hint="eastAsia"/>
                      <w:color w:val="0000FF"/>
                      <w:vertAlign w:val="superscript"/>
                    </w:rPr>
                    <w:t>2</w:t>
                  </w:r>
                  <w:r>
                    <w:rPr>
                      <w:rFonts w:hint="eastAsia"/>
                      <w:color w:val="0000FF"/>
                    </w:rPr>
                    <w:t>，废包装物交由资源回收部门利用；废油脂、厨余垃圾、不合格品委托餐厨垃圾处理厂处置；污泥交由有资质单位清运；废砂滤器、废活性炭过滤器、废软化器、废RO膜交由原厂家回收处置、生活垃圾委托环卫部门定期清运。</w:t>
                  </w:r>
                </w:p>
              </w:tc>
              <w:tc>
                <w:tcPr>
                  <w:tcW w:w="688" w:type="dxa"/>
                  <w:tcBorders>
                    <w:tl2br w:val="nil"/>
                    <w:tr2bl w:val="nil"/>
                  </w:tcBorders>
                  <w:vAlign w:val="center"/>
                </w:tcPr>
                <w:p w14:paraId="2FE76802">
                  <w:pPr>
                    <w:pStyle w:val="29"/>
                  </w:pPr>
                  <w:r>
                    <w:rPr>
                      <w:rFonts w:hint="eastAsia"/>
                    </w:rPr>
                    <w:t>新建</w:t>
                  </w:r>
                </w:p>
              </w:tc>
            </w:tr>
            <w:tr w14:paraId="32B9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6A883613">
                  <w:pPr>
                    <w:pStyle w:val="29"/>
                  </w:pPr>
                </w:p>
              </w:tc>
              <w:tc>
                <w:tcPr>
                  <w:tcW w:w="1073" w:type="dxa"/>
                  <w:tcBorders>
                    <w:tl2br w:val="nil"/>
                    <w:tr2bl w:val="nil"/>
                  </w:tcBorders>
                  <w:vAlign w:val="center"/>
                </w:tcPr>
                <w:p w14:paraId="068F7576">
                  <w:pPr>
                    <w:pStyle w:val="29"/>
                  </w:pPr>
                  <w:r>
                    <w:t>噪声处理</w:t>
                  </w:r>
                </w:p>
              </w:tc>
              <w:tc>
                <w:tcPr>
                  <w:tcW w:w="5415" w:type="dxa"/>
                  <w:tcBorders>
                    <w:tl2br w:val="nil"/>
                    <w:tr2bl w:val="nil"/>
                  </w:tcBorders>
                  <w:vAlign w:val="center"/>
                </w:tcPr>
                <w:p w14:paraId="4899DB53">
                  <w:pPr>
                    <w:pStyle w:val="29"/>
                    <w:rPr>
                      <w:highlight w:val="yellow"/>
                    </w:rPr>
                  </w:pPr>
                  <w:r>
                    <w:t>合理布局噪声生产设备，并采取消声减振措施，高噪音设备均设置在厂房内部进行隔声。</w:t>
                  </w:r>
                </w:p>
              </w:tc>
              <w:tc>
                <w:tcPr>
                  <w:tcW w:w="688" w:type="dxa"/>
                  <w:tcBorders>
                    <w:tl2br w:val="nil"/>
                    <w:tr2bl w:val="nil"/>
                  </w:tcBorders>
                  <w:vAlign w:val="center"/>
                </w:tcPr>
                <w:p w14:paraId="517FE67A">
                  <w:pPr>
                    <w:pStyle w:val="29"/>
                  </w:pPr>
                  <w:r>
                    <w:rPr>
                      <w:rFonts w:hint="eastAsia"/>
                    </w:rPr>
                    <w:t>新建</w:t>
                  </w:r>
                </w:p>
              </w:tc>
            </w:tr>
            <w:tr w14:paraId="302A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1B6DE6A0">
                  <w:pPr>
                    <w:pStyle w:val="29"/>
                  </w:pPr>
                </w:p>
              </w:tc>
              <w:tc>
                <w:tcPr>
                  <w:tcW w:w="1073" w:type="dxa"/>
                  <w:tcBorders>
                    <w:tl2br w:val="nil"/>
                    <w:tr2bl w:val="nil"/>
                  </w:tcBorders>
                  <w:vAlign w:val="center"/>
                </w:tcPr>
                <w:p w14:paraId="62354D0F">
                  <w:pPr>
                    <w:pStyle w:val="29"/>
                  </w:pPr>
                  <w:r>
                    <w:rPr>
                      <w:rFonts w:hint="eastAsia"/>
                    </w:rPr>
                    <w:t>地下水、土壤</w:t>
                  </w:r>
                </w:p>
              </w:tc>
              <w:tc>
                <w:tcPr>
                  <w:tcW w:w="5415" w:type="dxa"/>
                  <w:tcBorders>
                    <w:tl2br w:val="nil"/>
                    <w:tr2bl w:val="nil"/>
                  </w:tcBorders>
                  <w:vAlign w:val="center"/>
                </w:tcPr>
                <w:p w14:paraId="31DA167C">
                  <w:pPr>
                    <w:pStyle w:val="29"/>
                  </w:pPr>
                  <w:r>
                    <w:rPr>
                      <w:color w:val="0000FF"/>
                    </w:rPr>
                    <w:t>分为重点防渗区和一般防渗区，重点防渗区为</w:t>
                  </w:r>
                  <w:r>
                    <w:rPr>
                      <w:rFonts w:hint="eastAsia"/>
                      <w:color w:val="0000FF"/>
                    </w:rPr>
                    <w:t>污水处理站、事故应急池，其他区域进行一般防渗</w:t>
                  </w:r>
                  <w:r>
                    <w:rPr>
                      <w:color w:val="0000FF"/>
                    </w:rPr>
                    <w:t>。</w:t>
                  </w:r>
                  <w:r>
                    <w:rPr>
                      <w:rFonts w:hint="eastAsia"/>
                      <w:color w:val="0000FF"/>
                    </w:rPr>
                    <w:t>重点</w:t>
                  </w:r>
                  <w:r>
                    <w:rPr>
                      <w:color w:val="0000FF"/>
                    </w:rPr>
                    <w:t>防渗要求等效黏土防渗层Mb≥6.0m，K≤1*10</w:t>
                  </w:r>
                  <w:r>
                    <w:rPr>
                      <w:color w:val="0000FF"/>
                      <w:vertAlign w:val="superscript"/>
                    </w:rPr>
                    <w:t>-</w:t>
                  </w:r>
                  <w:r>
                    <w:rPr>
                      <w:rFonts w:hint="eastAsia"/>
                      <w:color w:val="0000FF"/>
                      <w:vertAlign w:val="superscript"/>
                    </w:rPr>
                    <w:t>7</w:t>
                  </w:r>
                  <w:r>
                    <w:rPr>
                      <w:color w:val="0000FF"/>
                    </w:rPr>
                    <w:t>cm/s；一般防渗区包括</w:t>
                  </w:r>
                  <w:r>
                    <w:rPr>
                      <w:rFonts w:hint="eastAsia"/>
                      <w:color w:val="0000FF"/>
                    </w:rPr>
                    <w:t>生产区</w:t>
                  </w:r>
                  <w:r>
                    <w:rPr>
                      <w:color w:val="0000FF"/>
                    </w:rPr>
                    <w:t>等，等效黏土防渗层Mb≥1.5m，K≤1*10</w:t>
                  </w:r>
                  <w:r>
                    <w:rPr>
                      <w:color w:val="0000FF"/>
                      <w:vertAlign w:val="superscript"/>
                    </w:rPr>
                    <w:t>-7</w:t>
                  </w:r>
                  <w:r>
                    <w:rPr>
                      <w:color w:val="0000FF"/>
                    </w:rPr>
                    <w:t>cm/s。</w:t>
                  </w:r>
                </w:p>
              </w:tc>
              <w:tc>
                <w:tcPr>
                  <w:tcW w:w="688" w:type="dxa"/>
                  <w:tcBorders>
                    <w:tl2br w:val="nil"/>
                    <w:tr2bl w:val="nil"/>
                  </w:tcBorders>
                  <w:vAlign w:val="center"/>
                </w:tcPr>
                <w:p w14:paraId="169D6B51">
                  <w:pPr>
                    <w:pStyle w:val="29"/>
                  </w:pPr>
                  <w:r>
                    <w:rPr>
                      <w:rFonts w:hint="eastAsia"/>
                    </w:rPr>
                    <w:t>新建</w:t>
                  </w:r>
                </w:p>
              </w:tc>
            </w:tr>
            <w:tr w14:paraId="152C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3" w:type="dxa"/>
                  <w:vMerge w:val="continue"/>
                  <w:tcBorders>
                    <w:tl2br w:val="nil"/>
                    <w:tr2bl w:val="nil"/>
                  </w:tcBorders>
                  <w:vAlign w:val="center"/>
                </w:tcPr>
                <w:p w14:paraId="7168F266">
                  <w:pPr>
                    <w:pStyle w:val="29"/>
                  </w:pPr>
                </w:p>
              </w:tc>
              <w:tc>
                <w:tcPr>
                  <w:tcW w:w="1073" w:type="dxa"/>
                  <w:tcBorders>
                    <w:tl2br w:val="nil"/>
                    <w:tr2bl w:val="nil"/>
                  </w:tcBorders>
                  <w:vAlign w:val="center"/>
                </w:tcPr>
                <w:p w14:paraId="62281FC6">
                  <w:pPr>
                    <w:pStyle w:val="29"/>
                  </w:pPr>
                  <w:r>
                    <w:rPr>
                      <w:rFonts w:hint="eastAsia"/>
                    </w:rPr>
                    <w:t>环境风险防范措施</w:t>
                  </w:r>
                </w:p>
              </w:tc>
              <w:tc>
                <w:tcPr>
                  <w:tcW w:w="5415" w:type="dxa"/>
                  <w:tcBorders>
                    <w:tl2br w:val="nil"/>
                    <w:tr2bl w:val="nil"/>
                  </w:tcBorders>
                  <w:vAlign w:val="center"/>
                </w:tcPr>
                <w:p w14:paraId="3857DE59">
                  <w:pPr>
                    <w:pStyle w:val="29"/>
                  </w:pPr>
                  <w:r>
                    <w:rPr>
                      <w:rFonts w:hint="eastAsia"/>
                    </w:rPr>
                    <w:t>编制应急预案；制定环境保护制度；落实项目环境风险防范措施；</w:t>
                  </w:r>
                  <w:r>
                    <w:rPr>
                      <w:rFonts w:hint="eastAsia"/>
                      <w:color w:val="0000FF"/>
                    </w:rPr>
                    <w:t>建设事故应急池（25m</w:t>
                  </w:r>
                  <w:r>
                    <w:rPr>
                      <w:rFonts w:hint="eastAsia"/>
                      <w:color w:val="0000FF"/>
                      <w:vertAlign w:val="superscript"/>
                    </w:rPr>
                    <w:t>3</w:t>
                  </w:r>
                  <w:r>
                    <w:rPr>
                      <w:rFonts w:hint="eastAsia"/>
                      <w:color w:val="0000FF"/>
                    </w:rPr>
                    <w:t>）。</w:t>
                  </w:r>
                </w:p>
              </w:tc>
              <w:tc>
                <w:tcPr>
                  <w:tcW w:w="688" w:type="dxa"/>
                  <w:tcBorders>
                    <w:tl2br w:val="nil"/>
                    <w:tr2bl w:val="nil"/>
                  </w:tcBorders>
                  <w:vAlign w:val="center"/>
                </w:tcPr>
                <w:p w14:paraId="1DF9D9FF">
                  <w:pPr>
                    <w:pStyle w:val="29"/>
                  </w:pPr>
                  <w:r>
                    <w:rPr>
                      <w:rFonts w:hint="eastAsia"/>
                    </w:rPr>
                    <w:t>/</w:t>
                  </w:r>
                </w:p>
              </w:tc>
            </w:tr>
          </w:tbl>
          <w:p w14:paraId="70F749D8">
            <w:pPr>
              <w:ind w:firstLine="482"/>
              <w:rPr>
                <w:b/>
                <w:bCs/>
              </w:rPr>
            </w:pPr>
            <w:r>
              <w:rPr>
                <w:rFonts w:hint="eastAsia"/>
                <w:b/>
                <w:bCs/>
              </w:rPr>
              <w:t>3、主要产品及产能</w:t>
            </w:r>
          </w:p>
          <w:p w14:paraId="59D8C4CD">
            <w:pPr>
              <w:rPr>
                <w:b/>
              </w:rPr>
            </w:pPr>
            <w:r>
              <w:rPr>
                <w:rFonts w:hint="eastAsia"/>
              </w:rPr>
              <w:t>项目主要产品方案见下表。</w:t>
            </w:r>
          </w:p>
          <w:p w14:paraId="6C02C483">
            <w:pPr>
              <w:pStyle w:val="32"/>
              <w:rPr>
                <w:rFonts w:hint="default"/>
              </w:rPr>
            </w:pPr>
            <w:r>
              <w:t>表2-2  主要产品一览表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84"/>
              <w:gridCol w:w="1211"/>
              <w:gridCol w:w="2607"/>
              <w:gridCol w:w="2031"/>
            </w:tblGrid>
            <w:tr w14:paraId="4419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21" w:type="pct"/>
                  <w:vAlign w:val="center"/>
                </w:tcPr>
                <w:p w14:paraId="4139BFD7">
                  <w:pPr>
                    <w:widowControl/>
                    <w:spacing w:line="240" w:lineRule="auto"/>
                    <w:ind w:firstLine="0" w:firstLineChars="0"/>
                    <w:jc w:val="center"/>
                    <w:textAlignment w:val="baseline"/>
                    <w:rPr>
                      <w:sz w:val="21"/>
                      <w:szCs w:val="21"/>
                    </w:rPr>
                  </w:pPr>
                  <w:r>
                    <w:rPr>
                      <w:rFonts w:hint="eastAsia"/>
                      <w:sz w:val="21"/>
                      <w:szCs w:val="21"/>
                    </w:rPr>
                    <w:t>产品名称</w:t>
                  </w:r>
                </w:p>
              </w:tc>
              <w:tc>
                <w:tcPr>
                  <w:tcW w:w="506" w:type="pct"/>
                  <w:vAlign w:val="center"/>
                </w:tcPr>
                <w:p w14:paraId="5F816475">
                  <w:pPr>
                    <w:widowControl/>
                    <w:spacing w:line="240" w:lineRule="auto"/>
                    <w:ind w:firstLine="0" w:firstLineChars="0"/>
                    <w:jc w:val="center"/>
                    <w:textAlignment w:val="baseline"/>
                    <w:rPr>
                      <w:sz w:val="21"/>
                      <w:szCs w:val="21"/>
                    </w:rPr>
                  </w:pPr>
                  <w:r>
                    <w:rPr>
                      <w:rFonts w:hint="eastAsia"/>
                      <w:sz w:val="21"/>
                      <w:szCs w:val="21"/>
                    </w:rPr>
                    <w:t>年产量t/a</w:t>
                  </w:r>
                </w:p>
              </w:tc>
              <w:tc>
                <w:tcPr>
                  <w:tcW w:w="781" w:type="pct"/>
                  <w:vAlign w:val="center"/>
                </w:tcPr>
                <w:p w14:paraId="01F7D60B">
                  <w:pPr>
                    <w:widowControl/>
                    <w:spacing w:line="240" w:lineRule="auto"/>
                    <w:ind w:firstLine="0" w:firstLineChars="0"/>
                    <w:jc w:val="center"/>
                    <w:textAlignment w:val="baseline"/>
                    <w:rPr>
                      <w:sz w:val="21"/>
                      <w:szCs w:val="21"/>
                    </w:rPr>
                  </w:pPr>
                  <w:r>
                    <w:rPr>
                      <w:rFonts w:hint="eastAsia"/>
                      <w:sz w:val="21"/>
                      <w:szCs w:val="21"/>
                    </w:rPr>
                    <w:t>去向/用途</w:t>
                  </w:r>
                </w:p>
              </w:tc>
              <w:tc>
                <w:tcPr>
                  <w:tcW w:w="1681" w:type="pct"/>
                  <w:vAlign w:val="center"/>
                </w:tcPr>
                <w:p w14:paraId="1BDB08F0">
                  <w:pPr>
                    <w:widowControl/>
                    <w:spacing w:line="240" w:lineRule="auto"/>
                    <w:ind w:firstLine="0" w:firstLineChars="0"/>
                    <w:jc w:val="center"/>
                    <w:textAlignment w:val="baseline"/>
                    <w:rPr>
                      <w:sz w:val="21"/>
                      <w:szCs w:val="21"/>
                    </w:rPr>
                  </w:pPr>
                  <w:r>
                    <w:rPr>
                      <w:rFonts w:hint="eastAsia"/>
                      <w:sz w:val="21"/>
                      <w:szCs w:val="21"/>
                    </w:rPr>
                    <w:t>包装规格</w:t>
                  </w:r>
                </w:p>
              </w:tc>
              <w:tc>
                <w:tcPr>
                  <w:tcW w:w="1309" w:type="pct"/>
                  <w:vAlign w:val="center"/>
                </w:tcPr>
                <w:p w14:paraId="3CF2A7B9">
                  <w:pPr>
                    <w:widowControl/>
                    <w:spacing w:line="240" w:lineRule="auto"/>
                    <w:ind w:firstLine="0" w:firstLineChars="0"/>
                    <w:jc w:val="center"/>
                    <w:textAlignment w:val="baseline"/>
                    <w:rPr>
                      <w:sz w:val="21"/>
                      <w:szCs w:val="21"/>
                    </w:rPr>
                  </w:pPr>
                  <w:r>
                    <w:rPr>
                      <w:rFonts w:hint="eastAsia"/>
                      <w:sz w:val="21"/>
                      <w:szCs w:val="21"/>
                    </w:rPr>
                    <w:t>产品质量标准</w:t>
                  </w:r>
                </w:p>
              </w:tc>
            </w:tr>
            <w:tr w14:paraId="4337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1" w:type="pct"/>
                  <w:vAlign w:val="center"/>
                </w:tcPr>
                <w:p w14:paraId="1423E9ED">
                  <w:pPr>
                    <w:widowControl/>
                    <w:spacing w:line="240" w:lineRule="auto"/>
                    <w:ind w:firstLine="0" w:firstLineChars="0"/>
                    <w:jc w:val="center"/>
                    <w:textAlignment w:val="baseline"/>
                    <w:rPr>
                      <w:sz w:val="21"/>
                      <w:szCs w:val="21"/>
                    </w:rPr>
                  </w:pPr>
                  <w:r>
                    <w:rPr>
                      <w:rFonts w:hint="eastAsia" w:ascii="宋体" w:hAnsi="宋体"/>
                      <w:sz w:val="21"/>
                      <w:szCs w:val="21"/>
                    </w:rPr>
                    <w:t>烧麦</w:t>
                  </w:r>
                </w:p>
              </w:tc>
              <w:tc>
                <w:tcPr>
                  <w:tcW w:w="506" w:type="pct"/>
                  <w:vAlign w:val="center"/>
                </w:tcPr>
                <w:p w14:paraId="40D1EE55">
                  <w:pPr>
                    <w:widowControl/>
                    <w:spacing w:line="240" w:lineRule="auto"/>
                    <w:ind w:firstLine="0" w:firstLineChars="0"/>
                    <w:jc w:val="center"/>
                    <w:textAlignment w:val="baseline"/>
                    <w:rPr>
                      <w:sz w:val="21"/>
                      <w:szCs w:val="21"/>
                    </w:rPr>
                  </w:pPr>
                  <w:r>
                    <w:rPr>
                      <w:rFonts w:hint="eastAsia"/>
                      <w:sz w:val="21"/>
                      <w:szCs w:val="21"/>
                    </w:rPr>
                    <w:t>150</w:t>
                  </w:r>
                </w:p>
              </w:tc>
              <w:tc>
                <w:tcPr>
                  <w:tcW w:w="781" w:type="pct"/>
                  <w:vMerge w:val="restart"/>
                  <w:vAlign w:val="center"/>
                </w:tcPr>
                <w:p w14:paraId="50B1066C">
                  <w:pPr>
                    <w:widowControl/>
                    <w:spacing w:line="240" w:lineRule="auto"/>
                    <w:ind w:firstLine="0" w:firstLineChars="0"/>
                    <w:jc w:val="center"/>
                    <w:textAlignment w:val="baseline"/>
                    <w:rPr>
                      <w:sz w:val="21"/>
                      <w:szCs w:val="21"/>
                    </w:rPr>
                  </w:pPr>
                  <w:r>
                    <w:rPr>
                      <w:rFonts w:hint="eastAsia"/>
                      <w:sz w:val="21"/>
                      <w:szCs w:val="21"/>
                    </w:rPr>
                    <w:t>外售</w:t>
                  </w:r>
                </w:p>
              </w:tc>
              <w:tc>
                <w:tcPr>
                  <w:tcW w:w="1681" w:type="pct"/>
                  <w:vAlign w:val="center"/>
                </w:tcPr>
                <w:p w14:paraId="32504B61">
                  <w:pPr>
                    <w:widowControl/>
                    <w:spacing w:line="240" w:lineRule="auto"/>
                    <w:ind w:firstLine="0" w:firstLineChars="0"/>
                    <w:jc w:val="center"/>
                    <w:textAlignment w:val="baseline"/>
                    <w:rPr>
                      <w:sz w:val="21"/>
                      <w:szCs w:val="21"/>
                    </w:rPr>
                  </w:pPr>
                  <w:r>
                    <w:rPr>
                      <w:rFonts w:hint="eastAsia"/>
                      <w:sz w:val="21"/>
                      <w:szCs w:val="21"/>
                    </w:rPr>
                    <w:t>长约4.5cm直径约4cm；20个/袋，10袋/箱</w:t>
                  </w:r>
                </w:p>
              </w:tc>
              <w:tc>
                <w:tcPr>
                  <w:tcW w:w="1309" w:type="pct"/>
                  <w:vMerge w:val="restart"/>
                  <w:vAlign w:val="center"/>
                </w:tcPr>
                <w:p w14:paraId="4D68A287">
                  <w:pPr>
                    <w:widowControl/>
                    <w:spacing w:line="240" w:lineRule="auto"/>
                    <w:ind w:firstLine="0" w:firstLineChars="0"/>
                    <w:jc w:val="center"/>
                    <w:textAlignment w:val="baseline"/>
                    <w:rPr>
                      <w:sz w:val="21"/>
                      <w:szCs w:val="21"/>
                    </w:rPr>
                  </w:pPr>
                  <w:r>
                    <w:rPr>
                      <w:sz w:val="21"/>
                      <w:szCs w:val="21"/>
                    </w:rPr>
                    <w:t>执行《食品安全国</w:t>
                  </w:r>
                </w:p>
                <w:p w14:paraId="422FEA29">
                  <w:pPr>
                    <w:widowControl/>
                    <w:spacing w:line="240" w:lineRule="auto"/>
                    <w:ind w:firstLine="0" w:firstLineChars="0"/>
                    <w:textAlignment w:val="baseline"/>
                    <w:rPr>
                      <w:sz w:val="21"/>
                      <w:szCs w:val="21"/>
                    </w:rPr>
                  </w:pPr>
                  <w:r>
                    <w:rPr>
                      <w:sz w:val="21"/>
                      <w:szCs w:val="21"/>
                    </w:rPr>
                    <w:t>家标准速冻面米与调制食品》（GB19295-2021）</w:t>
                  </w:r>
                </w:p>
              </w:tc>
            </w:tr>
            <w:tr w14:paraId="3CBA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1" w:type="pct"/>
                  <w:vAlign w:val="center"/>
                </w:tcPr>
                <w:p w14:paraId="321DE735">
                  <w:pPr>
                    <w:widowControl/>
                    <w:spacing w:line="240" w:lineRule="auto"/>
                    <w:ind w:firstLine="0" w:firstLineChars="0"/>
                    <w:jc w:val="center"/>
                    <w:textAlignment w:val="baseline"/>
                    <w:rPr>
                      <w:sz w:val="21"/>
                      <w:szCs w:val="21"/>
                    </w:rPr>
                  </w:pPr>
                  <w:r>
                    <w:rPr>
                      <w:rFonts w:hint="eastAsia" w:ascii="宋体" w:hAnsi="宋体"/>
                      <w:sz w:val="21"/>
                      <w:szCs w:val="21"/>
                    </w:rPr>
                    <w:t>包子馅料</w:t>
                  </w:r>
                </w:p>
              </w:tc>
              <w:tc>
                <w:tcPr>
                  <w:tcW w:w="506" w:type="pct"/>
                  <w:vAlign w:val="center"/>
                </w:tcPr>
                <w:p w14:paraId="403BB93D">
                  <w:pPr>
                    <w:widowControl/>
                    <w:spacing w:line="240" w:lineRule="auto"/>
                    <w:ind w:firstLine="0" w:firstLineChars="0"/>
                    <w:jc w:val="center"/>
                    <w:textAlignment w:val="baseline"/>
                    <w:rPr>
                      <w:sz w:val="21"/>
                      <w:szCs w:val="21"/>
                    </w:rPr>
                  </w:pPr>
                  <w:r>
                    <w:rPr>
                      <w:rFonts w:hint="eastAsia"/>
                      <w:sz w:val="21"/>
                      <w:szCs w:val="21"/>
                    </w:rPr>
                    <w:t>850</w:t>
                  </w:r>
                </w:p>
              </w:tc>
              <w:tc>
                <w:tcPr>
                  <w:tcW w:w="781" w:type="pct"/>
                  <w:vMerge w:val="continue"/>
                  <w:vAlign w:val="center"/>
                </w:tcPr>
                <w:p w14:paraId="4E3E42F5">
                  <w:pPr>
                    <w:widowControl/>
                    <w:spacing w:line="240" w:lineRule="auto"/>
                    <w:ind w:firstLine="0" w:firstLineChars="0"/>
                    <w:jc w:val="center"/>
                    <w:textAlignment w:val="baseline"/>
                    <w:rPr>
                      <w:sz w:val="21"/>
                      <w:szCs w:val="21"/>
                    </w:rPr>
                  </w:pPr>
                </w:p>
              </w:tc>
              <w:tc>
                <w:tcPr>
                  <w:tcW w:w="1681" w:type="pct"/>
                  <w:vAlign w:val="center"/>
                </w:tcPr>
                <w:p w14:paraId="459B9D20">
                  <w:pPr>
                    <w:widowControl/>
                    <w:spacing w:line="240" w:lineRule="auto"/>
                    <w:ind w:firstLine="0" w:firstLineChars="0"/>
                    <w:jc w:val="center"/>
                    <w:textAlignment w:val="baseline"/>
                    <w:rPr>
                      <w:sz w:val="21"/>
                      <w:szCs w:val="21"/>
                    </w:rPr>
                  </w:pPr>
                  <w:r>
                    <w:rPr>
                      <w:rFonts w:hint="eastAsia"/>
                      <w:sz w:val="21"/>
                      <w:szCs w:val="21"/>
                    </w:rPr>
                    <w:t>/</w:t>
                  </w:r>
                </w:p>
              </w:tc>
              <w:tc>
                <w:tcPr>
                  <w:tcW w:w="1309" w:type="pct"/>
                  <w:vMerge w:val="continue"/>
                  <w:vAlign w:val="center"/>
                </w:tcPr>
                <w:p w14:paraId="7DE7B295">
                  <w:pPr>
                    <w:widowControl/>
                    <w:spacing w:line="240" w:lineRule="auto"/>
                    <w:ind w:firstLine="0" w:firstLineChars="0"/>
                    <w:jc w:val="center"/>
                    <w:textAlignment w:val="baseline"/>
                    <w:rPr>
                      <w:sz w:val="21"/>
                      <w:szCs w:val="21"/>
                    </w:rPr>
                  </w:pPr>
                </w:p>
              </w:tc>
            </w:tr>
          </w:tbl>
          <w:p w14:paraId="6B74235E">
            <w:pPr>
              <w:spacing w:line="240" w:lineRule="auto"/>
              <w:ind w:firstLine="0" w:firstLineChars="0"/>
              <w:jc w:val="center"/>
              <w:rPr>
                <w:b/>
                <w:bCs/>
                <w:color w:val="0000FF"/>
              </w:rPr>
            </w:pPr>
            <w:r>
              <w:rPr>
                <w:b/>
                <w:bCs/>
                <w:color w:val="0000FF"/>
              </w:rPr>
              <w:t>表2-</w:t>
            </w:r>
            <w:r>
              <w:rPr>
                <w:rFonts w:hint="eastAsia"/>
                <w:b/>
                <w:bCs/>
                <w:color w:val="0000FF"/>
              </w:rPr>
              <w:t xml:space="preserve">3  </w:t>
            </w:r>
            <w:r>
              <w:rPr>
                <w:b/>
                <w:bCs/>
                <w:color w:val="0000FF"/>
              </w:rPr>
              <w:t>《食品安全国家标准速冻面米与调制食品》</w:t>
            </w:r>
            <w:r>
              <w:rPr>
                <w:rFonts w:hint="eastAsia"/>
                <w:b/>
                <w:bCs/>
                <w:color w:val="0000FF"/>
              </w:rPr>
              <w:t>要求及指标</w:t>
            </w:r>
          </w:p>
          <w:tbl>
            <w:tblPr>
              <w:tblStyle w:val="23"/>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5933"/>
            </w:tblGrid>
            <w:tr w14:paraId="6E1E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dxa"/>
                  <w:vAlign w:val="center"/>
                </w:tcPr>
                <w:p w14:paraId="617DB6F2">
                  <w:pPr>
                    <w:spacing w:line="240" w:lineRule="auto"/>
                    <w:ind w:firstLine="0" w:firstLineChars="0"/>
                    <w:jc w:val="center"/>
                    <w:rPr>
                      <w:color w:val="0000FF"/>
                      <w:sz w:val="21"/>
                      <w:szCs w:val="21"/>
                    </w:rPr>
                  </w:pPr>
                  <w:r>
                    <w:rPr>
                      <w:color w:val="0000FF"/>
                      <w:sz w:val="21"/>
                      <w:szCs w:val="21"/>
                    </w:rPr>
                    <w:t>项目</w:t>
                  </w:r>
                </w:p>
              </w:tc>
              <w:tc>
                <w:tcPr>
                  <w:tcW w:w="5933" w:type="dxa"/>
                  <w:vAlign w:val="center"/>
                </w:tcPr>
                <w:p w14:paraId="2EE04E09">
                  <w:pPr>
                    <w:spacing w:line="240" w:lineRule="auto"/>
                    <w:ind w:firstLine="0" w:firstLineChars="0"/>
                    <w:jc w:val="center"/>
                    <w:rPr>
                      <w:color w:val="0000FF"/>
                      <w:sz w:val="21"/>
                      <w:szCs w:val="21"/>
                    </w:rPr>
                  </w:pPr>
                  <w:r>
                    <w:rPr>
                      <w:color w:val="0000FF"/>
                      <w:sz w:val="21"/>
                      <w:szCs w:val="21"/>
                    </w:rPr>
                    <w:t>要求/指标</w:t>
                  </w:r>
                </w:p>
              </w:tc>
            </w:tr>
            <w:tr w14:paraId="5F5F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dxa"/>
                  <w:vAlign w:val="center"/>
                </w:tcPr>
                <w:p w14:paraId="251CE1BC">
                  <w:pPr>
                    <w:spacing w:line="240" w:lineRule="auto"/>
                    <w:ind w:firstLine="0" w:firstLineChars="0"/>
                    <w:jc w:val="center"/>
                    <w:rPr>
                      <w:color w:val="0000FF"/>
                      <w:sz w:val="21"/>
                      <w:szCs w:val="21"/>
                    </w:rPr>
                  </w:pPr>
                  <w:r>
                    <w:rPr>
                      <w:color w:val="0000FF"/>
                      <w:sz w:val="21"/>
                      <w:szCs w:val="21"/>
                    </w:rPr>
                    <w:t>色泽</w:t>
                  </w:r>
                </w:p>
              </w:tc>
              <w:tc>
                <w:tcPr>
                  <w:tcW w:w="5933" w:type="dxa"/>
                  <w:vAlign w:val="center"/>
                </w:tcPr>
                <w:p w14:paraId="600C9FEB">
                  <w:pPr>
                    <w:widowControl/>
                    <w:spacing w:line="240" w:lineRule="auto"/>
                    <w:ind w:firstLine="0" w:firstLineChars="0"/>
                    <w:jc w:val="center"/>
                    <w:rPr>
                      <w:color w:val="0000FF"/>
                      <w:sz w:val="21"/>
                      <w:szCs w:val="21"/>
                    </w:rPr>
                  </w:pPr>
                  <w:r>
                    <w:rPr>
                      <w:color w:val="0000FF"/>
                      <w:sz w:val="21"/>
                      <w:szCs w:val="21"/>
                      <w:lang w:bidi="ar"/>
                    </w:rPr>
                    <w:t>具有该产品应有的色泽</w:t>
                  </w:r>
                </w:p>
              </w:tc>
            </w:tr>
            <w:tr w14:paraId="3FD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dxa"/>
                  <w:vAlign w:val="center"/>
                </w:tcPr>
                <w:p w14:paraId="7CC131BD">
                  <w:pPr>
                    <w:spacing w:line="240" w:lineRule="auto"/>
                    <w:ind w:firstLine="0" w:firstLineChars="0"/>
                    <w:jc w:val="center"/>
                    <w:rPr>
                      <w:color w:val="0000FF"/>
                      <w:sz w:val="21"/>
                      <w:szCs w:val="21"/>
                    </w:rPr>
                  </w:pPr>
                  <w:r>
                    <w:rPr>
                      <w:color w:val="0000FF"/>
                      <w:sz w:val="21"/>
                      <w:szCs w:val="21"/>
                    </w:rPr>
                    <w:t>滋味、气味</w:t>
                  </w:r>
                </w:p>
              </w:tc>
              <w:tc>
                <w:tcPr>
                  <w:tcW w:w="5933" w:type="dxa"/>
                  <w:vAlign w:val="center"/>
                </w:tcPr>
                <w:p w14:paraId="1A9E23FC">
                  <w:pPr>
                    <w:widowControl/>
                    <w:spacing w:line="240" w:lineRule="auto"/>
                    <w:ind w:firstLine="0" w:firstLineChars="0"/>
                    <w:jc w:val="center"/>
                    <w:rPr>
                      <w:color w:val="0000FF"/>
                      <w:sz w:val="21"/>
                      <w:szCs w:val="21"/>
                    </w:rPr>
                  </w:pPr>
                  <w:r>
                    <w:rPr>
                      <w:color w:val="0000FF"/>
                      <w:sz w:val="21"/>
                      <w:szCs w:val="21"/>
                      <w:lang w:bidi="ar"/>
                    </w:rPr>
                    <w:t>具有该产品应有的滋味与气味，无异味</w:t>
                  </w:r>
                </w:p>
              </w:tc>
            </w:tr>
            <w:tr w14:paraId="0F8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dxa"/>
                  <w:vAlign w:val="center"/>
                </w:tcPr>
                <w:p w14:paraId="418B3A1F">
                  <w:pPr>
                    <w:spacing w:line="240" w:lineRule="auto"/>
                    <w:ind w:firstLine="0" w:firstLineChars="0"/>
                    <w:jc w:val="center"/>
                    <w:rPr>
                      <w:color w:val="0000FF"/>
                      <w:sz w:val="21"/>
                      <w:szCs w:val="21"/>
                    </w:rPr>
                  </w:pPr>
                  <w:r>
                    <w:rPr>
                      <w:color w:val="0000FF"/>
                      <w:sz w:val="21"/>
                      <w:szCs w:val="21"/>
                    </w:rPr>
                    <w:t>状态</w:t>
                  </w:r>
                </w:p>
              </w:tc>
              <w:tc>
                <w:tcPr>
                  <w:tcW w:w="5933" w:type="dxa"/>
                  <w:vAlign w:val="center"/>
                </w:tcPr>
                <w:p w14:paraId="154191DA">
                  <w:pPr>
                    <w:widowControl/>
                    <w:spacing w:line="240" w:lineRule="auto"/>
                    <w:ind w:firstLine="0" w:firstLineChars="0"/>
                    <w:jc w:val="center"/>
                    <w:rPr>
                      <w:color w:val="0000FF"/>
                      <w:sz w:val="21"/>
                      <w:szCs w:val="21"/>
                    </w:rPr>
                  </w:pPr>
                  <w:r>
                    <w:rPr>
                      <w:color w:val="0000FF"/>
                      <w:sz w:val="21"/>
                      <w:szCs w:val="21"/>
                      <w:lang w:bidi="ar"/>
                    </w:rPr>
                    <w:t>具有该产品应有的形态，不变形，不破损，表面不结霜。外表及内部均无肉眼可见异物</w:t>
                  </w:r>
                </w:p>
              </w:tc>
            </w:tr>
            <w:tr w14:paraId="3EC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dxa"/>
                  <w:vAlign w:val="center"/>
                </w:tcPr>
                <w:p w14:paraId="0195CF33">
                  <w:pPr>
                    <w:spacing w:line="240" w:lineRule="auto"/>
                    <w:ind w:firstLine="0" w:firstLineChars="0"/>
                    <w:jc w:val="center"/>
                    <w:rPr>
                      <w:color w:val="0000FF"/>
                      <w:sz w:val="21"/>
                      <w:szCs w:val="21"/>
                    </w:rPr>
                  </w:pPr>
                  <w:r>
                    <w:rPr>
                      <w:color w:val="0000FF"/>
                      <w:sz w:val="21"/>
                      <w:szCs w:val="21"/>
                    </w:rPr>
                    <w:t>过氧化值 （以脂计）/（g/100g）≤</w:t>
                  </w:r>
                </w:p>
              </w:tc>
              <w:tc>
                <w:tcPr>
                  <w:tcW w:w="5933" w:type="dxa"/>
                  <w:vAlign w:val="center"/>
                </w:tcPr>
                <w:p w14:paraId="6B3A8322">
                  <w:pPr>
                    <w:spacing w:line="240" w:lineRule="auto"/>
                    <w:ind w:firstLine="0" w:firstLineChars="0"/>
                    <w:jc w:val="center"/>
                    <w:rPr>
                      <w:color w:val="0000FF"/>
                      <w:sz w:val="21"/>
                      <w:szCs w:val="21"/>
                    </w:rPr>
                  </w:pPr>
                  <w:r>
                    <w:rPr>
                      <w:color w:val="0000FF"/>
                      <w:sz w:val="21"/>
                      <w:szCs w:val="21"/>
                    </w:rPr>
                    <w:t>0.25</w:t>
                  </w:r>
                </w:p>
              </w:tc>
            </w:tr>
          </w:tbl>
          <w:p w14:paraId="3F490AC1">
            <w:pPr>
              <w:ind w:firstLine="482"/>
              <w:rPr>
                <w:b/>
                <w:bCs/>
              </w:rPr>
            </w:pPr>
            <w:r>
              <w:rPr>
                <w:rFonts w:hint="eastAsia"/>
                <w:b/>
                <w:bCs/>
              </w:rPr>
              <w:t>4、主要生产设备</w:t>
            </w:r>
          </w:p>
          <w:p w14:paraId="702E6148">
            <w:r>
              <w:rPr>
                <w:rFonts w:hint="eastAsia"/>
              </w:rPr>
              <w:t>本项目主要生产设备见下表。</w:t>
            </w:r>
          </w:p>
          <w:p w14:paraId="3E56F8D3">
            <w:pPr>
              <w:pStyle w:val="32"/>
              <w:rPr>
                <w:rFonts w:hint="default"/>
              </w:rPr>
            </w:pPr>
            <w:r>
              <w:t>表2-4  主要生产设备一览表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58"/>
              <w:gridCol w:w="1675"/>
              <w:gridCol w:w="1024"/>
              <w:gridCol w:w="833"/>
              <w:gridCol w:w="1511"/>
            </w:tblGrid>
            <w:tr w14:paraId="558C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vAlign w:val="center"/>
                </w:tcPr>
                <w:p w14:paraId="29947F42">
                  <w:pPr>
                    <w:pStyle w:val="31"/>
                    <w:spacing w:line="240" w:lineRule="auto"/>
                    <w:ind w:left="0"/>
                    <w:rPr>
                      <w:szCs w:val="21"/>
                    </w:rPr>
                  </w:pPr>
                  <w:r>
                    <w:rPr>
                      <w:szCs w:val="21"/>
                    </w:rPr>
                    <w:t>序号</w:t>
                  </w:r>
                </w:p>
              </w:tc>
              <w:tc>
                <w:tcPr>
                  <w:tcW w:w="1881" w:type="dxa"/>
                  <w:vAlign w:val="center"/>
                </w:tcPr>
                <w:p w14:paraId="40E2E131">
                  <w:pPr>
                    <w:pStyle w:val="31"/>
                    <w:spacing w:line="240" w:lineRule="auto"/>
                    <w:ind w:left="0"/>
                    <w:rPr>
                      <w:szCs w:val="21"/>
                    </w:rPr>
                  </w:pPr>
                  <w:r>
                    <w:rPr>
                      <w:szCs w:val="21"/>
                    </w:rPr>
                    <w:t>名称</w:t>
                  </w:r>
                </w:p>
              </w:tc>
              <w:tc>
                <w:tcPr>
                  <w:tcW w:w="1695" w:type="dxa"/>
                  <w:vAlign w:val="center"/>
                </w:tcPr>
                <w:p w14:paraId="5AE5E2F3">
                  <w:pPr>
                    <w:pStyle w:val="31"/>
                    <w:spacing w:line="240" w:lineRule="auto"/>
                    <w:ind w:left="0"/>
                    <w:rPr>
                      <w:szCs w:val="21"/>
                    </w:rPr>
                  </w:pPr>
                  <w:r>
                    <w:rPr>
                      <w:szCs w:val="21"/>
                    </w:rPr>
                    <w:t>规格型号</w:t>
                  </w:r>
                </w:p>
              </w:tc>
              <w:tc>
                <w:tcPr>
                  <w:tcW w:w="1035" w:type="dxa"/>
                  <w:vAlign w:val="center"/>
                </w:tcPr>
                <w:p w14:paraId="40406F6D">
                  <w:pPr>
                    <w:pStyle w:val="31"/>
                    <w:spacing w:line="240" w:lineRule="auto"/>
                    <w:ind w:left="0"/>
                    <w:rPr>
                      <w:szCs w:val="21"/>
                    </w:rPr>
                  </w:pPr>
                  <w:r>
                    <w:rPr>
                      <w:szCs w:val="21"/>
                    </w:rPr>
                    <w:t>单位</w:t>
                  </w:r>
                </w:p>
              </w:tc>
              <w:tc>
                <w:tcPr>
                  <w:tcW w:w="841" w:type="dxa"/>
                  <w:vAlign w:val="center"/>
                </w:tcPr>
                <w:p w14:paraId="02FF78B3">
                  <w:pPr>
                    <w:pStyle w:val="31"/>
                    <w:spacing w:line="240" w:lineRule="auto"/>
                    <w:ind w:left="0"/>
                    <w:rPr>
                      <w:szCs w:val="21"/>
                    </w:rPr>
                  </w:pPr>
                  <w:r>
                    <w:rPr>
                      <w:szCs w:val="21"/>
                    </w:rPr>
                    <w:t>数量</w:t>
                  </w:r>
                </w:p>
              </w:tc>
              <w:tc>
                <w:tcPr>
                  <w:tcW w:w="1529" w:type="dxa"/>
                  <w:vAlign w:val="center"/>
                </w:tcPr>
                <w:p w14:paraId="1DC6252D">
                  <w:pPr>
                    <w:pStyle w:val="31"/>
                    <w:spacing w:line="240" w:lineRule="auto"/>
                    <w:ind w:left="0"/>
                    <w:rPr>
                      <w:szCs w:val="21"/>
                    </w:rPr>
                  </w:pPr>
                  <w:r>
                    <w:rPr>
                      <w:szCs w:val="21"/>
                    </w:rPr>
                    <w:t>安装位置</w:t>
                  </w:r>
                </w:p>
              </w:tc>
            </w:tr>
            <w:tr w14:paraId="0C2D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8" w:type="dxa"/>
                  <w:gridSpan w:val="6"/>
                  <w:vAlign w:val="center"/>
                </w:tcPr>
                <w:p w14:paraId="18A1A46F">
                  <w:pPr>
                    <w:pStyle w:val="31"/>
                    <w:spacing w:line="240" w:lineRule="auto"/>
                    <w:ind w:left="0"/>
                    <w:rPr>
                      <w:szCs w:val="21"/>
                    </w:rPr>
                  </w:pPr>
                  <w:r>
                    <w:rPr>
                      <w:szCs w:val="21"/>
                    </w:rPr>
                    <w:t>馅料生产线设备</w:t>
                  </w:r>
                </w:p>
              </w:tc>
            </w:tr>
            <w:tr w14:paraId="4DB3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5A54F94A">
                  <w:pPr>
                    <w:pStyle w:val="31"/>
                    <w:spacing w:line="240" w:lineRule="auto"/>
                    <w:ind w:left="0"/>
                    <w:rPr>
                      <w:szCs w:val="21"/>
                    </w:rPr>
                  </w:pPr>
                  <w:r>
                    <w:rPr>
                      <w:szCs w:val="21"/>
                    </w:rPr>
                    <w:t>1</w:t>
                  </w:r>
                </w:p>
              </w:tc>
              <w:tc>
                <w:tcPr>
                  <w:tcW w:w="1881" w:type="dxa"/>
                  <w:shd w:val="clear" w:color="auto" w:fill="auto"/>
                  <w:vAlign w:val="center"/>
                </w:tcPr>
                <w:p w14:paraId="08EC5F5B">
                  <w:pPr>
                    <w:pStyle w:val="31"/>
                    <w:spacing w:line="240" w:lineRule="auto"/>
                    <w:ind w:left="0"/>
                    <w:rPr>
                      <w:szCs w:val="21"/>
                    </w:rPr>
                  </w:pPr>
                  <w:r>
                    <w:rPr>
                      <w:szCs w:val="21"/>
                    </w:rPr>
                    <w:t>蒸汽发生器</w:t>
                  </w:r>
                </w:p>
              </w:tc>
              <w:tc>
                <w:tcPr>
                  <w:tcW w:w="1695" w:type="dxa"/>
                  <w:shd w:val="clear" w:color="auto" w:fill="auto"/>
                  <w:vAlign w:val="center"/>
                </w:tcPr>
                <w:p w14:paraId="6F12E6DE">
                  <w:pPr>
                    <w:pStyle w:val="31"/>
                    <w:spacing w:line="240" w:lineRule="auto"/>
                    <w:ind w:left="0"/>
                    <w:rPr>
                      <w:szCs w:val="21"/>
                    </w:rPr>
                  </w:pPr>
                  <w:r>
                    <w:rPr>
                      <w:rFonts w:hint="eastAsia"/>
                      <w:szCs w:val="21"/>
                    </w:rPr>
                    <w:t>0.03t/h</w:t>
                  </w:r>
                </w:p>
              </w:tc>
              <w:tc>
                <w:tcPr>
                  <w:tcW w:w="1035" w:type="dxa"/>
                  <w:shd w:val="clear" w:color="auto" w:fill="auto"/>
                  <w:vAlign w:val="center"/>
                </w:tcPr>
                <w:p w14:paraId="432FD76C">
                  <w:pPr>
                    <w:pStyle w:val="31"/>
                    <w:spacing w:line="240" w:lineRule="auto"/>
                    <w:ind w:left="0"/>
                    <w:rPr>
                      <w:szCs w:val="21"/>
                    </w:rPr>
                  </w:pPr>
                  <w:r>
                    <w:rPr>
                      <w:szCs w:val="21"/>
                    </w:rPr>
                    <w:t>台</w:t>
                  </w:r>
                </w:p>
              </w:tc>
              <w:tc>
                <w:tcPr>
                  <w:tcW w:w="841" w:type="dxa"/>
                  <w:shd w:val="clear" w:color="auto" w:fill="auto"/>
                  <w:vAlign w:val="center"/>
                </w:tcPr>
                <w:p w14:paraId="1D681EFB">
                  <w:pPr>
                    <w:pStyle w:val="31"/>
                    <w:spacing w:line="240" w:lineRule="auto"/>
                    <w:ind w:left="0"/>
                    <w:rPr>
                      <w:szCs w:val="21"/>
                    </w:rPr>
                  </w:pPr>
                  <w:r>
                    <w:rPr>
                      <w:szCs w:val="21"/>
                    </w:rPr>
                    <w:t>1</w:t>
                  </w:r>
                </w:p>
              </w:tc>
              <w:tc>
                <w:tcPr>
                  <w:tcW w:w="1529" w:type="dxa"/>
                  <w:shd w:val="clear" w:color="auto" w:fill="auto"/>
                  <w:vAlign w:val="center"/>
                </w:tcPr>
                <w:p w14:paraId="3E79475E">
                  <w:pPr>
                    <w:pStyle w:val="31"/>
                    <w:spacing w:line="240" w:lineRule="auto"/>
                    <w:ind w:left="0"/>
                    <w:rPr>
                      <w:szCs w:val="21"/>
                    </w:rPr>
                  </w:pPr>
                  <w:r>
                    <w:rPr>
                      <w:szCs w:val="21"/>
                    </w:rPr>
                    <w:t>蔬菜加工车间</w:t>
                  </w:r>
                </w:p>
              </w:tc>
            </w:tr>
            <w:tr w14:paraId="2F11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04C87A30">
                  <w:pPr>
                    <w:pStyle w:val="31"/>
                    <w:spacing w:line="240" w:lineRule="auto"/>
                    <w:ind w:left="0"/>
                    <w:rPr>
                      <w:szCs w:val="21"/>
                    </w:rPr>
                  </w:pPr>
                  <w:r>
                    <w:rPr>
                      <w:szCs w:val="21"/>
                    </w:rPr>
                    <w:t>2</w:t>
                  </w:r>
                </w:p>
              </w:tc>
              <w:tc>
                <w:tcPr>
                  <w:tcW w:w="1881" w:type="dxa"/>
                  <w:shd w:val="clear" w:color="auto" w:fill="auto"/>
                  <w:vAlign w:val="center"/>
                </w:tcPr>
                <w:p w14:paraId="1A04321F">
                  <w:pPr>
                    <w:pStyle w:val="31"/>
                    <w:spacing w:line="240" w:lineRule="auto"/>
                    <w:ind w:left="0"/>
                    <w:rPr>
                      <w:szCs w:val="21"/>
                    </w:rPr>
                  </w:pPr>
                  <w:r>
                    <w:rPr>
                      <w:szCs w:val="21"/>
                    </w:rPr>
                    <w:t>小型叶菜清洗线</w:t>
                  </w:r>
                </w:p>
              </w:tc>
              <w:tc>
                <w:tcPr>
                  <w:tcW w:w="1695" w:type="dxa"/>
                  <w:shd w:val="clear" w:color="auto" w:fill="auto"/>
                  <w:vAlign w:val="center"/>
                </w:tcPr>
                <w:p w14:paraId="2E0388F5">
                  <w:pPr>
                    <w:pStyle w:val="31"/>
                    <w:spacing w:line="240" w:lineRule="auto"/>
                    <w:ind w:left="0"/>
                    <w:rPr>
                      <w:szCs w:val="21"/>
                    </w:rPr>
                  </w:pPr>
                  <w:r>
                    <w:rPr>
                      <w:szCs w:val="21"/>
                    </w:rPr>
                    <w:t>SQ-400A</w:t>
                  </w:r>
                </w:p>
              </w:tc>
              <w:tc>
                <w:tcPr>
                  <w:tcW w:w="1035" w:type="dxa"/>
                  <w:shd w:val="clear" w:color="auto" w:fill="auto"/>
                  <w:vAlign w:val="center"/>
                </w:tcPr>
                <w:p w14:paraId="58A9F399">
                  <w:pPr>
                    <w:pStyle w:val="31"/>
                    <w:spacing w:line="240" w:lineRule="auto"/>
                    <w:ind w:left="0"/>
                    <w:rPr>
                      <w:szCs w:val="21"/>
                    </w:rPr>
                  </w:pPr>
                  <w:r>
                    <w:rPr>
                      <w:szCs w:val="21"/>
                    </w:rPr>
                    <w:t>台</w:t>
                  </w:r>
                </w:p>
              </w:tc>
              <w:tc>
                <w:tcPr>
                  <w:tcW w:w="841" w:type="dxa"/>
                  <w:shd w:val="clear" w:color="auto" w:fill="auto"/>
                  <w:vAlign w:val="center"/>
                </w:tcPr>
                <w:p w14:paraId="0AF31132">
                  <w:pPr>
                    <w:pStyle w:val="31"/>
                    <w:spacing w:line="240" w:lineRule="auto"/>
                    <w:ind w:left="0"/>
                    <w:rPr>
                      <w:szCs w:val="21"/>
                    </w:rPr>
                  </w:pPr>
                  <w:r>
                    <w:rPr>
                      <w:szCs w:val="21"/>
                    </w:rPr>
                    <w:t>2</w:t>
                  </w:r>
                </w:p>
              </w:tc>
              <w:tc>
                <w:tcPr>
                  <w:tcW w:w="1529" w:type="dxa"/>
                  <w:shd w:val="clear" w:color="auto" w:fill="auto"/>
                  <w:vAlign w:val="center"/>
                </w:tcPr>
                <w:p w14:paraId="29E7721F">
                  <w:pPr>
                    <w:pStyle w:val="31"/>
                    <w:spacing w:line="240" w:lineRule="auto"/>
                    <w:ind w:left="0"/>
                    <w:rPr>
                      <w:szCs w:val="21"/>
                    </w:rPr>
                  </w:pPr>
                  <w:r>
                    <w:rPr>
                      <w:szCs w:val="21"/>
                    </w:rPr>
                    <w:t>蔬菜加工车间</w:t>
                  </w:r>
                </w:p>
              </w:tc>
            </w:tr>
            <w:tr w14:paraId="0511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5D3C7B36">
                  <w:pPr>
                    <w:pStyle w:val="31"/>
                    <w:spacing w:line="240" w:lineRule="auto"/>
                    <w:ind w:left="0"/>
                    <w:rPr>
                      <w:szCs w:val="21"/>
                    </w:rPr>
                  </w:pPr>
                  <w:r>
                    <w:rPr>
                      <w:szCs w:val="21"/>
                    </w:rPr>
                    <w:t>3</w:t>
                  </w:r>
                </w:p>
              </w:tc>
              <w:tc>
                <w:tcPr>
                  <w:tcW w:w="1881" w:type="dxa"/>
                  <w:shd w:val="clear" w:color="auto" w:fill="auto"/>
                  <w:vAlign w:val="center"/>
                </w:tcPr>
                <w:p w14:paraId="744FA985">
                  <w:pPr>
                    <w:pStyle w:val="31"/>
                    <w:spacing w:line="240" w:lineRule="auto"/>
                    <w:ind w:left="0"/>
                    <w:rPr>
                      <w:szCs w:val="21"/>
                    </w:rPr>
                  </w:pPr>
                  <w:r>
                    <w:rPr>
                      <w:szCs w:val="21"/>
                    </w:rPr>
                    <w:t>绞肉机</w:t>
                  </w:r>
                </w:p>
              </w:tc>
              <w:tc>
                <w:tcPr>
                  <w:tcW w:w="1695" w:type="dxa"/>
                  <w:shd w:val="clear" w:color="auto" w:fill="auto"/>
                  <w:vAlign w:val="center"/>
                </w:tcPr>
                <w:p w14:paraId="2F274A87">
                  <w:pPr>
                    <w:pStyle w:val="31"/>
                    <w:wordWrap w:val="0"/>
                    <w:spacing w:line="240" w:lineRule="auto"/>
                    <w:ind w:left="0"/>
                    <w:rPr>
                      <w:szCs w:val="21"/>
                    </w:rPr>
                  </w:pPr>
                  <w:r>
                    <w:rPr>
                      <w:szCs w:val="21"/>
                    </w:rPr>
                    <w:t>JR-42</w:t>
                  </w:r>
                </w:p>
              </w:tc>
              <w:tc>
                <w:tcPr>
                  <w:tcW w:w="1035" w:type="dxa"/>
                  <w:shd w:val="clear" w:color="auto" w:fill="auto"/>
                  <w:vAlign w:val="center"/>
                </w:tcPr>
                <w:p w14:paraId="1162F696">
                  <w:pPr>
                    <w:pStyle w:val="31"/>
                    <w:spacing w:line="240" w:lineRule="auto"/>
                    <w:ind w:left="0"/>
                    <w:rPr>
                      <w:szCs w:val="21"/>
                    </w:rPr>
                  </w:pPr>
                  <w:r>
                    <w:rPr>
                      <w:szCs w:val="21"/>
                    </w:rPr>
                    <w:t>台</w:t>
                  </w:r>
                </w:p>
              </w:tc>
              <w:tc>
                <w:tcPr>
                  <w:tcW w:w="841" w:type="dxa"/>
                  <w:shd w:val="clear" w:color="auto" w:fill="auto"/>
                  <w:vAlign w:val="center"/>
                </w:tcPr>
                <w:p w14:paraId="1C9A8E4B">
                  <w:pPr>
                    <w:pStyle w:val="31"/>
                    <w:spacing w:line="240" w:lineRule="auto"/>
                    <w:ind w:left="0"/>
                    <w:rPr>
                      <w:szCs w:val="21"/>
                    </w:rPr>
                  </w:pPr>
                  <w:r>
                    <w:rPr>
                      <w:szCs w:val="21"/>
                    </w:rPr>
                    <w:t>2</w:t>
                  </w:r>
                </w:p>
              </w:tc>
              <w:tc>
                <w:tcPr>
                  <w:tcW w:w="1529" w:type="dxa"/>
                  <w:shd w:val="clear" w:color="auto" w:fill="auto"/>
                  <w:vAlign w:val="center"/>
                </w:tcPr>
                <w:p w14:paraId="705196C1">
                  <w:pPr>
                    <w:pStyle w:val="31"/>
                    <w:spacing w:line="240" w:lineRule="auto"/>
                    <w:ind w:left="0"/>
                    <w:rPr>
                      <w:szCs w:val="21"/>
                    </w:rPr>
                  </w:pPr>
                  <w:r>
                    <w:rPr>
                      <w:szCs w:val="21"/>
                    </w:rPr>
                    <w:t>肉类加工车间</w:t>
                  </w:r>
                </w:p>
              </w:tc>
            </w:tr>
            <w:tr w14:paraId="75F5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06316DBC">
                  <w:pPr>
                    <w:pStyle w:val="31"/>
                    <w:spacing w:line="240" w:lineRule="auto"/>
                    <w:ind w:left="0"/>
                    <w:rPr>
                      <w:szCs w:val="21"/>
                    </w:rPr>
                  </w:pPr>
                  <w:r>
                    <w:rPr>
                      <w:szCs w:val="21"/>
                    </w:rPr>
                    <w:t>4</w:t>
                  </w:r>
                </w:p>
              </w:tc>
              <w:tc>
                <w:tcPr>
                  <w:tcW w:w="1881" w:type="dxa"/>
                  <w:shd w:val="clear" w:color="auto" w:fill="auto"/>
                  <w:vAlign w:val="center"/>
                </w:tcPr>
                <w:p w14:paraId="314B709B">
                  <w:pPr>
                    <w:pStyle w:val="31"/>
                    <w:spacing w:line="240" w:lineRule="auto"/>
                    <w:ind w:left="0"/>
                    <w:rPr>
                      <w:szCs w:val="21"/>
                    </w:rPr>
                  </w:pPr>
                  <w:r>
                    <w:rPr>
                      <w:szCs w:val="21"/>
                    </w:rPr>
                    <w:t>脱水机</w:t>
                  </w:r>
                </w:p>
              </w:tc>
              <w:tc>
                <w:tcPr>
                  <w:tcW w:w="1695" w:type="dxa"/>
                  <w:shd w:val="clear" w:color="auto" w:fill="auto"/>
                  <w:vAlign w:val="center"/>
                </w:tcPr>
                <w:p w14:paraId="362BC3B3">
                  <w:pPr>
                    <w:pStyle w:val="31"/>
                    <w:spacing w:line="240" w:lineRule="auto"/>
                    <w:ind w:left="0"/>
                    <w:rPr>
                      <w:szCs w:val="21"/>
                    </w:rPr>
                  </w:pPr>
                  <w:r>
                    <w:rPr>
                      <w:szCs w:val="21"/>
                    </w:rPr>
                    <w:t>/</w:t>
                  </w:r>
                </w:p>
              </w:tc>
              <w:tc>
                <w:tcPr>
                  <w:tcW w:w="1035" w:type="dxa"/>
                  <w:shd w:val="clear" w:color="auto" w:fill="auto"/>
                  <w:vAlign w:val="center"/>
                </w:tcPr>
                <w:p w14:paraId="47FF7841">
                  <w:pPr>
                    <w:pStyle w:val="31"/>
                    <w:spacing w:line="240" w:lineRule="auto"/>
                    <w:ind w:left="0"/>
                    <w:rPr>
                      <w:szCs w:val="21"/>
                    </w:rPr>
                  </w:pPr>
                  <w:r>
                    <w:rPr>
                      <w:szCs w:val="21"/>
                    </w:rPr>
                    <w:t>台</w:t>
                  </w:r>
                </w:p>
              </w:tc>
              <w:tc>
                <w:tcPr>
                  <w:tcW w:w="841" w:type="dxa"/>
                  <w:shd w:val="clear" w:color="auto" w:fill="auto"/>
                  <w:vAlign w:val="center"/>
                </w:tcPr>
                <w:p w14:paraId="2EB5215E">
                  <w:pPr>
                    <w:pStyle w:val="31"/>
                    <w:spacing w:line="240" w:lineRule="auto"/>
                    <w:ind w:left="0"/>
                    <w:rPr>
                      <w:szCs w:val="21"/>
                    </w:rPr>
                  </w:pPr>
                  <w:r>
                    <w:rPr>
                      <w:szCs w:val="21"/>
                    </w:rPr>
                    <w:t>1</w:t>
                  </w:r>
                </w:p>
              </w:tc>
              <w:tc>
                <w:tcPr>
                  <w:tcW w:w="1529" w:type="dxa"/>
                  <w:shd w:val="clear" w:color="auto" w:fill="auto"/>
                  <w:vAlign w:val="center"/>
                </w:tcPr>
                <w:p w14:paraId="75CDDF1F">
                  <w:pPr>
                    <w:pStyle w:val="31"/>
                    <w:spacing w:line="240" w:lineRule="auto"/>
                    <w:ind w:left="0"/>
                    <w:rPr>
                      <w:szCs w:val="21"/>
                    </w:rPr>
                  </w:pPr>
                  <w:r>
                    <w:rPr>
                      <w:szCs w:val="21"/>
                    </w:rPr>
                    <w:t>蔬菜加工车间</w:t>
                  </w:r>
                </w:p>
              </w:tc>
            </w:tr>
            <w:tr w14:paraId="7A7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6D5AE2D1">
                  <w:pPr>
                    <w:pStyle w:val="31"/>
                    <w:spacing w:line="240" w:lineRule="auto"/>
                    <w:ind w:left="0"/>
                    <w:rPr>
                      <w:szCs w:val="21"/>
                    </w:rPr>
                  </w:pPr>
                  <w:r>
                    <w:rPr>
                      <w:szCs w:val="21"/>
                    </w:rPr>
                    <w:t>5</w:t>
                  </w:r>
                </w:p>
              </w:tc>
              <w:tc>
                <w:tcPr>
                  <w:tcW w:w="1881" w:type="dxa"/>
                  <w:shd w:val="clear" w:color="auto" w:fill="auto"/>
                  <w:vAlign w:val="center"/>
                </w:tcPr>
                <w:p w14:paraId="52BC6EF9">
                  <w:pPr>
                    <w:pStyle w:val="31"/>
                    <w:spacing w:line="240" w:lineRule="auto"/>
                    <w:ind w:left="0"/>
                    <w:rPr>
                      <w:szCs w:val="21"/>
                    </w:rPr>
                  </w:pPr>
                  <w:r>
                    <w:rPr>
                      <w:szCs w:val="21"/>
                    </w:rPr>
                    <w:t>搅拌机</w:t>
                  </w:r>
                </w:p>
              </w:tc>
              <w:tc>
                <w:tcPr>
                  <w:tcW w:w="1695" w:type="dxa"/>
                  <w:shd w:val="clear" w:color="auto" w:fill="auto"/>
                  <w:vAlign w:val="center"/>
                </w:tcPr>
                <w:p w14:paraId="21FA3AD3">
                  <w:pPr>
                    <w:pStyle w:val="31"/>
                    <w:spacing w:line="240" w:lineRule="auto"/>
                    <w:ind w:left="0"/>
                    <w:rPr>
                      <w:szCs w:val="21"/>
                    </w:rPr>
                  </w:pPr>
                  <w:r>
                    <w:rPr>
                      <w:szCs w:val="21"/>
                    </w:rPr>
                    <w:t>/</w:t>
                  </w:r>
                </w:p>
              </w:tc>
              <w:tc>
                <w:tcPr>
                  <w:tcW w:w="1035" w:type="dxa"/>
                  <w:shd w:val="clear" w:color="auto" w:fill="auto"/>
                  <w:vAlign w:val="center"/>
                </w:tcPr>
                <w:p w14:paraId="17AF6781">
                  <w:pPr>
                    <w:pStyle w:val="31"/>
                    <w:spacing w:line="240" w:lineRule="auto"/>
                    <w:ind w:left="0"/>
                    <w:rPr>
                      <w:szCs w:val="21"/>
                    </w:rPr>
                  </w:pPr>
                  <w:r>
                    <w:rPr>
                      <w:szCs w:val="21"/>
                    </w:rPr>
                    <w:t>台</w:t>
                  </w:r>
                </w:p>
              </w:tc>
              <w:tc>
                <w:tcPr>
                  <w:tcW w:w="841" w:type="dxa"/>
                  <w:shd w:val="clear" w:color="auto" w:fill="auto"/>
                  <w:vAlign w:val="center"/>
                </w:tcPr>
                <w:p w14:paraId="3F2271D7">
                  <w:pPr>
                    <w:pStyle w:val="31"/>
                    <w:spacing w:line="240" w:lineRule="auto"/>
                    <w:ind w:left="0"/>
                    <w:rPr>
                      <w:szCs w:val="21"/>
                    </w:rPr>
                  </w:pPr>
                  <w:r>
                    <w:rPr>
                      <w:szCs w:val="21"/>
                    </w:rPr>
                    <w:t>2</w:t>
                  </w:r>
                </w:p>
              </w:tc>
              <w:tc>
                <w:tcPr>
                  <w:tcW w:w="1529" w:type="dxa"/>
                  <w:shd w:val="clear" w:color="auto" w:fill="auto"/>
                  <w:vAlign w:val="center"/>
                </w:tcPr>
                <w:p w14:paraId="277624DE">
                  <w:pPr>
                    <w:pStyle w:val="31"/>
                    <w:spacing w:line="240" w:lineRule="auto"/>
                    <w:ind w:left="0"/>
                    <w:rPr>
                      <w:szCs w:val="21"/>
                    </w:rPr>
                  </w:pPr>
                  <w:r>
                    <w:rPr>
                      <w:szCs w:val="21"/>
                    </w:rPr>
                    <w:t>拌馅车间</w:t>
                  </w:r>
                </w:p>
              </w:tc>
            </w:tr>
            <w:tr w14:paraId="6C86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5EB4303E">
                  <w:pPr>
                    <w:pStyle w:val="31"/>
                    <w:spacing w:line="240" w:lineRule="auto"/>
                    <w:ind w:left="0"/>
                    <w:rPr>
                      <w:szCs w:val="21"/>
                    </w:rPr>
                  </w:pPr>
                  <w:r>
                    <w:rPr>
                      <w:szCs w:val="21"/>
                    </w:rPr>
                    <w:t>6</w:t>
                  </w:r>
                </w:p>
              </w:tc>
              <w:tc>
                <w:tcPr>
                  <w:tcW w:w="1881" w:type="dxa"/>
                  <w:shd w:val="clear" w:color="auto" w:fill="auto"/>
                  <w:vAlign w:val="center"/>
                </w:tcPr>
                <w:p w14:paraId="41ABA658">
                  <w:pPr>
                    <w:pStyle w:val="31"/>
                    <w:spacing w:line="240" w:lineRule="auto"/>
                    <w:ind w:left="0"/>
                    <w:rPr>
                      <w:szCs w:val="21"/>
                    </w:rPr>
                  </w:pPr>
                  <w:r>
                    <w:rPr>
                      <w:szCs w:val="21"/>
                    </w:rPr>
                    <w:t>封包机</w:t>
                  </w:r>
                </w:p>
              </w:tc>
              <w:tc>
                <w:tcPr>
                  <w:tcW w:w="1695" w:type="dxa"/>
                  <w:shd w:val="clear" w:color="auto" w:fill="auto"/>
                  <w:vAlign w:val="center"/>
                </w:tcPr>
                <w:p w14:paraId="7119666B">
                  <w:pPr>
                    <w:pStyle w:val="31"/>
                    <w:spacing w:line="240" w:lineRule="auto"/>
                    <w:ind w:left="0"/>
                    <w:rPr>
                      <w:szCs w:val="21"/>
                    </w:rPr>
                  </w:pPr>
                  <w:r>
                    <w:rPr>
                      <w:szCs w:val="21"/>
                    </w:rPr>
                    <w:t>FRB-77GH 24m/min</w:t>
                  </w:r>
                </w:p>
              </w:tc>
              <w:tc>
                <w:tcPr>
                  <w:tcW w:w="1035" w:type="dxa"/>
                  <w:shd w:val="clear" w:color="auto" w:fill="auto"/>
                  <w:vAlign w:val="center"/>
                </w:tcPr>
                <w:p w14:paraId="767AF8A6">
                  <w:pPr>
                    <w:pStyle w:val="31"/>
                    <w:spacing w:line="240" w:lineRule="auto"/>
                    <w:ind w:left="0"/>
                    <w:rPr>
                      <w:szCs w:val="21"/>
                    </w:rPr>
                  </w:pPr>
                  <w:r>
                    <w:rPr>
                      <w:szCs w:val="21"/>
                    </w:rPr>
                    <w:t>台</w:t>
                  </w:r>
                </w:p>
              </w:tc>
              <w:tc>
                <w:tcPr>
                  <w:tcW w:w="841" w:type="dxa"/>
                  <w:shd w:val="clear" w:color="auto" w:fill="auto"/>
                  <w:vAlign w:val="center"/>
                </w:tcPr>
                <w:p w14:paraId="66A1FA27">
                  <w:pPr>
                    <w:pStyle w:val="31"/>
                    <w:spacing w:line="240" w:lineRule="auto"/>
                    <w:ind w:left="0"/>
                    <w:rPr>
                      <w:szCs w:val="21"/>
                    </w:rPr>
                  </w:pPr>
                  <w:r>
                    <w:rPr>
                      <w:szCs w:val="21"/>
                    </w:rPr>
                    <w:t>2</w:t>
                  </w:r>
                </w:p>
              </w:tc>
              <w:tc>
                <w:tcPr>
                  <w:tcW w:w="1529" w:type="dxa"/>
                  <w:shd w:val="clear" w:color="auto" w:fill="auto"/>
                  <w:vAlign w:val="center"/>
                </w:tcPr>
                <w:p w14:paraId="6F06A220">
                  <w:pPr>
                    <w:pStyle w:val="31"/>
                    <w:spacing w:line="240" w:lineRule="auto"/>
                    <w:ind w:left="0"/>
                    <w:rPr>
                      <w:szCs w:val="21"/>
                    </w:rPr>
                  </w:pPr>
                  <w:r>
                    <w:rPr>
                      <w:szCs w:val="21"/>
                    </w:rPr>
                    <w:t>包装车间</w:t>
                  </w:r>
                </w:p>
              </w:tc>
            </w:tr>
            <w:tr w14:paraId="5BC5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0377F47F">
                  <w:pPr>
                    <w:pStyle w:val="31"/>
                    <w:spacing w:line="240" w:lineRule="auto"/>
                    <w:ind w:left="0"/>
                    <w:rPr>
                      <w:szCs w:val="21"/>
                    </w:rPr>
                  </w:pPr>
                  <w:r>
                    <w:rPr>
                      <w:szCs w:val="21"/>
                    </w:rPr>
                    <w:t>7</w:t>
                  </w:r>
                </w:p>
              </w:tc>
              <w:tc>
                <w:tcPr>
                  <w:tcW w:w="1881" w:type="dxa"/>
                  <w:shd w:val="clear" w:color="auto" w:fill="auto"/>
                  <w:vAlign w:val="center"/>
                </w:tcPr>
                <w:p w14:paraId="2BEB513A">
                  <w:pPr>
                    <w:pStyle w:val="31"/>
                    <w:spacing w:line="240" w:lineRule="auto"/>
                    <w:ind w:left="0"/>
                    <w:rPr>
                      <w:szCs w:val="21"/>
                    </w:rPr>
                  </w:pPr>
                  <w:r>
                    <w:rPr>
                      <w:szCs w:val="21"/>
                    </w:rPr>
                    <w:t>切菜机</w:t>
                  </w:r>
                </w:p>
              </w:tc>
              <w:tc>
                <w:tcPr>
                  <w:tcW w:w="1695" w:type="dxa"/>
                  <w:shd w:val="clear" w:color="auto" w:fill="auto"/>
                  <w:vAlign w:val="center"/>
                </w:tcPr>
                <w:p w14:paraId="7D97F489">
                  <w:pPr>
                    <w:pStyle w:val="31"/>
                    <w:spacing w:line="240" w:lineRule="auto"/>
                    <w:ind w:left="0"/>
                    <w:rPr>
                      <w:szCs w:val="21"/>
                    </w:rPr>
                  </w:pPr>
                  <w:r>
                    <w:rPr>
                      <w:szCs w:val="21"/>
                    </w:rPr>
                    <w:t>SQC-80</w:t>
                  </w:r>
                </w:p>
              </w:tc>
              <w:tc>
                <w:tcPr>
                  <w:tcW w:w="1035" w:type="dxa"/>
                  <w:shd w:val="clear" w:color="auto" w:fill="auto"/>
                  <w:vAlign w:val="center"/>
                </w:tcPr>
                <w:p w14:paraId="498D1D23">
                  <w:pPr>
                    <w:pStyle w:val="31"/>
                    <w:spacing w:line="240" w:lineRule="auto"/>
                    <w:ind w:left="0"/>
                    <w:rPr>
                      <w:szCs w:val="21"/>
                    </w:rPr>
                  </w:pPr>
                  <w:r>
                    <w:rPr>
                      <w:szCs w:val="21"/>
                    </w:rPr>
                    <w:t>台</w:t>
                  </w:r>
                </w:p>
              </w:tc>
              <w:tc>
                <w:tcPr>
                  <w:tcW w:w="841" w:type="dxa"/>
                  <w:shd w:val="clear" w:color="auto" w:fill="auto"/>
                  <w:vAlign w:val="center"/>
                </w:tcPr>
                <w:p w14:paraId="45A39ACF">
                  <w:pPr>
                    <w:pStyle w:val="31"/>
                    <w:spacing w:line="240" w:lineRule="auto"/>
                    <w:ind w:left="0"/>
                    <w:rPr>
                      <w:szCs w:val="21"/>
                    </w:rPr>
                  </w:pPr>
                  <w:r>
                    <w:rPr>
                      <w:szCs w:val="21"/>
                    </w:rPr>
                    <w:t>2</w:t>
                  </w:r>
                </w:p>
              </w:tc>
              <w:tc>
                <w:tcPr>
                  <w:tcW w:w="1529" w:type="dxa"/>
                  <w:shd w:val="clear" w:color="auto" w:fill="auto"/>
                  <w:vAlign w:val="center"/>
                </w:tcPr>
                <w:p w14:paraId="3076E1E6">
                  <w:pPr>
                    <w:pStyle w:val="31"/>
                    <w:spacing w:line="240" w:lineRule="auto"/>
                    <w:ind w:left="0"/>
                    <w:rPr>
                      <w:szCs w:val="21"/>
                    </w:rPr>
                  </w:pPr>
                  <w:r>
                    <w:rPr>
                      <w:szCs w:val="21"/>
                    </w:rPr>
                    <w:t>蔬菜加工车间</w:t>
                  </w:r>
                </w:p>
              </w:tc>
            </w:tr>
            <w:tr w14:paraId="7544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2FCC2120">
                  <w:pPr>
                    <w:pStyle w:val="31"/>
                    <w:spacing w:line="240" w:lineRule="auto"/>
                    <w:ind w:left="0"/>
                    <w:rPr>
                      <w:szCs w:val="21"/>
                    </w:rPr>
                  </w:pPr>
                  <w:r>
                    <w:rPr>
                      <w:szCs w:val="21"/>
                    </w:rPr>
                    <w:t>8</w:t>
                  </w:r>
                </w:p>
              </w:tc>
              <w:tc>
                <w:tcPr>
                  <w:tcW w:w="1881" w:type="dxa"/>
                  <w:shd w:val="clear" w:color="auto" w:fill="auto"/>
                  <w:vAlign w:val="center"/>
                </w:tcPr>
                <w:p w14:paraId="451F9E6B">
                  <w:pPr>
                    <w:pStyle w:val="31"/>
                    <w:spacing w:line="240" w:lineRule="auto"/>
                    <w:ind w:left="0"/>
                    <w:rPr>
                      <w:szCs w:val="21"/>
                    </w:rPr>
                  </w:pPr>
                  <w:r>
                    <w:rPr>
                      <w:szCs w:val="21"/>
                    </w:rPr>
                    <w:t>不锈钢焯</w:t>
                  </w:r>
                  <w:r>
                    <w:rPr>
                      <w:rFonts w:hint="eastAsia"/>
                      <w:szCs w:val="21"/>
                    </w:rPr>
                    <w:t>菜</w:t>
                  </w:r>
                  <w:r>
                    <w:rPr>
                      <w:szCs w:val="21"/>
                    </w:rPr>
                    <w:t>槽</w:t>
                  </w:r>
                </w:p>
              </w:tc>
              <w:tc>
                <w:tcPr>
                  <w:tcW w:w="1695" w:type="dxa"/>
                  <w:shd w:val="clear" w:color="auto" w:fill="auto"/>
                  <w:vAlign w:val="center"/>
                </w:tcPr>
                <w:p w14:paraId="690D47E2">
                  <w:pPr>
                    <w:pStyle w:val="31"/>
                    <w:spacing w:line="240" w:lineRule="auto"/>
                    <w:ind w:left="0"/>
                    <w:rPr>
                      <w:szCs w:val="21"/>
                    </w:rPr>
                  </w:pPr>
                  <w:r>
                    <w:rPr>
                      <w:szCs w:val="21"/>
                    </w:rPr>
                    <w:t>0.714m</w:t>
                  </w:r>
                  <w:r>
                    <w:rPr>
                      <w:szCs w:val="21"/>
                      <w:vertAlign w:val="superscript"/>
                    </w:rPr>
                    <w:t>3</w:t>
                  </w:r>
                </w:p>
              </w:tc>
              <w:tc>
                <w:tcPr>
                  <w:tcW w:w="1035" w:type="dxa"/>
                  <w:shd w:val="clear" w:color="auto" w:fill="auto"/>
                  <w:vAlign w:val="center"/>
                </w:tcPr>
                <w:p w14:paraId="3D8BA136">
                  <w:pPr>
                    <w:pStyle w:val="31"/>
                    <w:spacing w:line="240" w:lineRule="auto"/>
                    <w:ind w:left="0"/>
                    <w:rPr>
                      <w:szCs w:val="21"/>
                    </w:rPr>
                  </w:pPr>
                  <w:r>
                    <w:rPr>
                      <w:szCs w:val="21"/>
                    </w:rPr>
                    <w:t>台</w:t>
                  </w:r>
                </w:p>
              </w:tc>
              <w:tc>
                <w:tcPr>
                  <w:tcW w:w="841" w:type="dxa"/>
                  <w:shd w:val="clear" w:color="auto" w:fill="auto"/>
                  <w:vAlign w:val="center"/>
                </w:tcPr>
                <w:p w14:paraId="30B474FA">
                  <w:pPr>
                    <w:pStyle w:val="31"/>
                    <w:spacing w:line="240" w:lineRule="auto"/>
                    <w:ind w:left="0"/>
                    <w:rPr>
                      <w:szCs w:val="21"/>
                    </w:rPr>
                  </w:pPr>
                  <w:r>
                    <w:rPr>
                      <w:szCs w:val="21"/>
                    </w:rPr>
                    <w:t>1</w:t>
                  </w:r>
                </w:p>
              </w:tc>
              <w:tc>
                <w:tcPr>
                  <w:tcW w:w="1529" w:type="dxa"/>
                  <w:shd w:val="clear" w:color="auto" w:fill="auto"/>
                  <w:vAlign w:val="center"/>
                </w:tcPr>
                <w:p w14:paraId="15F864ED">
                  <w:pPr>
                    <w:pStyle w:val="31"/>
                    <w:spacing w:line="240" w:lineRule="auto"/>
                    <w:ind w:left="0"/>
                    <w:rPr>
                      <w:szCs w:val="21"/>
                    </w:rPr>
                  </w:pPr>
                  <w:r>
                    <w:rPr>
                      <w:szCs w:val="21"/>
                    </w:rPr>
                    <w:t>蔬菜加工车间</w:t>
                  </w:r>
                </w:p>
              </w:tc>
            </w:tr>
            <w:tr w14:paraId="33AD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655D0D86">
                  <w:pPr>
                    <w:pStyle w:val="31"/>
                    <w:spacing w:line="240" w:lineRule="auto"/>
                    <w:ind w:left="0"/>
                    <w:rPr>
                      <w:szCs w:val="21"/>
                    </w:rPr>
                  </w:pPr>
                  <w:r>
                    <w:rPr>
                      <w:rFonts w:hint="eastAsia"/>
                      <w:szCs w:val="21"/>
                    </w:rPr>
                    <w:t>9</w:t>
                  </w:r>
                </w:p>
              </w:tc>
              <w:tc>
                <w:tcPr>
                  <w:tcW w:w="1881" w:type="dxa"/>
                  <w:shd w:val="clear" w:color="auto" w:fill="auto"/>
                  <w:vAlign w:val="center"/>
                </w:tcPr>
                <w:p w14:paraId="3DDCC065">
                  <w:pPr>
                    <w:pStyle w:val="31"/>
                    <w:spacing w:line="240" w:lineRule="auto"/>
                    <w:ind w:left="0"/>
                    <w:rPr>
                      <w:szCs w:val="21"/>
                    </w:rPr>
                  </w:pPr>
                  <w:r>
                    <w:rPr>
                      <w:rFonts w:hint="eastAsia"/>
                      <w:szCs w:val="21"/>
                    </w:rPr>
                    <w:t>纯水制备设备</w:t>
                  </w:r>
                </w:p>
              </w:tc>
              <w:tc>
                <w:tcPr>
                  <w:tcW w:w="1695" w:type="dxa"/>
                  <w:shd w:val="clear" w:color="auto" w:fill="auto"/>
                  <w:vAlign w:val="center"/>
                </w:tcPr>
                <w:p w14:paraId="58CDC00D">
                  <w:pPr>
                    <w:pStyle w:val="31"/>
                    <w:spacing w:line="240" w:lineRule="auto"/>
                    <w:ind w:left="0"/>
                    <w:rPr>
                      <w:szCs w:val="21"/>
                    </w:rPr>
                  </w:pPr>
                  <w:r>
                    <w:rPr>
                      <w:rFonts w:hint="eastAsia"/>
                      <w:szCs w:val="21"/>
                    </w:rPr>
                    <w:t>/</w:t>
                  </w:r>
                </w:p>
              </w:tc>
              <w:tc>
                <w:tcPr>
                  <w:tcW w:w="1035" w:type="dxa"/>
                  <w:shd w:val="clear" w:color="auto" w:fill="auto"/>
                  <w:vAlign w:val="center"/>
                </w:tcPr>
                <w:p w14:paraId="684D98FF">
                  <w:pPr>
                    <w:pStyle w:val="31"/>
                    <w:spacing w:line="240" w:lineRule="auto"/>
                    <w:ind w:left="0"/>
                    <w:rPr>
                      <w:szCs w:val="21"/>
                    </w:rPr>
                  </w:pPr>
                  <w:r>
                    <w:rPr>
                      <w:szCs w:val="21"/>
                    </w:rPr>
                    <w:t>台</w:t>
                  </w:r>
                </w:p>
              </w:tc>
              <w:tc>
                <w:tcPr>
                  <w:tcW w:w="841" w:type="dxa"/>
                  <w:shd w:val="clear" w:color="auto" w:fill="auto"/>
                  <w:vAlign w:val="center"/>
                </w:tcPr>
                <w:p w14:paraId="03F36C85">
                  <w:pPr>
                    <w:pStyle w:val="31"/>
                    <w:spacing w:line="240" w:lineRule="auto"/>
                    <w:ind w:left="0"/>
                    <w:rPr>
                      <w:szCs w:val="21"/>
                    </w:rPr>
                  </w:pPr>
                  <w:r>
                    <w:rPr>
                      <w:szCs w:val="21"/>
                    </w:rPr>
                    <w:t>1</w:t>
                  </w:r>
                </w:p>
              </w:tc>
              <w:tc>
                <w:tcPr>
                  <w:tcW w:w="1529" w:type="dxa"/>
                  <w:shd w:val="clear" w:color="auto" w:fill="auto"/>
                  <w:vAlign w:val="center"/>
                </w:tcPr>
                <w:p w14:paraId="2C96E3CA">
                  <w:pPr>
                    <w:pStyle w:val="31"/>
                    <w:spacing w:line="240" w:lineRule="auto"/>
                    <w:ind w:left="0"/>
                    <w:rPr>
                      <w:szCs w:val="21"/>
                    </w:rPr>
                  </w:pPr>
                  <w:r>
                    <w:rPr>
                      <w:szCs w:val="21"/>
                    </w:rPr>
                    <w:t>蔬菜加工车间</w:t>
                  </w:r>
                </w:p>
              </w:tc>
            </w:tr>
            <w:tr w14:paraId="033D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217DA784">
                  <w:pPr>
                    <w:pStyle w:val="31"/>
                    <w:spacing w:line="240" w:lineRule="auto"/>
                    <w:ind w:left="0"/>
                    <w:rPr>
                      <w:szCs w:val="21"/>
                    </w:rPr>
                  </w:pPr>
                  <w:r>
                    <w:rPr>
                      <w:rFonts w:hint="eastAsia"/>
                      <w:szCs w:val="21"/>
                    </w:rPr>
                    <w:t>10</w:t>
                  </w:r>
                </w:p>
              </w:tc>
              <w:tc>
                <w:tcPr>
                  <w:tcW w:w="1881" w:type="dxa"/>
                  <w:shd w:val="clear" w:color="auto" w:fill="auto"/>
                  <w:vAlign w:val="center"/>
                </w:tcPr>
                <w:p w14:paraId="6C9038C9">
                  <w:pPr>
                    <w:pStyle w:val="31"/>
                    <w:spacing w:line="240" w:lineRule="auto"/>
                    <w:ind w:left="0"/>
                    <w:rPr>
                      <w:szCs w:val="21"/>
                    </w:rPr>
                  </w:pPr>
                  <w:r>
                    <w:rPr>
                      <w:rFonts w:hint="eastAsia"/>
                      <w:szCs w:val="21"/>
                    </w:rPr>
                    <w:t>炒锅</w:t>
                  </w:r>
                </w:p>
              </w:tc>
              <w:tc>
                <w:tcPr>
                  <w:tcW w:w="1695" w:type="dxa"/>
                  <w:shd w:val="clear" w:color="auto" w:fill="auto"/>
                  <w:vAlign w:val="center"/>
                </w:tcPr>
                <w:p w14:paraId="73DF5BF2">
                  <w:pPr>
                    <w:pStyle w:val="31"/>
                    <w:spacing w:line="240" w:lineRule="auto"/>
                    <w:ind w:left="0"/>
                    <w:rPr>
                      <w:szCs w:val="21"/>
                    </w:rPr>
                  </w:pPr>
                  <w:r>
                    <w:rPr>
                      <w:rFonts w:hint="eastAsia"/>
                      <w:szCs w:val="21"/>
                    </w:rPr>
                    <w:t>/</w:t>
                  </w:r>
                </w:p>
              </w:tc>
              <w:tc>
                <w:tcPr>
                  <w:tcW w:w="1035" w:type="dxa"/>
                  <w:shd w:val="clear" w:color="auto" w:fill="auto"/>
                  <w:vAlign w:val="center"/>
                </w:tcPr>
                <w:p w14:paraId="5AD74687">
                  <w:pPr>
                    <w:pStyle w:val="31"/>
                    <w:spacing w:line="240" w:lineRule="auto"/>
                    <w:ind w:left="0"/>
                    <w:rPr>
                      <w:szCs w:val="21"/>
                    </w:rPr>
                  </w:pPr>
                  <w:r>
                    <w:rPr>
                      <w:szCs w:val="21"/>
                    </w:rPr>
                    <w:t>台</w:t>
                  </w:r>
                </w:p>
              </w:tc>
              <w:tc>
                <w:tcPr>
                  <w:tcW w:w="841" w:type="dxa"/>
                  <w:shd w:val="clear" w:color="auto" w:fill="auto"/>
                  <w:vAlign w:val="center"/>
                </w:tcPr>
                <w:p w14:paraId="0FB98D60">
                  <w:pPr>
                    <w:pStyle w:val="31"/>
                    <w:spacing w:line="240" w:lineRule="auto"/>
                    <w:ind w:left="0"/>
                    <w:rPr>
                      <w:szCs w:val="21"/>
                    </w:rPr>
                  </w:pPr>
                  <w:r>
                    <w:rPr>
                      <w:rFonts w:hint="eastAsia"/>
                      <w:szCs w:val="21"/>
                    </w:rPr>
                    <w:t>2</w:t>
                  </w:r>
                </w:p>
              </w:tc>
              <w:tc>
                <w:tcPr>
                  <w:tcW w:w="1529" w:type="dxa"/>
                  <w:shd w:val="clear" w:color="auto" w:fill="auto"/>
                  <w:vAlign w:val="center"/>
                </w:tcPr>
                <w:p w14:paraId="5C7157AB">
                  <w:pPr>
                    <w:pStyle w:val="31"/>
                    <w:spacing w:line="240" w:lineRule="auto"/>
                    <w:ind w:left="0"/>
                    <w:rPr>
                      <w:szCs w:val="21"/>
                    </w:rPr>
                  </w:pPr>
                  <w:r>
                    <w:rPr>
                      <w:rFonts w:hint="eastAsia"/>
                      <w:szCs w:val="21"/>
                    </w:rPr>
                    <w:t>厨房</w:t>
                  </w:r>
                </w:p>
              </w:tc>
            </w:tr>
            <w:tr w14:paraId="37A6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8" w:type="dxa"/>
                  <w:gridSpan w:val="6"/>
                  <w:vAlign w:val="center"/>
                </w:tcPr>
                <w:p w14:paraId="590F3666">
                  <w:pPr>
                    <w:adjustRightInd w:val="0"/>
                    <w:snapToGrid w:val="0"/>
                    <w:spacing w:line="240" w:lineRule="auto"/>
                    <w:ind w:firstLine="0" w:firstLineChars="0"/>
                    <w:jc w:val="center"/>
                    <w:rPr>
                      <w:bCs/>
                      <w:sz w:val="21"/>
                      <w:szCs w:val="21"/>
                    </w:rPr>
                  </w:pPr>
                  <w:r>
                    <w:rPr>
                      <w:sz w:val="21"/>
                      <w:szCs w:val="21"/>
                    </w:rPr>
                    <w:t>烧麦生产线设备</w:t>
                  </w:r>
                </w:p>
              </w:tc>
            </w:tr>
            <w:tr w14:paraId="6208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17C0C623">
                  <w:pPr>
                    <w:pStyle w:val="31"/>
                    <w:spacing w:line="240" w:lineRule="auto"/>
                    <w:ind w:left="0"/>
                    <w:rPr>
                      <w:szCs w:val="21"/>
                    </w:rPr>
                  </w:pPr>
                  <w:r>
                    <w:rPr>
                      <w:szCs w:val="21"/>
                    </w:rPr>
                    <w:t>1</w:t>
                  </w:r>
                </w:p>
              </w:tc>
              <w:tc>
                <w:tcPr>
                  <w:tcW w:w="1881" w:type="dxa"/>
                  <w:shd w:val="clear" w:color="auto" w:fill="auto"/>
                  <w:vAlign w:val="center"/>
                </w:tcPr>
                <w:p w14:paraId="597DFE3C">
                  <w:pPr>
                    <w:pStyle w:val="31"/>
                    <w:spacing w:line="240" w:lineRule="auto"/>
                    <w:ind w:left="0"/>
                    <w:rPr>
                      <w:szCs w:val="21"/>
                    </w:rPr>
                  </w:pPr>
                  <w:r>
                    <w:rPr>
                      <w:szCs w:val="21"/>
                    </w:rPr>
                    <w:t>电蒸箱</w:t>
                  </w:r>
                </w:p>
              </w:tc>
              <w:tc>
                <w:tcPr>
                  <w:tcW w:w="1695" w:type="dxa"/>
                  <w:shd w:val="clear" w:color="auto" w:fill="auto"/>
                  <w:vAlign w:val="center"/>
                </w:tcPr>
                <w:p w14:paraId="518F359D">
                  <w:pPr>
                    <w:pStyle w:val="31"/>
                    <w:spacing w:line="240" w:lineRule="auto"/>
                    <w:ind w:left="0"/>
                    <w:rPr>
                      <w:szCs w:val="21"/>
                    </w:rPr>
                  </w:pPr>
                  <w:r>
                    <w:rPr>
                      <w:szCs w:val="21"/>
                    </w:rPr>
                    <w:t>/</w:t>
                  </w:r>
                </w:p>
              </w:tc>
              <w:tc>
                <w:tcPr>
                  <w:tcW w:w="1035" w:type="dxa"/>
                  <w:shd w:val="clear" w:color="auto" w:fill="auto"/>
                  <w:vAlign w:val="center"/>
                </w:tcPr>
                <w:p w14:paraId="7E089E80">
                  <w:pPr>
                    <w:pStyle w:val="31"/>
                    <w:spacing w:line="240" w:lineRule="auto"/>
                    <w:ind w:left="0"/>
                    <w:rPr>
                      <w:szCs w:val="21"/>
                    </w:rPr>
                  </w:pPr>
                  <w:r>
                    <w:rPr>
                      <w:szCs w:val="21"/>
                    </w:rPr>
                    <w:t>台</w:t>
                  </w:r>
                </w:p>
              </w:tc>
              <w:tc>
                <w:tcPr>
                  <w:tcW w:w="841" w:type="dxa"/>
                  <w:shd w:val="clear" w:color="auto" w:fill="auto"/>
                  <w:vAlign w:val="center"/>
                </w:tcPr>
                <w:p w14:paraId="2BB585DE">
                  <w:pPr>
                    <w:pStyle w:val="31"/>
                    <w:spacing w:line="240" w:lineRule="auto"/>
                    <w:ind w:left="0"/>
                    <w:rPr>
                      <w:szCs w:val="21"/>
                    </w:rPr>
                  </w:pPr>
                  <w:r>
                    <w:rPr>
                      <w:szCs w:val="21"/>
                    </w:rPr>
                    <w:t>1</w:t>
                  </w:r>
                </w:p>
              </w:tc>
              <w:tc>
                <w:tcPr>
                  <w:tcW w:w="1529" w:type="dxa"/>
                  <w:shd w:val="clear" w:color="auto" w:fill="auto"/>
                  <w:vAlign w:val="center"/>
                </w:tcPr>
                <w:p w14:paraId="6DDD68BE">
                  <w:pPr>
                    <w:pStyle w:val="31"/>
                    <w:spacing w:line="240" w:lineRule="auto"/>
                    <w:ind w:left="0"/>
                    <w:rPr>
                      <w:szCs w:val="21"/>
                    </w:rPr>
                  </w:pPr>
                  <w:r>
                    <w:rPr>
                      <w:szCs w:val="21"/>
                    </w:rPr>
                    <w:t>拌馅车间</w:t>
                  </w:r>
                </w:p>
              </w:tc>
            </w:tr>
            <w:tr w14:paraId="1AFA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6E8224DB">
                  <w:pPr>
                    <w:pStyle w:val="31"/>
                    <w:spacing w:line="240" w:lineRule="auto"/>
                    <w:ind w:left="0"/>
                    <w:rPr>
                      <w:szCs w:val="21"/>
                    </w:rPr>
                  </w:pPr>
                  <w:r>
                    <w:rPr>
                      <w:szCs w:val="21"/>
                    </w:rPr>
                    <w:t>2</w:t>
                  </w:r>
                </w:p>
              </w:tc>
              <w:tc>
                <w:tcPr>
                  <w:tcW w:w="1881" w:type="dxa"/>
                  <w:shd w:val="clear" w:color="auto" w:fill="auto"/>
                  <w:vAlign w:val="center"/>
                </w:tcPr>
                <w:p w14:paraId="11CCDECC">
                  <w:pPr>
                    <w:pStyle w:val="31"/>
                    <w:spacing w:line="240" w:lineRule="auto"/>
                    <w:ind w:left="0"/>
                    <w:rPr>
                      <w:szCs w:val="21"/>
                    </w:rPr>
                  </w:pPr>
                  <w:r>
                    <w:rPr>
                      <w:szCs w:val="21"/>
                    </w:rPr>
                    <w:t>分米机</w:t>
                  </w:r>
                </w:p>
              </w:tc>
              <w:tc>
                <w:tcPr>
                  <w:tcW w:w="1695" w:type="dxa"/>
                  <w:shd w:val="clear" w:color="auto" w:fill="auto"/>
                  <w:vAlign w:val="center"/>
                </w:tcPr>
                <w:p w14:paraId="7B8BE7AF">
                  <w:pPr>
                    <w:pStyle w:val="31"/>
                    <w:spacing w:line="240" w:lineRule="auto"/>
                    <w:ind w:left="0"/>
                    <w:rPr>
                      <w:szCs w:val="21"/>
                    </w:rPr>
                  </w:pPr>
                  <w:r>
                    <w:rPr>
                      <w:szCs w:val="21"/>
                    </w:rPr>
                    <w:t>88-1298</w:t>
                  </w:r>
                </w:p>
              </w:tc>
              <w:tc>
                <w:tcPr>
                  <w:tcW w:w="1035" w:type="dxa"/>
                  <w:shd w:val="clear" w:color="auto" w:fill="auto"/>
                  <w:vAlign w:val="center"/>
                </w:tcPr>
                <w:p w14:paraId="414431E4">
                  <w:pPr>
                    <w:pStyle w:val="31"/>
                    <w:spacing w:line="240" w:lineRule="auto"/>
                    <w:ind w:left="0"/>
                    <w:rPr>
                      <w:szCs w:val="21"/>
                    </w:rPr>
                  </w:pPr>
                  <w:r>
                    <w:rPr>
                      <w:szCs w:val="21"/>
                    </w:rPr>
                    <w:t>台</w:t>
                  </w:r>
                </w:p>
              </w:tc>
              <w:tc>
                <w:tcPr>
                  <w:tcW w:w="841" w:type="dxa"/>
                  <w:shd w:val="clear" w:color="auto" w:fill="auto"/>
                  <w:vAlign w:val="center"/>
                </w:tcPr>
                <w:p w14:paraId="703AC17B">
                  <w:pPr>
                    <w:pStyle w:val="31"/>
                    <w:spacing w:line="240" w:lineRule="auto"/>
                    <w:ind w:left="0"/>
                    <w:rPr>
                      <w:szCs w:val="21"/>
                    </w:rPr>
                  </w:pPr>
                  <w:r>
                    <w:rPr>
                      <w:szCs w:val="21"/>
                    </w:rPr>
                    <w:t>1</w:t>
                  </w:r>
                </w:p>
              </w:tc>
              <w:tc>
                <w:tcPr>
                  <w:tcW w:w="1529" w:type="dxa"/>
                  <w:shd w:val="clear" w:color="auto" w:fill="auto"/>
                  <w:vAlign w:val="center"/>
                </w:tcPr>
                <w:p w14:paraId="191D7ABB">
                  <w:pPr>
                    <w:pStyle w:val="31"/>
                    <w:spacing w:line="240" w:lineRule="auto"/>
                    <w:ind w:left="0"/>
                    <w:rPr>
                      <w:szCs w:val="21"/>
                    </w:rPr>
                  </w:pPr>
                  <w:r>
                    <w:rPr>
                      <w:szCs w:val="21"/>
                    </w:rPr>
                    <w:t>烧麦加工车间</w:t>
                  </w:r>
                </w:p>
              </w:tc>
            </w:tr>
            <w:tr w14:paraId="1198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06B3FFE3">
                  <w:pPr>
                    <w:pStyle w:val="31"/>
                    <w:spacing w:line="240" w:lineRule="auto"/>
                    <w:ind w:left="0"/>
                    <w:rPr>
                      <w:szCs w:val="21"/>
                    </w:rPr>
                  </w:pPr>
                  <w:r>
                    <w:rPr>
                      <w:szCs w:val="21"/>
                    </w:rPr>
                    <w:t>3</w:t>
                  </w:r>
                </w:p>
              </w:tc>
              <w:tc>
                <w:tcPr>
                  <w:tcW w:w="1881" w:type="dxa"/>
                  <w:shd w:val="clear" w:color="auto" w:fill="auto"/>
                  <w:vAlign w:val="center"/>
                </w:tcPr>
                <w:p w14:paraId="426C6462">
                  <w:pPr>
                    <w:pStyle w:val="31"/>
                    <w:spacing w:line="240" w:lineRule="auto"/>
                    <w:ind w:left="0"/>
                    <w:rPr>
                      <w:szCs w:val="21"/>
                    </w:rPr>
                  </w:pPr>
                  <w:r>
                    <w:rPr>
                      <w:szCs w:val="21"/>
                    </w:rPr>
                    <w:t>快速脚踏封口机</w:t>
                  </w:r>
                </w:p>
              </w:tc>
              <w:tc>
                <w:tcPr>
                  <w:tcW w:w="1695" w:type="dxa"/>
                  <w:shd w:val="clear" w:color="auto" w:fill="auto"/>
                  <w:vAlign w:val="center"/>
                </w:tcPr>
                <w:p w14:paraId="5353D0ED">
                  <w:pPr>
                    <w:pStyle w:val="31"/>
                    <w:spacing w:line="240" w:lineRule="auto"/>
                    <w:ind w:left="0"/>
                    <w:rPr>
                      <w:szCs w:val="21"/>
                    </w:rPr>
                  </w:pPr>
                  <w:r>
                    <w:rPr>
                      <w:szCs w:val="21"/>
                    </w:rPr>
                    <w:t>SF-B型</w:t>
                  </w:r>
                </w:p>
              </w:tc>
              <w:tc>
                <w:tcPr>
                  <w:tcW w:w="1035" w:type="dxa"/>
                  <w:shd w:val="clear" w:color="auto" w:fill="auto"/>
                  <w:vAlign w:val="center"/>
                </w:tcPr>
                <w:p w14:paraId="5182FF52">
                  <w:pPr>
                    <w:pStyle w:val="31"/>
                    <w:spacing w:line="240" w:lineRule="auto"/>
                    <w:ind w:left="0"/>
                    <w:rPr>
                      <w:szCs w:val="21"/>
                    </w:rPr>
                  </w:pPr>
                  <w:r>
                    <w:rPr>
                      <w:szCs w:val="21"/>
                    </w:rPr>
                    <w:t>台</w:t>
                  </w:r>
                </w:p>
              </w:tc>
              <w:tc>
                <w:tcPr>
                  <w:tcW w:w="841" w:type="dxa"/>
                  <w:shd w:val="clear" w:color="auto" w:fill="auto"/>
                  <w:vAlign w:val="center"/>
                </w:tcPr>
                <w:p w14:paraId="2989C3DC">
                  <w:pPr>
                    <w:pStyle w:val="31"/>
                    <w:spacing w:line="240" w:lineRule="auto"/>
                    <w:ind w:left="0"/>
                    <w:rPr>
                      <w:szCs w:val="21"/>
                    </w:rPr>
                  </w:pPr>
                  <w:r>
                    <w:rPr>
                      <w:szCs w:val="21"/>
                    </w:rPr>
                    <w:t>1</w:t>
                  </w:r>
                </w:p>
              </w:tc>
              <w:tc>
                <w:tcPr>
                  <w:tcW w:w="1529" w:type="dxa"/>
                  <w:shd w:val="clear" w:color="auto" w:fill="auto"/>
                  <w:vAlign w:val="center"/>
                </w:tcPr>
                <w:p w14:paraId="252B84F2">
                  <w:pPr>
                    <w:pStyle w:val="31"/>
                    <w:spacing w:line="240" w:lineRule="auto"/>
                    <w:ind w:left="0"/>
                    <w:rPr>
                      <w:szCs w:val="21"/>
                    </w:rPr>
                  </w:pPr>
                  <w:r>
                    <w:rPr>
                      <w:szCs w:val="21"/>
                    </w:rPr>
                    <w:t>烧麦加工车间</w:t>
                  </w:r>
                </w:p>
              </w:tc>
            </w:tr>
            <w:tr w14:paraId="401B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8" w:type="dxa"/>
                  <w:gridSpan w:val="6"/>
                  <w:shd w:val="clear" w:color="auto" w:fill="auto"/>
                  <w:vAlign w:val="center"/>
                </w:tcPr>
                <w:p w14:paraId="11B74D3F">
                  <w:pPr>
                    <w:pStyle w:val="31"/>
                    <w:spacing w:line="240" w:lineRule="auto"/>
                    <w:ind w:left="0"/>
                    <w:rPr>
                      <w:szCs w:val="21"/>
                    </w:rPr>
                  </w:pPr>
                  <w:r>
                    <w:rPr>
                      <w:szCs w:val="21"/>
                    </w:rPr>
                    <w:t>检验</w:t>
                  </w:r>
                </w:p>
              </w:tc>
            </w:tr>
            <w:tr w14:paraId="73A4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6B6D6884">
                  <w:pPr>
                    <w:pStyle w:val="31"/>
                    <w:spacing w:line="240" w:lineRule="auto"/>
                    <w:ind w:left="0"/>
                    <w:rPr>
                      <w:szCs w:val="21"/>
                    </w:rPr>
                  </w:pPr>
                  <w:r>
                    <w:rPr>
                      <w:szCs w:val="21"/>
                    </w:rPr>
                    <w:t>1</w:t>
                  </w:r>
                </w:p>
              </w:tc>
              <w:tc>
                <w:tcPr>
                  <w:tcW w:w="1881" w:type="dxa"/>
                  <w:shd w:val="clear" w:color="auto" w:fill="auto"/>
                  <w:vAlign w:val="center"/>
                </w:tcPr>
                <w:p w14:paraId="5F4F7840">
                  <w:pPr>
                    <w:spacing w:line="240" w:lineRule="auto"/>
                    <w:ind w:firstLine="0" w:firstLineChars="0"/>
                    <w:jc w:val="center"/>
                    <w:rPr>
                      <w:sz w:val="21"/>
                      <w:szCs w:val="21"/>
                    </w:rPr>
                  </w:pPr>
                  <w:r>
                    <w:rPr>
                      <w:sz w:val="21"/>
                      <w:szCs w:val="21"/>
                    </w:rPr>
                    <w:t>电子天平</w:t>
                  </w:r>
                </w:p>
              </w:tc>
              <w:tc>
                <w:tcPr>
                  <w:tcW w:w="1695" w:type="dxa"/>
                  <w:shd w:val="clear" w:color="auto" w:fill="auto"/>
                  <w:vAlign w:val="center"/>
                </w:tcPr>
                <w:p w14:paraId="06C52976">
                  <w:pPr>
                    <w:spacing w:line="240" w:lineRule="auto"/>
                    <w:ind w:firstLine="0" w:firstLineChars="0"/>
                    <w:jc w:val="center"/>
                    <w:rPr>
                      <w:sz w:val="21"/>
                      <w:szCs w:val="21"/>
                    </w:rPr>
                  </w:pPr>
                  <w:r>
                    <w:rPr>
                      <w:sz w:val="21"/>
                      <w:szCs w:val="21"/>
                    </w:rPr>
                    <w:t>YP6001B</w:t>
                  </w:r>
                </w:p>
              </w:tc>
              <w:tc>
                <w:tcPr>
                  <w:tcW w:w="1035" w:type="dxa"/>
                  <w:shd w:val="clear" w:color="auto" w:fill="auto"/>
                  <w:vAlign w:val="center"/>
                </w:tcPr>
                <w:p w14:paraId="54D45128">
                  <w:pPr>
                    <w:pStyle w:val="31"/>
                    <w:spacing w:line="240" w:lineRule="auto"/>
                    <w:ind w:left="0"/>
                    <w:rPr>
                      <w:szCs w:val="21"/>
                    </w:rPr>
                  </w:pPr>
                  <w:r>
                    <w:rPr>
                      <w:szCs w:val="21"/>
                    </w:rPr>
                    <w:t>台</w:t>
                  </w:r>
                </w:p>
              </w:tc>
              <w:tc>
                <w:tcPr>
                  <w:tcW w:w="841" w:type="dxa"/>
                  <w:shd w:val="clear" w:color="auto" w:fill="auto"/>
                  <w:vAlign w:val="center"/>
                </w:tcPr>
                <w:p w14:paraId="703A5BB2">
                  <w:pPr>
                    <w:spacing w:line="240" w:lineRule="auto"/>
                    <w:ind w:firstLine="0" w:firstLineChars="0"/>
                    <w:jc w:val="center"/>
                    <w:rPr>
                      <w:sz w:val="21"/>
                      <w:szCs w:val="21"/>
                    </w:rPr>
                  </w:pPr>
                  <w:r>
                    <w:rPr>
                      <w:sz w:val="21"/>
                      <w:szCs w:val="21"/>
                    </w:rPr>
                    <w:t>1</w:t>
                  </w:r>
                </w:p>
              </w:tc>
              <w:tc>
                <w:tcPr>
                  <w:tcW w:w="1529" w:type="dxa"/>
                  <w:vMerge w:val="restart"/>
                  <w:shd w:val="clear" w:color="auto" w:fill="auto"/>
                  <w:vAlign w:val="center"/>
                </w:tcPr>
                <w:p w14:paraId="09DCB8A6">
                  <w:pPr>
                    <w:pStyle w:val="31"/>
                    <w:spacing w:line="240" w:lineRule="auto"/>
                    <w:ind w:left="0"/>
                    <w:rPr>
                      <w:szCs w:val="21"/>
                    </w:rPr>
                  </w:pPr>
                  <w:r>
                    <w:rPr>
                      <w:szCs w:val="21"/>
                    </w:rPr>
                    <w:t>检验室</w:t>
                  </w:r>
                </w:p>
              </w:tc>
            </w:tr>
            <w:tr w14:paraId="0BC0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05A52AE2">
                  <w:pPr>
                    <w:pStyle w:val="31"/>
                    <w:spacing w:line="240" w:lineRule="auto"/>
                    <w:ind w:left="0"/>
                    <w:rPr>
                      <w:szCs w:val="21"/>
                    </w:rPr>
                  </w:pPr>
                  <w:r>
                    <w:rPr>
                      <w:szCs w:val="21"/>
                    </w:rPr>
                    <w:t>2</w:t>
                  </w:r>
                </w:p>
              </w:tc>
              <w:tc>
                <w:tcPr>
                  <w:tcW w:w="1881" w:type="dxa"/>
                  <w:shd w:val="clear" w:color="auto" w:fill="auto"/>
                  <w:vAlign w:val="center"/>
                </w:tcPr>
                <w:p w14:paraId="2C6ADE5E">
                  <w:pPr>
                    <w:spacing w:line="240" w:lineRule="auto"/>
                    <w:ind w:firstLine="0" w:firstLineChars="0"/>
                    <w:jc w:val="center"/>
                    <w:rPr>
                      <w:sz w:val="21"/>
                      <w:szCs w:val="21"/>
                    </w:rPr>
                  </w:pPr>
                  <w:r>
                    <w:rPr>
                      <w:rFonts w:hint="eastAsia"/>
                      <w:sz w:val="21"/>
                      <w:szCs w:val="21"/>
                    </w:rPr>
                    <w:t>电子秤</w:t>
                  </w:r>
                </w:p>
              </w:tc>
              <w:tc>
                <w:tcPr>
                  <w:tcW w:w="1695" w:type="dxa"/>
                  <w:shd w:val="clear" w:color="auto" w:fill="auto"/>
                  <w:vAlign w:val="center"/>
                </w:tcPr>
                <w:p w14:paraId="1AE193D1">
                  <w:pPr>
                    <w:spacing w:line="240" w:lineRule="auto"/>
                    <w:ind w:firstLine="0" w:firstLineChars="0"/>
                    <w:jc w:val="center"/>
                    <w:rPr>
                      <w:sz w:val="21"/>
                      <w:szCs w:val="21"/>
                    </w:rPr>
                  </w:pPr>
                  <w:r>
                    <w:rPr>
                      <w:sz w:val="21"/>
                      <w:szCs w:val="21"/>
                    </w:rPr>
                    <w:t>ACS-30</w:t>
                  </w:r>
                </w:p>
              </w:tc>
              <w:tc>
                <w:tcPr>
                  <w:tcW w:w="1035" w:type="dxa"/>
                  <w:shd w:val="clear" w:color="auto" w:fill="auto"/>
                  <w:vAlign w:val="center"/>
                </w:tcPr>
                <w:p w14:paraId="5AF08055">
                  <w:pPr>
                    <w:pStyle w:val="31"/>
                    <w:spacing w:line="240" w:lineRule="auto"/>
                    <w:ind w:left="0"/>
                    <w:rPr>
                      <w:szCs w:val="21"/>
                    </w:rPr>
                  </w:pPr>
                  <w:r>
                    <w:rPr>
                      <w:szCs w:val="21"/>
                    </w:rPr>
                    <w:t>台</w:t>
                  </w:r>
                </w:p>
              </w:tc>
              <w:tc>
                <w:tcPr>
                  <w:tcW w:w="841" w:type="dxa"/>
                  <w:shd w:val="clear" w:color="auto" w:fill="auto"/>
                  <w:vAlign w:val="center"/>
                </w:tcPr>
                <w:p w14:paraId="57781AB0">
                  <w:pPr>
                    <w:spacing w:line="240" w:lineRule="auto"/>
                    <w:ind w:firstLine="0" w:firstLineChars="0"/>
                    <w:jc w:val="center"/>
                    <w:rPr>
                      <w:sz w:val="21"/>
                      <w:szCs w:val="21"/>
                    </w:rPr>
                  </w:pPr>
                  <w:r>
                    <w:rPr>
                      <w:sz w:val="21"/>
                      <w:szCs w:val="21"/>
                    </w:rPr>
                    <w:t>1</w:t>
                  </w:r>
                </w:p>
              </w:tc>
              <w:tc>
                <w:tcPr>
                  <w:tcW w:w="1529" w:type="dxa"/>
                  <w:vMerge w:val="continue"/>
                  <w:shd w:val="clear" w:color="auto" w:fill="auto"/>
                  <w:vAlign w:val="center"/>
                </w:tcPr>
                <w:p w14:paraId="35A4BBAA">
                  <w:pPr>
                    <w:pStyle w:val="31"/>
                    <w:spacing w:line="240" w:lineRule="auto"/>
                    <w:ind w:left="0"/>
                    <w:outlineLvl w:val="9"/>
                    <w:rPr>
                      <w:szCs w:val="21"/>
                    </w:rPr>
                  </w:pPr>
                </w:p>
              </w:tc>
            </w:tr>
            <w:tr w14:paraId="2CCF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8" w:type="dxa"/>
                  <w:gridSpan w:val="6"/>
                  <w:shd w:val="clear" w:color="auto" w:fill="auto"/>
                  <w:vAlign w:val="center"/>
                </w:tcPr>
                <w:p w14:paraId="65BA07F0">
                  <w:pPr>
                    <w:pStyle w:val="31"/>
                    <w:spacing w:line="240" w:lineRule="auto"/>
                    <w:ind w:left="0"/>
                    <w:rPr>
                      <w:szCs w:val="21"/>
                    </w:rPr>
                  </w:pPr>
                  <w:r>
                    <w:rPr>
                      <w:szCs w:val="21"/>
                    </w:rPr>
                    <w:t>其他</w:t>
                  </w:r>
                </w:p>
              </w:tc>
            </w:tr>
            <w:tr w14:paraId="61EC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2E73F764">
                  <w:pPr>
                    <w:pStyle w:val="31"/>
                    <w:spacing w:line="240" w:lineRule="auto"/>
                    <w:ind w:left="0"/>
                    <w:rPr>
                      <w:szCs w:val="21"/>
                    </w:rPr>
                  </w:pPr>
                  <w:r>
                    <w:rPr>
                      <w:szCs w:val="21"/>
                    </w:rPr>
                    <w:t>1</w:t>
                  </w:r>
                </w:p>
              </w:tc>
              <w:tc>
                <w:tcPr>
                  <w:tcW w:w="1881" w:type="dxa"/>
                  <w:vMerge w:val="restart"/>
                  <w:shd w:val="clear" w:color="auto" w:fill="auto"/>
                  <w:vAlign w:val="center"/>
                </w:tcPr>
                <w:p w14:paraId="31E68867">
                  <w:pPr>
                    <w:spacing w:line="240" w:lineRule="auto"/>
                    <w:ind w:firstLine="0" w:firstLineChars="0"/>
                    <w:jc w:val="center"/>
                    <w:rPr>
                      <w:sz w:val="21"/>
                      <w:szCs w:val="21"/>
                    </w:rPr>
                  </w:pPr>
                  <w:r>
                    <w:rPr>
                      <w:sz w:val="21"/>
                      <w:szCs w:val="21"/>
                    </w:rPr>
                    <w:t>压缩机</w:t>
                  </w:r>
                </w:p>
              </w:tc>
              <w:tc>
                <w:tcPr>
                  <w:tcW w:w="1695" w:type="dxa"/>
                  <w:shd w:val="clear" w:color="auto" w:fill="auto"/>
                  <w:vAlign w:val="center"/>
                </w:tcPr>
                <w:p w14:paraId="740B9F6C">
                  <w:pPr>
                    <w:spacing w:line="240" w:lineRule="auto"/>
                    <w:ind w:firstLine="0" w:firstLineChars="0"/>
                    <w:jc w:val="center"/>
                    <w:rPr>
                      <w:sz w:val="21"/>
                      <w:szCs w:val="21"/>
                    </w:rPr>
                  </w:pPr>
                  <w:r>
                    <w:rPr>
                      <w:sz w:val="21"/>
                      <w:szCs w:val="21"/>
                    </w:rPr>
                    <w:t>15匹</w:t>
                  </w:r>
                </w:p>
              </w:tc>
              <w:tc>
                <w:tcPr>
                  <w:tcW w:w="1035" w:type="dxa"/>
                  <w:shd w:val="clear" w:color="auto" w:fill="auto"/>
                  <w:vAlign w:val="center"/>
                </w:tcPr>
                <w:p w14:paraId="7CEFE16D">
                  <w:pPr>
                    <w:pStyle w:val="31"/>
                    <w:spacing w:line="240" w:lineRule="auto"/>
                    <w:ind w:left="0"/>
                    <w:rPr>
                      <w:szCs w:val="21"/>
                    </w:rPr>
                  </w:pPr>
                  <w:r>
                    <w:rPr>
                      <w:szCs w:val="21"/>
                    </w:rPr>
                    <w:t>台</w:t>
                  </w:r>
                </w:p>
              </w:tc>
              <w:tc>
                <w:tcPr>
                  <w:tcW w:w="841" w:type="dxa"/>
                  <w:shd w:val="clear" w:color="auto" w:fill="auto"/>
                  <w:vAlign w:val="center"/>
                </w:tcPr>
                <w:p w14:paraId="19A801B8">
                  <w:pPr>
                    <w:spacing w:line="240" w:lineRule="auto"/>
                    <w:ind w:firstLine="0" w:firstLineChars="0"/>
                    <w:jc w:val="center"/>
                    <w:rPr>
                      <w:sz w:val="21"/>
                      <w:szCs w:val="21"/>
                    </w:rPr>
                  </w:pPr>
                  <w:r>
                    <w:rPr>
                      <w:sz w:val="21"/>
                      <w:szCs w:val="21"/>
                    </w:rPr>
                    <w:t>2</w:t>
                  </w:r>
                </w:p>
              </w:tc>
              <w:tc>
                <w:tcPr>
                  <w:tcW w:w="1529" w:type="dxa"/>
                  <w:shd w:val="clear" w:color="auto" w:fill="auto"/>
                  <w:vAlign w:val="center"/>
                </w:tcPr>
                <w:p w14:paraId="5D56B1B4">
                  <w:pPr>
                    <w:pStyle w:val="31"/>
                    <w:spacing w:line="240" w:lineRule="auto"/>
                    <w:ind w:left="0"/>
                    <w:rPr>
                      <w:szCs w:val="21"/>
                    </w:rPr>
                  </w:pPr>
                  <w:r>
                    <w:rPr>
                      <w:szCs w:val="21"/>
                    </w:rPr>
                    <w:t>冷库</w:t>
                  </w:r>
                </w:p>
              </w:tc>
            </w:tr>
            <w:tr w14:paraId="130F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3E6BBD44">
                  <w:pPr>
                    <w:pStyle w:val="31"/>
                    <w:spacing w:line="240" w:lineRule="auto"/>
                    <w:ind w:left="0"/>
                    <w:rPr>
                      <w:szCs w:val="21"/>
                    </w:rPr>
                  </w:pPr>
                  <w:r>
                    <w:rPr>
                      <w:szCs w:val="21"/>
                    </w:rPr>
                    <w:t>2</w:t>
                  </w:r>
                </w:p>
              </w:tc>
              <w:tc>
                <w:tcPr>
                  <w:tcW w:w="1881" w:type="dxa"/>
                  <w:vMerge w:val="continue"/>
                  <w:shd w:val="clear" w:color="auto" w:fill="auto"/>
                  <w:vAlign w:val="center"/>
                </w:tcPr>
                <w:p w14:paraId="4648A322">
                  <w:pPr>
                    <w:spacing w:line="240" w:lineRule="auto"/>
                    <w:ind w:firstLine="0" w:firstLineChars="0"/>
                    <w:jc w:val="center"/>
                    <w:rPr>
                      <w:sz w:val="21"/>
                      <w:szCs w:val="21"/>
                    </w:rPr>
                  </w:pPr>
                </w:p>
              </w:tc>
              <w:tc>
                <w:tcPr>
                  <w:tcW w:w="1695" w:type="dxa"/>
                  <w:shd w:val="clear" w:color="auto" w:fill="auto"/>
                  <w:vAlign w:val="center"/>
                </w:tcPr>
                <w:p w14:paraId="6BA7297D">
                  <w:pPr>
                    <w:spacing w:line="240" w:lineRule="auto"/>
                    <w:ind w:firstLine="0" w:firstLineChars="0"/>
                    <w:jc w:val="center"/>
                    <w:rPr>
                      <w:sz w:val="21"/>
                      <w:szCs w:val="21"/>
                    </w:rPr>
                  </w:pPr>
                  <w:r>
                    <w:rPr>
                      <w:sz w:val="21"/>
                      <w:szCs w:val="21"/>
                    </w:rPr>
                    <w:t>25匹</w:t>
                  </w:r>
                </w:p>
              </w:tc>
              <w:tc>
                <w:tcPr>
                  <w:tcW w:w="1035" w:type="dxa"/>
                  <w:shd w:val="clear" w:color="auto" w:fill="auto"/>
                  <w:vAlign w:val="center"/>
                </w:tcPr>
                <w:p w14:paraId="06EF8DF6">
                  <w:pPr>
                    <w:pStyle w:val="31"/>
                    <w:spacing w:line="240" w:lineRule="auto"/>
                    <w:ind w:left="0"/>
                    <w:rPr>
                      <w:szCs w:val="21"/>
                    </w:rPr>
                  </w:pPr>
                  <w:r>
                    <w:rPr>
                      <w:szCs w:val="21"/>
                    </w:rPr>
                    <w:t>台</w:t>
                  </w:r>
                </w:p>
              </w:tc>
              <w:tc>
                <w:tcPr>
                  <w:tcW w:w="841" w:type="dxa"/>
                  <w:shd w:val="clear" w:color="auto" w:fill="auto"/>
                  <w:vAlign w:val="center"/>
                </w:tcPr>
                <w:p w14:paraId="2F25B90F">
                  <w:pPr>
                    <w:spacing w:line="240" w:lineRule="auto"/>
                    <w:ind w:firstLine="0" w:firstLineChars="0"/>
                    <w:jc w:val="center"/>
                    <w:rPr>
                      <w:sz w:val="21"/>
                      <w:szCs w:val="21"/>
                    </w:rPr>
                  </w:pPr>
                  <w:r>
                    <w:rPr>
                      <w:sz w:val="21"/>
                      <w:szCs w:val="21"/>
                    </w:rPr>
                    <w:t>1</w:t>
                  </w:r>
                </w:p>
              </w:tc>
              <w:tc>
                <w:tcPr>
                  <w:tcW w:w="1529" w:type="dxa"/>
                  <w:shd w:val="clear" w:color="auto" w:fill="auto"/>
                  <w:vAlign w:val="center"/>
                </w:tcPr>
                <w:p w14:paraId="5539521C">
                  <w:pPr>
                    <w:pStyle w:val="31"/>
                    <w:spacing w:line="240" w:lineRule="auto"/>
                    <w:ind w:left="0"/>
                    <w:rPr>
                      <w:szCs w:val="21"/>
                    </w:rPr>
                  </w:pPr>
                  <w:r>
                    <w:rPr>
                      <w:szCs w:val="21"/>
                    </w:rPr>
                    <w:t>急冻库</w:t>
                  </w:r>
                </w:p>
              </w:tc>
            </w:tr>
            <w:tr w14:paraId="5E3E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shd w:val="clear" w:color="auto" w:fill="auto"/>
                  <w:vAlign w:val="center"/>
                </w:tcPr>
                <w:p w14:paraId="61DCBF66">
                  <w:pPr>
                    <w:pStyle w:val="31"/>
                    <w:spacing w:line="240" w:lineRule="auto"/>
                    <w:ind w:left="0"/>
                    <w:rPr>
                      <w:szCs w:val="21"/>
                    </w:rPr>
                  </w:pPr>
                  <w:r>
                    <w:rPr>
                      <w:szCs w:val="21"/>
                    </w:rPr>
                    <w:t>3</w:t>
                  </w:r>
                </w:p>
              </w:tc>
              <w:tc>
                <w:tcPr>
                  <w:tcW w:w="1881" w:type="dxa"/>
                  <w:vMerge w:val="continue"/>
                  <w:shd w:val="clear" w:color="auto" w:fill="auto"/>
                  <w:vAlign w:val="center"/>
                </w:tcPr>
                <w:p w14:paraId="6CA78D62">
                  <w:pPr>
                    <w:spacing w:line="240" w:lineRule="auto"/>
                    <w:ind w:firstLine="0" w:firstLineChars="0"/>
                    <w:jc w:val="center"/>
                    <w:rPr>
                      <w:sz w:val="21"/>
                      <w:szCs w:val="21"/>
                    </w:rPr>
                  </w:pPr>
                </w:p>
              </w:tc>
              <w:tc>
                <w:tcPr>
                  <w:tcW w:w="1695" w:type="dxa"/>
                  <w:shd w:val="clear" w:color="auto" w:fill="auto"/>
                  <w:vAlign w:val="center"/>
                </w:tcPr>
                <w:p w14:paraId="72E7E6EE">
                  <w:pPr>
                    <w:spacing w:line="240" w:lineRule="auto"/>
                    <w:ind w:firstLine="0" w:firstLineChars="0"/>
                    <w:jc w:val="center"/>
                    <w:rPr>
                      <w:sz w:val="21"/>
                      <w:szCs w:val="21"/>
                    </w:rPr>
                  </w:pPr>
                  <w:r>
                    <w:rPr>
                      <w:sz w:val="21"/>
                      <w:szCs w:val="21"/>
                    </w:rPr>
                    <w:t>8匹</w:t>
                  </w:r>
                </w:p>
              </w:tc>
              <w:tc>
                <w:tcPr>
                  <w:tcW w:w="1035" w:type="dxa"/>
                  <w:shd w:val="clear" w:color="auto" w:fill="auto"/>
                  <w:vAlign w:val="center"/>
                </w:tcPr>
                <w:p w14:paraId="45931BE4">
                  <w:pPr>
                    <w:pStyle w:val="31"/>
                    <w:spacing w:line="240" w:lineRule="auto"/>
                    <w:ind w:left="0"/>
                    <w:rPr>
                      <w:szCs w:val="21"/>
                    </w:rPr>
                  </w:pPr>
                  <w:r>
                    <w:rPr>
                      <w:szCs w:val="21"/>
                    </w:rPr>
                    <w:t>台</w:t>
                  </w:r>
                </w:p>
              </w:tc>
              <w:tc>
                <w:tcPr>
                  <w:tcW w:w="841" w:type="dxa"/>
                  <w:shd w:val="clear" w:color="auto" w:fill="auto"/>
                  <w:vAlign w:val="center"/>
                </w:tcPr>
                <w:p w14:paraId="37A1D52B">
                  <w:pPr>
                    <w:spacing w:line="240" w:lineRule="auto"/>
                    <w:ind w:firstLine="0" w:firstLineChars="0"/>
                    <w:jc w:val="center"/>
                    <w:rPr>
                      <w:sz w:val="21"/>
                      <w:szCs w:val="21"/>
                    </w:rPr>
                  </w:pPr>
                  <w:r>
                    <w:rPr>
                      <w:sz w:val="21"/>
                      <w:szCs w:val="21"/>
                    </w:rPr>
                    <w:t>1</w:t>
                  </w:r>
                </w:p>
              </w:tc>
              <w:tc>
                <w:tcPr>
                  <w:tcW w:w="1529" w:type="dxa"/>
                  <w:shd w:val="clear" w:color="auto" w:fill="auto"/>
                  <w:vAlign w:val="center"/>
                </w:tcPr>
                <w:p w14:paraId="567B9635">
                  <w:pPr>
                    <w:pStyle w:val="31"/>
                    <w:spacing w:line="240" w:lineRule="auto"/>
                    <w:ind w:left="0"/>
                    <w:rPr>
                      <w:szCs w:val="21"/>
                    </w:rPr>
                  </w:pPr>
                  <w:r>
                    <w:rPr>
                      <w:szCs w:val="21"/>
                    </w:rPr>
                    <w:t>冷藏间</w:t>
                  </w:r>
                </w:p>
              </w:tc>
            </w:tr>
          </w:tbl>
          <w:p w14:paraId="159B3A00">
            <w:pPr>
              <w:ind w:firstLine="482"/>
              <w:rPr>
                <w:b/>
                <w:bCs/>
              </w:rPr>
            </w:pPr>
            <w:r>
              <w:rPr>
                <w:rFonts w:hint="eastAsia"/>
                <w:b/>
                <w:bCs/>
              </w:rPr>
              <w:t>5、主要原辅材料及能源消耗</w:t>
            </w:r>
          </w:p>
          <w:p w14:paraId="7F0CBDAE">
            <w:r>
              <w:rPr>
                <w:rFonts w:hint="eastAsia"/>
              </w:rPr>
              <w:t>本项目主要原辅材料及能源消耗见下表所示</w:t>
            </w:r>
            <w:r>
              <w:t>。</w:t>
            </w:r>
          </w:p>
          <w:p w14:paraId="26D5B872">
            <w:pPr>
              <w:pStyle w:val="32"/>
              <w:rPr>
                <w:rFonts w:hint="default"/>
              </w:rPr>
            </w:pPr>
            <w:r>
              <w:t>表2-5  项目原辅材料及能耗一览表</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44"/>
              <w:gridCol w:w="961"/>
              <w:gridCol w:w="838"/>
              <w:gridCol w:w="1020"/>
              <w:gridCol w:w="1350"/>
              <w:gridCol w:w="1724"/>
            </w:tblGrid>
            <w:tr w14:paraId="2A9A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7011A72E">
                  <w:pPr>
                    <w:pStyle w:val="31"/>
                    <w:spacing w:line="240" w:lineRule="auto"/>
                    <w:ind w:left="0"/>
                    <w:rPr>
                      <w:szCs w:val="21"/>
                      <w:lang w:val="en-GB"/>
                    </w:rPr>
                  </w:pPr>
                  <w:r>
                    <w:rPr>
                      <w:szCs w:val="21"/>
                      <w:lang w:val="en-GB"/>
                    </w:rPr>
                    <w:t>序号</w:t>
                  </w:r>
                </w:p>
              </w:tc>
              <w:tc>
                <w:tcPr>
                  <w:tcW w:w="803" w:type="pct"/>
                  <w:shd w:val="clear" w:color="auto" w:fill="auto"/>
                  <w:vAlign w:val="center"/>
                </w:tcPr>
                <w:p w14:paraId="704791A2">
                  <w:pPr>
                    <w:pStyle w:val="31"/>
                    <w:spacing w:line="240" w:lineRule="auto"/>
                    <w:ind w:left="0"/>
                    <w:rPr>
                      <w:szCs w:val="21"/>
                      <w:lang w:val="en-GB"/>
                    </w:rPr>
                  </w:pPr>
                  <w:r>
                    <w:rPr>
                      <w:szCs w:val="21"/>
                      <w:lang w:val="en-GB"/>
                    </w:rPr>
                    <w:t>名称</w:t>
                  </w:r>
                </w:p>
              </w:tc>
              <w:tc>
                <w:tcPr>
                  <w:tcW w:w="620" w:type="pct"/>
                  <w:shd w:val="clear" w:color="auto" w:fill="auto"/>
                  <w:vAlign w:val="center"/>
                </w:tcPr>
                <w:p w14:paraId="04AAF2DC">
                  <w:pPr>
                    <w:pStyle w:val="31"/>
                    <w:spacing w:line="240" w:lineRule="auto"/>
                    <w:ind w:left="0"/>
                    <w:rPr>
                      <w:szCs w:val="21"/>
                      <w:lang w:val="en-GB"/>
                    </w:rPr>
                  </w:pPr>
                  <w:r>
                    <w:rPr>
                      <w:szCs w:val="21"/>
                      <w:lang w:val="en-GB"/>
                    </w:rPr>
                    <w:t>单位</w:t>
                  </w:r>
                </w:p>
              </w:tc>
              <w:tc>
                <w:tcPr>
                  <w:tcW w:w="541" w:type="pct"/>
                  <w:shd w:val="clear" w:color="auto" w:fill="auto"/>
                  <w:vAlign w:val="center"/>
                </w:tcPr>
                <w:p w14:paraId="2D3390E7">
                  <w:pPr>
                    <w:pStyle w:val="31"/>
                    <w:spacing w:line="240" w:lineRule="auto"/>
                    <w:ind w:left="0"/>
                    <w:rPr>
                      <w:szCs w:val="21"/>
                      <w:lang w:val="en-GB"/>
                    </w:rPr>
                  </w:pPr>
                  <w:r>
                    <w:rPr>
                      <w:szCs w:val="21"/>
                      <w:lang w:val="en-GB"/>
                    </w:rPr>
                    <w:t>使用量</w:t>
                  </w:r>
                </w:p>
              </w:tc>
              <w:tc>
                <w:tcPr>
                  <w:tcW w:w="658" w:type="pct"/>
                  <w:shd w:val="clear" w:color="auto" w:fill="auto"/>
                  <w:vAlign w:val="center"/>
                </w:tcPr>
                <w:p w14:paraId="2E4AC37D">
                  <w:pPr>
                    <w:pStyle w:val="31"/>
                    <w:spacing w:line="240" w:lineRule="auto"/>
                    <w:ind w:left="0"/>
                    <w:rPr>
                      <w:color w:val="0000FF"/>
                      <w:szCs w:val="21"/>
                      <w:lang w:val="en-GB"/>
                    </w:rPr>
                  </w:pPr>
                  <w:r>
                    <w:rPr>
                      <w:color w:val="0000FF"/>
                      <w:szCs w:val="21"/>
                    </w:rPr>
                    <w:t>最大暂存量</w:t>
                  </w:r>
                </w:p>
              </w:tc>
              <w:tc>
                <w:tcPr>
                  <w:tcW w:w="871" w:type="pct"/>
                  <w:shd w:val="clear" w:color="auto" w:fill="auto"/>
                  <w:vAlign w:val="center"/>
                </w:tcPr>
                <w:p w14:paraId="053A5686">
                  <w:pPr>
                    <w:pStyle w:val="31"/>
                    <w:spacing w:line="240" w:lineRule="auto"/>
                    <w:ind w:left="0"/>
                    <w:rPr>
                      <w:color w:val="0000FF"/>
                      <w:szCs w:val="21"/>
                    </w:rPr>
                  </w:pPr>
                  <w:r>
                    <w:rPr>
                      <w:color w:val="0000FF"/>
                      <w:szCs w:val="21"/>
                      <w:lang w:val="en-GB"/>
                    </w:rPr>
                    <w:t>包装、形态</w:t>
                  </w:r>
                </w:p>
              </w:tc>
              <w:tc>
                <w:tcPr>
                  <w:tcW w:w="1110" w:type="pct"/>
                  <w:shd w:val="clear" w:color="auto" w:fill="auto"/>
                  <w:vAlign w:val="center"/>
                </w:tcPr>
                <w:p w14:paraId="2A160A6E">
                  <w:pPr>
                    <w:pStyle w:val="31"/>
                    <w:spacing w:line="240" w:lineRule="auto"/>
                    <w:ind w:left="0"/>
                    <w:rPr>
                      <w:szCs w:val="21"/>
                    </w:rPr>
                  </w:pPr>
                  <w:r>
                    <w:rPr>
                      <w:szCs w:val="21"/>
                    </w:rPr>
                    <w:t>储存位置、对应的生产工序</w:t>
                  </w:r>
                </w:p>
              </w:tc>
            </w:tr>
            <w:tr w14:paraId="0C60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shd w:val="clear" w:color="auto" w:fill="auto"/>
                  <w:vAlign w:val="center"/>
                </w:tcPr>
                <w:p w14:paraId="11307E0D">
                  <w:pPr>
                    <w:pStyle w:val="31"/>
                    <w:spacing w:line="240" w:lineRule="auto"/>
                    <w:ind w:left="0"/>
                    <w:rPr>
                      <w:szCs w:val="21"/>
                    </w:rPr>
                  </w:pPr>
                  <w:r>
                    <w:rPr>
                      <w:szCs w:val="21"/>
                    </w:rPr>
                    <w:t>包子馅料生产线</w:t>
                  </w:r>
                </w:p>
              </w:tc>
            </w:tr>
            <w:tr w14:paraId="0AE8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6B996162">
                  <w:pPr>
                    <w:pStyle w:val="31"/>
                    <w:spacing w:line="240" w:lineRule="auto"/>
                    <w:ind w:left="0"/>
                    <w:rPr>
                      <w:szCs w:val="21"/>
                      <w:lang w:val="en-GB"/>
                    </w:rPr>
                  </w:pPr>
                  <w:r>
                    <w:rPr>
                      <w:szCs w:val="21"/>
                      <w:lang w:val="en-GB"/>
                    </w:rPr>
                    <w:t>1</w:t>
                  </w:r>
                </w:p>
              </w:tc>
              <w:tc>
                <w:tcPr>
                  <w:tcW w:w="803" w:type="pct"/>
                  <w:shd w:val="clear" w:color="auto" w:fill="auto"/>
                  <w:vAlign w:val="center"/>
                </w:tcPr>
                <w:p w14:paraId="7639EDB3">
                  <w:pPr>
                    <w:pStyle w:val="31"/>
                    <w:spacing w:line="240" w:lineRule="auto"/>
                    <w:ind w:left="0"/>
                    <w:rPr>
                      <w:szCs w:val="21"/>
                    </w:rPr>
                  </w:pPr>
                  <w:r>
                    <w:rPr>
                      <w:szCs w:val="21"/>
                    </w:rPr>
                    <w:t>粉丝</w:t>
                  </w:r>
                </w:p>
              </w:tc>
              <w:tc>
                <w:tcPr>
                  <w:tcW w:w="620" w:type="pct"/>
                  <w:shd w:val="clear" w:color="auto" w:fill="auto"/>
                  <w:vAlign w:val="center"/>
                </w:tcPr>
                <w:p w14:paraId="2760EB08">
                  <w:pPr>
                    <w:pStyle w:val="31"/>
                    <w:spacing w:line="240" w:lineRule="auto"/>
                    <w:ind w:left="0"/>
                    <w:rPr>
                      <w:szCs w:val="21"/>
                    </w:rPr>
                  </w:pPr>
                  <w:r>
                    <w:rPr>
                      <w:szCs w:val="21"/>
                    </w:rPr>
                    <w:t>t/a</w:t>
                  </w:r>
                </w:p>
              </w:tc>
              <w:tc>
                <w:tcPr>
                  <w:tcW w:w="541" w:type="pct"/>
                  <w:shd w:val="clear" w:color="auto" w:fill="auto"/>
                  <w:vAlign w:val="center"/>
                </w:tcPr>
                <w:p w14:paraId="4C256740">
                  <w:pPr>
                    <w:pStyle w:val="31"/>
                    <w:spacing w:line="240" w:lineRule="auto"/>
                    <w:ind w:left="0"/>
                    <w:rPr>
                      <w:szCs w:val="21"/>
                    </w:rPr>
                  </w:pPr>
                  <w:r>
                    <w:rPr>
                      <w:szCs w:val="21"/>
                    </w:rPr>
                    <w:t>136</w:t>
                  </w:r>
                </w:p>
              </w:tc>
              <w:tc>
                <w:tcPr>
                  <w:tcW w:w="658" w:type="pct"/>
                  <w:shd w:val="clear" w:color="auto" w:fill="auto"/>
                  <w:vAlign w:val="center"/>
                </w:tcPr>
                <w:p w14:paraId="51F6D7D1">
                  <w:pPr>
                    <w:pStyle w:val="31"/>
                    <w:spacing w:line="240" w:lineRule="auto"/>
                    <w:ind w:left="0"/>
                    <w:rPr>
                      <w:color w:val="0000FF"/>
                      <w:szCs w:val="21"/>
                    </w:rPr>
                  </w:pPr>
                  <w:r>
                    <w:rPr>
                      <w:color w:val="0000FF"/>
                      <w:szCs w:val="21"/>
                    </w:rPr>
                    <w:t>1</w:t>
                  </w:r>
                </w:p>
              </w:tc>
              <w:tc>
                <w:tcPr>
                  <w:tcW w:w="871" w:type="pct"/>
                  <w:shd w:val="clear" w:color="auto" w:fill="auto"/>
                  <w:vAlign w:val="center"/>
                </w:tcPr>
                <w:p w14:paraId="05C25767">
                  <w:pPr>
                    <w:widowControl/>
                    <w:spacing w:line="240" w:lineRule="auto"/>
                    <w:ind w:firstLine="0" w:firstLineChars="0"/>
                    <w:jc w:val="center"/>
                    <w:textAlignment w:val="center"/>
                    <w:rPr>
                      <w:color w:val="0000FF"/>
                      <w:sz w:val="21"/>
                      <w:szCs w:val="21"/>
                    </w:rPr>
                  </w:pPr>
                  <w:r>
                    <w:rPr>
                      <w:color w:val="0000FF"/>
                      <w:sz w:val="21"/>
                      <w:szCs w:val="21"/>
                      <w:lang w:bidi="ar"/>
                    </w:rPr>
                    <w:t>10kg/捆</w:t>
                  </w:r>
                </w:p>
              </w:tc>
              <w:tc>
                <w:tcPr>
                  <w:tcW w:w="1110" w:type="pct"/>
                  <w:shd w:val="clear" w:color="auto" w:fill="auto"/>
                  <w:vAlign w:val="center"/>
                </w:tcPr>
                <w:p w14:paraId="0B9FC22B">
                  <w:pPr>
                    <w:pStyle w:val="31"/>
                    <w:spacing w:line="240" w:lineRule="auto"/>
                    <w:ind w:left="0"/>
                    <w:rPr>
                      <w:szCs w:val="21"/>
                    </w:rPr>
                  </w:pPr>
                  <w:r>
                    <w:rPr>
                      <w:szCs w:val="21"/>
                    </w:rPr>
                    <w:t>原料暂存间</w:t>
                  </w:r>
                </w:p>
              </w:tc>
            </w:tr>
            <w:tr w14:paraId="4165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19FB4A72">
                  <w:pPr>
                    <w:pStyle w:val="31"/>
                    <w:spacing w:line="240" w:lineRule="auto"/>
                    <w:ind w:left="0"/>
                    <w:rPr>
                      <w:szCs w:val="21"/>
                      <w:lang w:val="en-GB"/>
                    </w:rPr>
                  </w:pPr>
                  <w:r>
                    <w:rPr>
                      <w:szCs w:val="21"/>
                      <w:lang w:val="en-GB"/>
                    </w:rPr>
                    <w:t>2</w:t>
                  </w:r>
                </w:p>
              </w:tc>
              <w:tc>
                <w:tcPr>
                  <w:tcW w:w="803" w:type="pct"/>
                  <w:shd w:val="clear" w:color="auto" w:fill="auto"/>
                  <w:vAlign w:val="center"/>
                </w:tcPr>
                <w:p w14:paraId="5863B4A1">
                  <w:pPr>
                    <w:pStyle w:val="31"/>
                    <w:spacing w:line="240" w:lineRule="auto"/>
                    <w:ind w:left="0"/>
                    <w:rPr>
                      <w:szCs w:val="21"/>
                    </w:rPr>
                  </w:pPr>
                  <w:r>
                    <w:rPr>
                      <w:szCs w:val="21"/>
                    </w:rPr>
                    <w:t>猪肉</w:t>
                  </w:r>
                </w:p>
              </w:tc>
              <w:tc>
                <w:tcPr>
                  <w:tcW w:w="620" w:type="pct"/>
                  <w:shd w:val="clear" w:color="auto" w:fill="auto"/>
                  <w:vAlign w:val="center"/>
                </w:tcPr>
                <w:p w14:paraId="04156DB1">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451DD3AD">
                  <w:pPr>
                    <w:pStyle w:val="31"/>
                    <w:spacing w:line="240" w:lineRule="auto"/>
                    <w:ind w:left="0"/>
                    <w:rPr>
                      <w:szCs w:val="21"/>
                    </w:rPr>
                  </w:pPr>
                  <w:r>
                    <w:rPr>
                      <w:szCs w:val="21"/>
                    </w:rPr>
                    <w:t>62</w:t>
                  </w:r>
                </w:p>
              </w:tc>
              <w:tc>
                <w:tcPr>
                  <w:tcW w:w="658" w:type="pct"/>
                  <w:shd w:val="clear" w:color="auto" w:fill="auto"/>
                  <w:vAlign w:val="center"/>
                </w:tcPr>
                <w:p w14:paraId="244E6C6A">
                  <w:pPr>
                    <w:pStyle w:val="31"/>
                    <w:spacing w:line="240" w:lineRule="auto"/>
                    <w:ind w:left="0"/>
                    <w:rPr>
                      <w:color w:val="0000FF"/>
                      <w:szCs w:val="21"/>
                    </w:rPr>
                  </w:pPr>
                  <w:r>
                    <w:rPr>
                      <w:color w:val="0000FF"/>
                      <w:szCs w:val="21"/>
                    </w:rPr>
                    <w:t>2</w:t>
                  </w:r>
                </w:p>
              </w:tc>
              <w:tc>
                <w:tcPr>
                  <w:tcW w:w="871" w:type="pct"/>
                  <w:shd w:val="clear" w:color="auto" w:fill="auto"/>
                  <w:vAlign w:val="center"/>
                </w:tcPr>
                <w:p w14:paraId="6FA1ECCE">
                  <w:pPr>
                    <w:widowControl/>
                    <w:spacing w:line="240" w:lineRule="auto"/>
                    <w:ind w:firstLine="0" w:firstLineChars="0"/>
                    <w:jc w:val="center"/>
                    <w:textAlignment w:val="center"/>
                    <w:rPr>
                      <w:color w:val="0000FF"/>
                      <w:sz w:val="21"/>
                      <w:szCs w:val="21"/>
                    </w:rPr>
                  </w:pPr>
                  <w:r>
                    <w:rPr>
                      <w:color w:val="0000FF"/>
                      <w:sz w:val="21"/>
                      <w:szCs w:val="21"/>
                      <w:lang w:bidi="ar"/>
                    </w:rPr>
                    <w:t>25kg/袋</w:t>
                  </w:r>
                </w:p>
              </w:tc>
              <w:tc>
                <w:tcPr>
                  <w:tcW w:w="1110" w:type="pct"/>
                  <w:shd w:val="clear" w:color="auto" w:fill="auto"/>
                  <w:vAlign w:val="center"/>
                </w:tcPr>
                <w:p w14:paraId="320693EC">
                  <w:pPr>
                    <w:pStyle w:val="31"/>
                    <w:spacing w:line="240" w:lineRule="auto"/>
                    <w:ind w:left="0"/>
                    <w:rPr>
                      <w:szCs w:val="21"/>
                    </w:rPr>
                  </w:pPr>
                  <w:r>
                    <w:rPr>
                      <w:szCs w:val="21"/>
                    </w:rPr>
                    <w:t>冷冻库</w:t>
                  </w:r>
                </w:p>
              </w:tc>
            </w:tr>
            <w:tr w14:paraId="27FA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6FCF5E1C">
                  <w:pPr>
                    <w:pStyle w:val="31"/>
                    <w:spacing w:line="240" w:lineRule="auto"/>
                    <w:ind w:left="0"/>
                    <w:rPr>
                      <w:szCs w:val="21"/>
                      <w:lang w:val="en-GB"/>
                    </w:rPr>
                  </w:pPr>
                  <w:r>
                    <w:rPr>
                      <w:szCs w:val="21"/>
                      <w:lang w:val="en-GB"/>
                    </w:rPr>
                    <w:t>3</w:t>
                  </w:r>
                </w:p>
              </w:tc>
              <w:tc>
                <w:tcPr>
                  <w:tcW w:w="803" w:type="pct"/>
                  <w:shd w:val="clear" w:color="auto" w:fill="auto"/>
                  <w:vAlign w:val="center"/>
                </w:tcPr>
                <w:p w14:paraId="015A4F89">
                  <w:pPr>
                    <w:pStyle w:val="31"/>
                    <w:spacing w:line="240" w:lineRule="auto"/>
                    <w:ind w:left="0"/>
                    <w:rPr>
                      <w:szCs w:val="21"/>
                    </w:rPr>
                  </w:pPr>
                  <w:r>
                    <w:rPr>
                      <w:szCs w:val="21"/>
                    </w:rPr>
                    <w:t>蔬菜</w:t>
                  </w:r>
                </w:p>
              </w:tc>
              <w:tc>
                <w:tcPr>
                  <w:tcW w:w="620" w:type="pct"/>
                  <w:shd w:val="clear" w:color="auto" w:fill="auto"/>
                  <w:vAlign w:val="center"/>
                </w:tcPr>
                <w:p w14:paraId="00A9FBE3">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1430E107">
                  <w:pPr>
                    <w:pStyle w:val="31"/>
                    <w:spacing w:line="240" w:lineRule="auto"/>
                    <w:ind w:left="0"/>
                    <w:rPr>
                      <w:szCs w:val="21"/>
                    </w:rPr>
                  </w:pPr>
                  <w:r>
                    <w:rPr>
                      <w:szCs w:val="21"/>
                    </w:rPr>
                    <w:t>528</w:t>
                  </w:r>
                </w:p>
              </w:tc>
              <w:tc>
                <w:tcPr>
                  <w:tcW w:w="658" w:type="pct"/>
                  <w:shd w:val="clear" w:color="auto" w:fill="auto"/>
                  <w:vAlign w:val="center"/>
                </w:tcPr>
                <w:p w14:paraId="323572F1">
                  <w:pPr>
                    <w:pStyle w:val="31"/>
                    <w:spacing w:line="240" w:lineRule="auto"/>
                    <w:ind w:left="0"/>
                    <w:rPr>
                      <w:color w:val="0000FF"/>
                      <w:szCs w:val="21"/>
                    </w:rPr>
                  </w:pPr>
                  <w:r>
                    <w:rPr>
                      <w:color w:val="0000FF"/>
                      <w:szCs w:val="21"/>
                    </w:rPr>
                    <w:t>3</w:t>
                  </w:r>
                </w:p>
              </w:tc>
              <w:tc>
                <w:tcPr>
                  <w:tcW w:w="871" w:type="pct"/>
                  <w:shd w:val="clear" w:color="auto" w:fill="auto"/>
                  <w:vAlign w:val="center"/>
                </w:tcPr>
                <w:p w14:paraId="478744E1">
                  <w:pPr>
                    <w:widowControl/>
                    <w:spacing w:line="240" w:lineRule="auto"/>
                    <w:ind w:firstLine="0" w:firstLineChars="0"/>
                    <w:jc w:val="center"/>
                    <w:textAlignment w:val="center"/>
                    <w:rPr>
                      <w:color w:val="0000FF"/>
                      <w:sz w:val="21"/>
                      <w:szCs w:val="21"/>
                    </w:rPr>
                  </w:pPr>
                  <w:r>
                    <w:rPr>
                      <w:color w:val="0000FF"/>
                      <w:sz w:val="21"/>
                      <w:szCs w:val="21"/>
                      <w:lang w:bidi="ar"/>
                    </w:rPr>
                    <w:t>5kg/包</w:t>
                  </w:r>
                </w:p>
              </w:tc>
              <w:tc>
                <w:tcPr>
                  <w:tcW w:w="1110" w:type="pct"/>
                  <w:shd w:val="clear" w:color="auto" w:fill="auto"/>
                  <w:vAlign w:val="center"/>
                </w:tcPr>
                <w:p w14:paraId="2B6A4C36">
                  <w:pPr>
                    <w:pStyle w:val="31"/>
                    <w:spacing w:line="240" w:lineRule="auto"/>
                    <w:ind w:left="0"/>
                    <w:rPr>
                      <w:szCs w:val="21"/>
                    </w:rPr>
                  </w:pPr>
                  <w:r>
                    <w:rPr>
                      <w:szCs w:val="21"/>
                    </w:rPr>
                    <w:t>原料暂存间</w:t>
                  </w:r>
                </w:p>
              </w:tc>
            </w:tr>
            <w:tr w14:paraId="2242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4E659D77">
                  <w:pPr>
                    <w:pStyle w:val="31"/>
                    <w:spacing w:line="240" w:lineRule="auto"/>
                    <w:ind w:left="0"/>
                    <w:rPr>
                      <w:szCs w:val="21"/>
                      <w:lang w:val="en-GB"/>
                    </w:rPr>
                  </w:pPr>
                  <w:r>
                    <w:rPr>
                      <w:szCs w:val="21"/>
                      <w:lang w:val="en-GB"/>
                    </w:rPr>
                    <w:t>4</w:t>
                  </w:r>
                </w:p>
              </w:tc>
              <w:tc>
                <w:tcPr>
                  <w:tcW w:w="803" w:type="pct"/>
                  <w:shd w:val="clear" w:color="auto" w:fill="auto"/>
                  <w:vAlign w:val="center"/>
                </w:tcPr>
                <w:p w14:paraId="2B56BC7E">
                  <w:pPr>
                    <w:pStyle w:val="31"/>
                    <w:spacing w:line="240" w:lineRule="auto"/>
                    <w:ind w:left="0"/>
                    <w:rPr>
                      <w:szCs w:val="21"/>
                    </w:rPr>
                  </w:pPr>
                  <w:r>
                    <w:rPr>
                      <w:szCs w:val="21"/>
                    </w:rPr>
                    <w:t>葱</w:t>
                  </w:r>
                </w:p>
              </w:tc>
              <w:tc>
                <w:tcPr>
                  <w:tcW w:w="620" w:type="pct"/>
                  <w:shd w:val="clear" w:color="auto" w:fill="auto"/>
                  <w:vAlign w:val="center"/>
                </w:tcPr>
                <w:p w14:paraId="3989F495">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7C78C48D">
                  <w:pPr>
                    <w:pStyle w:val="31"/>
                    <w:spacing w:line="240" w:lineRule="auto"/>
                    <w:ind w:left="0"/>
                    <w:rPr>
                      <w:szCs w:val="21"/>
                    </w:rPr>
                  </w:pPr>
                  <w:r>
                    <w:rPr>
                      <w:szCs w:val="21"/>
                    </w:rPr>
                    <w:t>19</w:t>
                  </w:r>
                </w:p>
              </w:tc>
              <w:tc>
                <w:tcPr>
                  <w:tcW w:w="658" w:type="pct"/>
                  <w:shd w:val="clear" w:color="auto" w:fill="auto"/>
                  <w:vAlign w:val="center"/>
                </w:tcPr>
                <w:p w14:paraId="40195FEA">
                  <w:pPr>
                    <w:pStyle w:val="31"/>
                    <w:spacing w:line="240" w:lineRule="auto"/>
                    <w:ind w:left="0"/>
                    <w:rPr>
                      <w:color w:val="0000FF"/>
                      <w:szCs w:val="21"/>
                    </w:rPr>
                  </w:pPr>
                  <w:r>
                    <w:rPr>
                      <w:color w:val="0000FF"/>
                      <w:szCs w:val="21"/>
                    </w:rPr>
                    <w:t>0.15</w:t>
                  </w:r>
                </w:p>
              </w:tc>
              <w:tc>
                <w:tcPr>
                  <w:tcW w:w="871" w:type="pct"/>
                  <w:shd w:val="clear" w:color="auto" w:fill="auto"/>
                  <w:vAlign w:val="center"/>
                </w:tcPr>
                <w:p w14:paraId="2881763E">
                  <w:pPr>
                    <w:widowControl/>
                    <w:spacing w:line="240" w:lineRule="auto"/>
                    <w:ind w:firstLine="0" w:firstLineChars="0"/>
                    <w:jc w:val="center"/>
                    <w:textAlignment w:val="center"/>
                    <w:rPr>
                      <w:color w:val="0000FF"/>
                      <w:sz w:val="21"/>
                      <w:szCs w:val="21"/>
                    </w:rPr>
                  </w:pPr>
                  <w:r>
                    <w:rPr>
                      <w:color w:val="0000FF"/>
                      <w:sz w:val="21"/>
                      <w:szCs w:val="21"/>
                      <w:lang w:bidi="ar"/>
                    </w:rPr>
                    <w:t>10kg/捆</w:t>
                  </w:r>
                </w:p>
              </w:tc>
              <w:tc>
                <w:tcPr>
                  <w:tcW w:w="1110" w:type="pct"/>
                  <w:shd w:val="clear" w:color="auto" w:fill="auto"/>
                  <w:vAlign w:val="center"/>
                </w:tcPr>
                <w:p w14:paraId="09A1E106">
                  <w:pPr>
                    <w:pStyle w:val="31"/>
                    <w:spacing w:line="240" w:lineRule="auto"/>
                    <w:ind w:left="0"/>
                    <w:rPr>
                      <w:szCs w:val="21"/>
                    </w:rPr>
                  </w:pPr>
                  <w:r>
                    <w:rPr>
                      <w:szCs w:val="21"/>
                    </w:rPr>
                    <w:t>原料暂存间</w:t>
                  </w:r>
                </w:p>
              </w:tc>
            </w:tr>
            <w:tr w14:paraId="534D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65C3FF8C">
                  <w:pPr>
                    <w:pStyle w:val="31"/>
                    <w:spacing w:line="240" w:lineRule="auto"/>
                    <w:ind w:left="0"/>
                    <w:rPr>
                      <w:szCs w:val="21"/>
                    </w:rPr>
                  </w:pPr>
                  <w:r>
                    <w:rPr>
                      <w:szCs w:val="21"/>
                    </w:rPr>
                    <w:t>5</w:t>
                  </w:r>
                </w:p>
              </w:tc>
              <w:tc>
                <w:tcPr>
                  <w:tcW w:w="803" w:type="pct"/>
                  <w:shd w:val="clear" w:color="auto" w:fill="auto"/>
                  <w:vAlign w:val="center"/>
                </w:tcPr>
                <w:p w14:paraId="2B2F8530">
                  <w:pPr>
                    <w:pStyle w:val="31"/>
                    <w:spacing w:line="240" w:lineRule="auto"/>
                    <w:ind w:left="0"/>
                    <w:rPr>
                      <w:szCs w:val="21"/>
                    </w:rPr>
                  </w:pPr>
                  <w:r>
                    <w:rPr>
                      <w:szCs w:val="21"/>
                    </w:rPr>
                    <w:t>姜</w:t>
                  </w:r>
                </w:p>
              </w:tc>
              <w:tc>
                <w:tcPr>
                  <w:tcW w:w="620" w:type="pct"/>
                  <w:shd w:val="clear" w:color="auto" w:fill="auto"/>
                  <w:vAlign w:val="center"/>
                </w:tcPr>
                <w:p w14:paraId="5915486B">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208823BD">
                  <w:pPr>
                    <w:pStyle w:val="31"/>
                    <w:spacing w:line="240" w:lineRule="auto"/>
                    <w:ind w:left="0"/>
                    <w:rPr>
                      <w:szCs w:val="21"/>
                    </w:rPr>
                  </w:pPr>
                  <w:r>
                    <w:rPr>
                      <w:szCs w:val="21"/>
                    </w:rPr>
                    <w:t>2</w:t>
                  </w:r>
                </w:p>
              </w:tc>
              <w:tc>
                <w:tcPr>
                  <w:tcW w:w="658" w:type="pct"/>
                  <w:shd w:val="clear" w:color="auto" w:fill="auto"/>
                  <w:vAlign w:val="center"/>
                </w:tcPr>
                <w:p w14:paraId="21CFCE99">
                  <w:pPr>
                    <w:pStyle w:val="31"/>
                    <w:spacing w:line="240" w:lineRule="auto"/>
                    <w:ind w:left="0"/>
                    <w:rPr>
                      <w:color w:val="0000FF"/>
                      <w:szCs w:val="21"/>
                    </w:rPr>
                  </w:pPr>
                  <w:r>
                    <w:rPr>
                      <w:color w:val="0000FF"/>
                      <w:szCs w:val="21"/>
                    </w:rPr>
                    <w:t>0.05</w:t>
                  </w:r>
                </w:p>
              </w:tc>
              <w:tc>
                <w:tcPr>
                  <w:tcW w:w="871" w:type="pct"/>
                  <w:shd w:val="clear" w:color="auto" w:fill="auto"/>
                  <w:vAlign w:val="center"/>
                </w:tcPr>
                <w:p w14:paraId="3C357B41">
                  <w:pPr>
                    <w:widowControl/>
                    <w:spacing w:line="240" w:lineRule="auto"/>
                    <w:ind w:firstLine="0" w:firstLineChars="0"/>
                    <w:jc w:val="center"/>
                    <w:textAlignment w:val="center"/>
                    <w:rPr>
                      <w:color w:val="0000FF"/>
                      <w:sz w:val="21"/>
                      <w:szCs w:val="21"/>
                    </w:rPr>
                  </w:pPr>
                  <w:r>
                    <w:rPr>
                      <w:color w:val="0000FF"/>
                      <w:sz w:val="21"/>
                      <w:szCs w:val="21"/>
                      <w:lang w:bidi="ar"/>
                    </w:rPr>
                    <w:t>10kg/包</w:t>
                  </w:r>
                </w:p>
              </w:tc>
              <w:tc>
                <w:tcPr>
                  <w:tcW w:w="1110" w:type="pct"/>
                  <w:shd w:val="clear" w:color="auto" w:fill="auto"/>
                  <w:vAlign w:val="center"/>
                </w:tcPr>
                <w:p w14:paraId="6AC644E0">
                  <w:pPr>
                    <w:pStyle w:val="31"/>
                    <w:spacing w:line="240" w:lineRule="auto"/>
                    <w:ind w:left="0"/>
                    <w:rPr>
                      <w:szCs w:val="21"/>
                    </w:rPr>
                  </w:pPr>
                  <w:r>
                    <w:rPr>
                      <w:szCs w:val="21"/>
                    </w:rPr>
                    <w:t>原料暂存间</w:t>
                  </w:r>
                </w:p>
              </w:tc>
            </w:tr>
            <w:tr w14:paraId="16C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564AD252">
                  <w:pPr>
                    <w:pStyle w:val="31"/>
                    <w:spacing w:line="240" w:lineRule="auto"/>
                    <w:ind w:left="0"/>
                    <w:rPr>
                      <w:szCs w:val="21"/>
                    </w:rPr>
                  </w:pPr>
                  <w:r>
                    <w:rPr>
                      <w:szCs w:val="21"/>
                    </w:rPr>
                    <w:t>6</w:t>
                  </w:r>
                </w:p>
              </w:tc>
              <w:tc>
                <w:tcPr>
                  <w:tcW w:w="803" w:type="pct"/>
                  <w:shd w:val="clear" w:color="auto" w:fill="auto"/>
                  <w:vAlign w:val="center"/>
                </w:tcPr>
                <w:p w14:paraId="0F73877B">
                  <w:pPr>
                    <w:pStyle w:val="31"/>
                    <w:spacing w:line="240" w:lineRule="auto"/>
                    <w:ind w:left="0"/>
                    <w:rPr>
                      <w:szCs w:val="21"/>
                    </w:rPr>
                  </w:pPr>
                  <w:r>
                    <w:rPr>
                      <w:szCs w:val="21"/>
                    </w:rPr>
                    <w:t>蒜</w:t>
                  </w:r>
                </w:p>
              </w:tc>
              <w:tc>
                <w:tcPr>
                  <w:tcW w:w="620" w:type="pct"/>
                  <w:shd w:val="clear" w:color="auto" w:fill="auto"/>
                  <w:vAlign w:val="center"/>
                </w:tcPr>
                <w:p w14:paraId="5E213E8B">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3C693190">
                  <w:pPr>
                    <w:pStyle w:val="31"/>
                    <w:spacing w:line="240" w:lineRule="auto"/>
                    <w:ind w:left="0"/>
                    <w:rPr>
                      <w:szCs w:val="21"/>
                    </w:rPr>
                  </w:pPr>
                  <w:r>
                    <w:rPr>
                      <w:szCs w:val="21"/>
                    </w:rPr>
                    <w:t>1</w:t>
                  </w:r>
                </w:p>
              </w:tc>
              <w:tc>
                <w:tcPr>
                  <w:tcW w:w="658" w:type="pct"/>
                  <w:shd w:val="clear" w:color="auto" w:fill="auto"/>
                  <w:vAlign w:val="center"/>
                </w:tcPr>
                <w:p w14:paraId="2A9F3DB3">
                  <w:pPr>
                    <w:pStyle w:val="31"/>
                    <w:spacing w:line="240" w:lineRule="auto"/>
                    <w:ind w:left="0"/>
                    <w:rPr>
                      <w:color w:val="0000FF"/>
                      <w:szCs w:val="21"/>
                    </w:rPr>
                  </w:pPr>
                  <w:r>
                    <w:rPr>
                      <w:color w:val="0000FF"/>
                      <w:szCs w:val="21"/>
                    </w:rPr>
                    <w:t>0.01</w:t>
                  </w:r>
                </w:p>
              </w:tc>
              <w:tc>
                <w:tcPr>
                  <w:tcW w:w="871" w:type="pct"/>
                  <w:shd w:val="clear" w:color="auto" w:fill="auto"/>
                  <w:vAlign w:val="center"/>
                </w:tcPr>
                <w:p w14:paraId="3A0ED472">
                  <w:pPr>
                    <w:widowControl/>
                    <w:spacing w:line="240" w:lineRule="auto"/>
                    <w:ind w:firstLine="0" w:firstLineChars="0"/>
                    <w:jc w:val="center"/>
                    <w:textAlignment w:val="center"/>
                    <w:rPr>
                      <w:color w:val="0000FF"/>
                      <w:sz w:val="21"/>
                      <w:szCs w:val="21"/>
                    </w:rPr>
                  </w:pPr>
                  <w:r>
                    <w:rPr>
                      <w:color w:val="0000FF"/>
                      <w:sz w:val="21"/>
                      <w:szCs w:val="21"/>
                      <w:lang w:bidi="ar"/>
                    </w:rPr>
                    <w:t>10kg/包</w:t>
                  </w:r>
                </w:p>
              </w:tc>
              <w:tc>
                <w:tcPr>
                  <w:tcW w:w="1110" w:type="pct"/>
                  <w:shd w:val="clear" w:color="auto" w:fill="auto"/>
                  <w:vAlign w:val="center"/>
                </w:tcPr>
                <w:p w14:paraId="65F8D9C7">
                  <w:pPr>
                    <w:pStyle w:val="31"/>
                    <w:spacing w:line="240" w:lineRule="auto"/>
                    <w:ind w:left="0"/>
                    <w:rPr>
                      <w:szCs w:val="21"/>
                    </w:rPr>
                  </w:pPr>
                  <w:r>
                    <w:rPr>
                      <w:szCs w:val="21"/>
                    </w:rPr>
                    <w:t>原料暂存间</w:t>
                  </w:r>
                </w:p>
              </w:tc>
            </w:tr>
            <w:tr w14:paraId="0D5B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7EDCE514">
                  <w:pPr>
                    <w:pStyle w:val="31"/>
                    <w:spacing w:line="240" w:lineRule="auto"/>
                    <w:ind w:left="0"/>
                    <w:rPr>
                      <w:szCs w:val="21"/>
                    </w:rPr>
                  </w:pPr>
                  <w:r>
                    <w:rPr>
                      <w:szCs w:val="21"/>
                    </w:rPr>
                    <w:t>7</w:t>
                  </w:r>
                </w:p>
              </w:tc>
              <w:tc>
                <w:tcPr>
                  <w:tcW w:w="803" w:type="pct"/>
                  <w:shd w:val="clear" w:color="auto" w:fill="auto"/>
                  <w:vAlign w:val="center"/>
                </w:tcPr>
                <w:p w14:paraId="7B4D3EED">
                  <w:pPr>
                    <w:pStyle w:val="31"/>
                    <w:spacing w:line="240" w:lineRule="auto"/>
                    <w:ind w:left="0"/>
                    <w:rPr>
                      <w:szCs w:val="21"/>
                    </w:rPr>
                  </w:pPr>
                  <w:r>
                    <w:rPr>
                      <w:szCs w:val="21"/>
                    </w:rPr>
                    <w:t>盐</w:t>
                  </w:r>
                </w:p>
              </w:tc>
              <w:tc>
                <w:tcPr>
                  <w:tcW w:w="620" w:type="pct"/>
                  <w:shd w:val="clear" w:color="auto" w:fill="auto"/>
                  <w:vAlign w:val="center"/>
                </w:tcPr>
                <w:p w14:paraId="5D74044E">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46D60811">
                  <w:pPr>
                    <w:pStyle w:val="31"/>
                    <w:spacing w:line="240" w:lineRule="auto"/>
                    <w:ind w:left="0"/>
                    <w:rPr>
                      <w:szCs w:val="21"/>
                    </w:rPr>
                  </w:pPr>
                  <w:r>
                    <w:rPr>
                      <w:szCs w:val="21"/>
                    </w:rPr>
                    <w:t>10</w:t>
                  </w:r>
                </w:p>
              </w:tc>
              <w:tc>
                <w:tcPr>
                  <w:tcW w:w="658" w:type="pct"/>
                  <w:shd w:val="clear" w:color="auto" w:fill="auto"/>
                  <w:vAlign w:val="center"/>
                </w:tcPr>
                <w:p w14:paraId="1C0044F3">
                  <w:pPr>
                    <w:pStyle w:val="31"/>
                    <w:spacing w:line="240" w:lineRule="auto"/>
                    <w:ind w:left="0"/>
                    <w:rPr>
                      <w:color w:val="0000FF"/>
                      <w:szCs w:val="21"/>
                    </w:rPr>
                  </w:pPr>
                  <w:r>
                    <w:rPr>
                      <w:color w:val="0000FF"/>
                      <w:szCs w:val="21"/>
                    </w:rPr>
                    <w:t>0.4</w:t>
                  </w:r>
                </w:p>
              </w:tc>
              <w:tc>
                <w:tcPr>
                  <w:tcW w:w="871" w:type="pct"/>
                  <w:shd w:val="clear" w:color="auto" w:fill="auto"/>
                  <w:vAlign w:val="center"/>
                </w:tcPr>
                <w:p w14:paraId="5161F0C6">
                  <w:pPr>
                    <w:widowControl/>
                    <w:spacing w:line="240" w:lineRule="auto"/>
                    <w:ind w:firstLine="0" w:firstLineChars="0"/>
                    <w:jc w:val="center"/>
                    <w:textAlignment w:val="center"/>
                    <w:rPr>
                      <w:color w:val="0000FF"/>
                      <w:sz w:val="21"/>
                      <w:szCs w:val="21"/>
                    </w:rPr>
                  </w:pPr>
                  <w:r>
                    <w:rPr>
                      <w:color w:val="0000FF"/>
                      <w:sz w:val="21"/>
                      <w:szCs w:val="21"/>
                      <w:lang w:bidi="ar"/>
                    </w:rPr>
                    <w:t>500g/包</w:t>
                  </w:r>
                </w:p>
              </w:tc>
              <w:tc>
                <w:tcPr>
                  <w:tcW w:w="1110" w:type="pct"/>
                  <w:shd w:val="clear" w:color="auto" w:fill="auto"/>
                  <w:vAlign w:val="center"/>
                </w:tcPr>
                <w:p w14:paraId="355EB53F">
                  <w:pPr>
                    <w:pStyle w:val="31"/>
                    <w:spacing w:line="240" w:lineRule="auto"/>
                    <w:ind w:left="0"/>
                    <w:rPr>
                      <w:szCs w:val="21"/>
                    </w:rPr>
                  </w:pPr>
                  <w:r>
                    <w:rPr>
                      <w:szCs w:val="21"/>
                    </w:rPr>
                    <w:t>配料间</w:t>
                  </w:r>
                </w:p>
              </w:tc>
            </w:tr>
            <w:tr w14:paraId="7E7E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1C71D051">
                  <w:pPr>
                    <w:pStyle w:val="31"/>
                    <w:spacing w:line="240" w:lineRule="auto"/>
                    <w:ind w:left="0"/>
                    <w:rPr>
                      <w:szCs w:val="21"/>
                    </w:rPr>
                  </w:pPr>
                  <w:r>
                    <w:rPr>
                      <w:szCs w:val="21"/>
                    </w:rPr>
                    <w:t>8</w:t>
                  </w:r>
                </w:p>
              </w:tc>
              <w:tc>
                <w:tcPr>
                  <w:tcW w:w="803" w:type="pct"/>
                  <w:shd w:val="clear" w:color="auto" w:fill="auto"/>
                  <w:vAlign w:val="center"/>
                </w:tcPr>
                <w:p w14:paraId="55517F07">
                  <w:pPr>
                    <w:pStyle w:val="31"/>
                    <w:spacing w:line="240" w:lineRule="auto"/>
                    <w:ind w:left="0"/>
                    <w:rPr>
                      <w:color w:val="0000FF"/>
                      <w:szCs w:val="21"/>
                    </w:rPr>
                  </w:pPr>
                  <w:r>
                    <w:rPr>
                      <w:color w:val="0000FF"/>
                      <w:szCs w:val="21"/>
                    </w:rPr>
                    <w:t>味精</w:t>
                  </w:r>
                </w:p>
              </w:tc>
              <w:tc>
                <w:tcPr>
                  <w:tcW w:w="620" w:type="pct"/>
                  <w:shd w:val="clear" w:color="auto" w:fill="auto"/>
                  <w:vAlign w:val="center"/>
                </w:tcPr>
                <w:p w14:paraId="328313F3">
                  <w:pPr>
                    <w:spacing w:line="240" w:lineRule="auto"/>
                    <w:ind w:firstLine="0" w:firstLineChars="0"/>
                    <w:jc w:val="center"/>
                    <w:rPr>
                      <w:bCs/>
                      <w:color w:val="0000FF"/>
                      <w:sz w:val="21"/>
                      <w:szCs w:val="21"/>
                    </w:rPr>
                  </w:pPr>
                  <w:r>
                    <w:rPr>
                      <w:bCs/>
                      <w:color w:val="0000FF"/>
                      <w:sz w:val="21"/>
                      <w:szCs w:val="21"/>
                    </w:rPr>
                    <w:t>t/a</w:t>
                  </w:r>
                </w:p>
              </w:tc>
              <w:tc>
                <w:tcPr>
                  <w:tcW w:w="541" w:type="pct"/>
                  <w:shd w:val="clear" w:color="auto" w:fill="auto"/>
                  <w:vAlign w:val="center"/>
                </w:tcPr>
                <w:p w14:paraId="69A11409">
                  <w:pPr>
                    <w:pStyle w:val="31"/>
                    <w:spacing w:line="240" w:lineRule="auto"/>
                    <w:ind w:left="0"/>
                    <w:rPr>
                      <w:color w:val="0000FF"/>
                      <w:szCs w:val="21"/>
                    </w:rPr>
                  </w:pPr>
                  <w:r>
                    <w:rPr>
                      <w:color w:val="0000FF"/>
                      <w:szCs w:val="21"/>
                    </w:rPr>
                    <w:t>26</w:t>
                  </w:r>
                </w:p>
              </w:tc>
              <w:tc>
                <w:tcPr>
                  <w:tcW w:w="658" w:type="pct"/>
                  <w:shd w:val="clear" w:color="auto" w:fill="auto"/>
                  <w:vAlign w:val="center"/>
                </w:tcPr>
                <w:p w14:paraId="638A9767">
                  <w:pPr>
                    <w:pStyle w:val="31"/>
                    <w:spacing w:line="240" w:lineRule="auto"/>
                    <w:ind w:left="0"/>
                    <w:rPr>
                      <w:color w:val="0000FF"/>
                      <w:szCs w:val="21"/>
                    </w:rPr>
                  </w:pPr>
                  <w:r>
                    <w:rPr>
                      <w:color w:val="0000FF"/>
                      <w:szCs w:val="21"/>
                    </w:rPr>
                    <w:t>2</w:t>
                  </w:r>
                </w:p>
              </w:tc>
              <w:tc>
                <w:tcPr>
                  <w:tcW w:w="871" w:type="pct"/>
                  <w:shd w:val="clear" w:color="auto" w:fill="auto"/>
                  <w:vAlign w:val="center"/>
                </w:tcPr>
                <w:p w14:paraId="56DF271A">
                  <w:pPr>
                    <w:widowControl/>
                    <w:spacing w:line="240" w:lineRule="auto"/>
                    <w:ind w:firstLine="0" w:firstLineChars="0"/>
                    <w:jc w:val="center"/>
                    <w:textAlignment w:val="center"/>
                    <w:rPr>
                      <w:color w:val="0000FF"/>
                      <w:sz w:val="21"/>
                      <w:szCs w:val="21"/>
                    </w:rPr>
                  </w:pPr>
                  <w:r>
                    <w:rPr>
                      <w:color w:val="0000FF"/>
                      <w:sz w:val="21"/>
                      <w:szCs w:val="21"/>
                      <w:lang w:bidi="ar"/>
                    </w:rPr>
                    <w:t>25kg/袋</w:t>
                  </w:r>
                </w:p>
              </w:tc>
              <w:tc>
                <w:tcPr>
                  <w:tcW w:w="1110" w:type="pct"/>
                  <w:shd w:val="clear" w:color="auto" w:fill="auto"/>
                  <w:vAlign w:val="center"/>
                </w:tcPr>
                <w:p w14:paraId="49EC04BC">
                  <w:pPr>
                    <w:pStyle w:val="31"/>
                    <w:spacing w:line="240" w:lineRule="auto"/>
                    <w:ind w:left="0"/>
                    <w:rPr>
                      <w:szCs w:val="21"/>
                    </w:rPr>
                  </w:pPr>
                  <w:r>
                    <w:rPr>
                      <w:szCs w:val="21"/>
                    </w:rPr>
                    <w:t>配料间</w:t>
                  </w:r>
                </w:p>
              </w:tc>
            </w:tr>
            <w:tr w14:paraId="4A8C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54966898">
                  <w:pPr>
                    <w:pStyle w:val="31"/>
                    <w:spacing w:line="240" w:lineRule="auto"/>
                    <w:ind w:left="0"/>
                    <w:rPr>
                      <w:szCs w:val="21"/>
                    </w:rPr>
                  </w:pPr>
                  <w:r>
                    <w:rPr>
                      <w:szCs w:val="21"/>
                    </w:rPr>
                    <w:t>9</w:t>
                  </w:r>
                </w:p>
              </w:tc>
              <w:tc>
                <w:tcPr>
                  <w:tcW w:w="803" w:type="pct"/>
                  <w:shd w:val="clear" w:color="auto" w:fill="auto"/>
                  <w:vAlign w:val="center"/>
                </w:tcPr>
                <w:p w14:paraId="29376EC1">
                  <w:pPr>
                    <w:pStyle w:val="31"/>
                    <w:spacing w:line="240" w:lineRule="auto"/>
                    <w:ind w:left="0"/>
                    <w:rPr>
                      <w:szCs w:val="21"/>
                    </w:rPr>
                  </w:pPr>
                  <w:r>
                    <w:rPr>
                      <w:szCs w:val="21"/>
                    </w:rPr>
                    <w:t>酱油</w:t>
                  </w:r>
                </w:p>
              </w:tc>
              <w:tc>
                <w:tcPr>
                  <w:tcW w:w="620" w:type="pct"/>
                  <w:shd w:val="clear" w:color="auto" w:fill="auto"/>
                  <w:vAlign w:val="center"/>
                </w:tcPr>
                <w:p w14:paraId="4EA0AC4B">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04FE8C58">
                  <w:pPr>
                    <w:pStyle w:val="31"/>
                    <w:spacing w:line="240" w:lineRule="auto"/>
                    <w:ind w:left="0"/>
                    <w:rPr>
                      <w:szCs w:val="21"/>
                    </w:rPr>
                  </w:pPr>
                  <w:r>
                    <w:rPr>
                      <w:szCs w:val="21"/>
                    </w:rPr>
                    <w:t>11</w:t>
                  </w:r>
                </w:p>
              </w:tc>
              <w:tc>
                <w:tcPr>
                  <w:tcW w:w="658" w:type="pct"/>
                  <w:shd w:val="clear" w:color="auto" w:fill="auto"/>
                  <w:vAlign w:val="center"/>
                </w:tcPr>
                <w:p w14:paraId="345AD04E">
                  <w:pPr>
                    <w:pStyle w:val="31"/>
                    <w:spacing w:line="240" w:lineRule="auto"/>
                    <w:ind w:left="0"/>
                    <w:rPr>
                      <w:color w:val="0000FF"/>
                      <w:szCs w:val="21"/>
                    </w:rPr>
                  </w:pPr>
                  <w:r>
                    <w:rPr>
                      <w:color w:val="0000FF"/>
                      <w:szCs w:val="21"/>
                    </w:rPr>
                    <w:t>0.64</w:t>
                  </w:r>
                </w:p>
              </w:tc>
              <w:tc>
                <w:tcPr>
                  <w:tcW w:w="871" w:type="pct"/>
                  <w:shd w:val="clear" w:color="auto" w:fill="auto"/>
                  <w:vAlign w:val="center"/>
                </w:tcPr>
                <w:p w14:paraId="1AF60CFD">
                  <w:pPr>
                    <w:widowControl/>
                    <w:spacing w:line="240" w:lineRule="auto"/>
                    <w:ind w:firstLine="0" w:firstLineChars="0"/>
                    <w:jc w:val="center"/>
                    <w:textAlignment w:val="center"/>
                    <w:rPr>
                      <w:color w:val="0000FF"/>
                      <w:sz w:val="21"/>
                      <w:szCs w:val="21"/>
                    </w:rPr>
                  </w:pPr>
                  <w:r>
                    <w:rPr>
                      <w:color w:val="0000FF"/>
                      <w:sz w:val="21"/>
                      <w:szCs w:val="21"/>
                      <w:lang w:bidi="ar"/>
                    </w:rPr>
                    <w:t>13L/瓶</w:t>
                  </w:r>
                </w:p>
              </w:tc>
              <w:tc>
                <w:tcPr>
                  <w:tcW w:w="1110" w:type="pct"/>
                  <w:shd w:val="clear" w:color="auto" w:fill="auto"/>
                  <w:vAlign w:val="center"/>
                </w:tcPr>
                <w:p w14:paraId="6C5D18C7">
                  <w:pPr>
                    <w:pStyle w:val="31"/>
                    <w:spacing w:line="240" w:lineRule="auto"/>
                    <w:ind w:left="0"/>
                    <w:rPr>
                      <w:szCs w:val="21"/>
                    </w:rPr>
                  </w:pPr>
                  <w:r>
                    <w:rPr>
                      <w:szCs w:val="21"/>
                    </w:rPr>
                    <w:t>配料间</w:t>
                  </w:r>
                </w:p>
              </w:tc>
            </w:tr>
            <w:tr w14:paraId="1A7F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0C0EC2DF">
                  <w:pPr>
                    <w:pStyle w:val="31"/>
                    <w:spacing w:line="240" w:lineRule="auto"/>
                    <w:ind w:left="0"/>
                    <w:rPr>
                      <w:szCs w:val="21"/>
                    </w:rPr>
                  </w:pPr>
                  <w:r>
                    <w:rPr>
                      <w:szCs w:val="21"/>
                    </w:rPr>
                    <w:t>10</w:t>
                  </w:r>
                </w:p>
              </w:tc>
              <w:tc>
                <w:tcPr>
                  <w:tcW w:w="803" w:type="pct"/>
                  <w:shd w:val="clear" w:color="auto" w:fill="auto"/>
                  <w:vAlign w:val="center"/>
                </w:tcPr>
                <w:p w14:paraId="2D56975D">
                  <w:pPr>
                    <w:pStyle w:val="31"/>
                    <w:spacing w:line="240" w:lineRule="auto"/>
                    <w:ind w:left="0"/>
                    <w:rPr>
                      <w:szCs w:val="21"/>
                    </w:rPr>
                  </w:pPr>
                  <w:r>
                    <w:rPr>
                      <w:szCs w:val="21"/>
                    </w:rPr>
                    <w:t>辣椒面</w:t>
                  </w:r>
                </w:p>
              </w:tc>
              <w:tc>
                <w:tcPr>
                  <w:tcW w:w="620" w:type="pct"/>
                  <w:shd w:val="clear" w:color="auto" w:fill="auto"/>
                  <w:vAlign w:val="center"/>
                </w:tcPr>
                <w:p w14:paraId="6DF9A705">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1D895BA9">
                  <w:pPr>
                    <w:pStyle w:val="31"/>
                    <w:spacing w:line="240" w:lineRule="auto"/>
                    <w:ind w:left="0"/>
                    <w:rPr>
                      <w:szCs w:val="21"/>
                    </w:rPr>
                  </w:pPr>
                  <w:r>
                    <w:rPr>
                      <w:szCs w:val="21"/>
                    </w:rPr>
                    <w:t>6</w:t>
                  </w:r>
                </w:p>
              </w:tc>
              <w:tc>
                <w:tcPr>
                  <w:tcW w:w="658" w:type="pct"/>
                  <w:shd w:val="clear" w:color="auto" w:fill="auto"/>
                  <w:vAlign w:val="center"/>
                </w:tcPr>
                <w:p w14:paraId="398E2B27">
                  <w:pPr>
                    <w:pStyle w:val="31"/>
                    <w:spacing w:line="240" w:lineRule="auto"/>
                    <w:ind w:left="0"/>
                    <w:rPr>
                      <w:color w:val="0000FF"/>
                      <w:szCs w:val="21"/>
                    </w:rPr>
                  </w:pPr>
                  <w:r>
                    <w:rPr>
                      <w:color w:val="0000FF"/>
                      <w:szCs w:val="21"/>
                    </w:rPr>
                    <w:t>0.1</w:t>
                  </w:r>
                </w:p>
              </w:tc>
              <w:tc>
                <w:tcPr>
                  <w:tcW w:w="871" w:type="pct"/>
                  <w:shd w:val="clear" w:color="auto" w:fill="auto"/>
                  <w:vAlign w:val="center"/>
                </w:tcPr>
                <w:p w14:paraId="1E1A38F5">
                  <w:pPr>
                    <w:widowControl/>
                    <w:spacing w:line="240" w:lineRule="auto"/>
                    <w:ind w:firstLine="0" w:firstLineChars="0"/>
                    <w:jc w:val="center"/>
                    <w:textAlignment w:val="center"/>
                    <w:rPr>
                      <w:color w:val="0000FF"/>
                      <w:sz w:val="21"/>
                      <w:szCs w:val="21"/>
                    </w:rPr>
                  </w:pPr>
                  <w:r>
                    <w:rPr>
                      <w:color w:val="0000FF"/>
                      <w:sz w:val="21"/>
                      <w:szCs w:val="21"/>
                      <w:lang w:bidi="ar"/>
                    </w:rPr>
                    <w:t>50kg/袋</w:t>
                  </w:r>
                </w:p>
              </w:tc>
              <w:tc>
                <w:tcPr>
                  <w:tcW w:w="1110" w:type="pct"/>
                  <w:shd w:val="clear" w:color="auto" w:fill="auto"/>
                  <w:vAlign w:val="center"/>
                </w:tcPr>
                <w:p w14:paraId="6F07D4E9">
                  <w:pPr>
                    <w:pStyle w:val="31"/>
                    <w:spacing w:line="240" w:lineRule="auto"/>
                    <w:ind w:left="0"/>
                    <w:rPr>
                      <w:szCs w:val="21"/>
                    </w:rPr>
                  </w:pPr>
                  <w:r>
                    <w:rPr>
                      <w:szCs w:val="21"/>
                    </w:rPr>
                    <w:t>配料间</w:t>
                  </w:r>
                </w:p>
              </w:tc>
            </w:tr>
            <w:tr w14:paraId="1020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35EFCF8D">
                  <w:pPr>
                    <w:pStyle w:val="31"/>
                    <w:spacing w:line="240" w:lineRule="auto"/>
                    <w:ind w:left="0"/>
                    <w:rPr>
                      <w:szCs w:val="21"/>
                    </w:rPr>
                  </w:pPr>
                  <w:r>
                    <w:rPr>
                      <w:szCs w:val="21"/>
                    </w:rPr>
                    <w:t>11</w:t>
                  </w:r>
                </w:p>
              </w:tc>
              <w:tc>
                <w:tcPr>
                  <w:tcW w:w="803" w:type="pct"/>
                  <w:shd w:val="clear" w:color="auto" w:fill="auto"/>
                  <w:vAlign w:val="center"/>
                </w:tcPr>
                <w:p w14:paraId="4BFA31E2">
                  <w:pPr>
                    <w:pStyle w:val="31"/>
                    <w:spacing w:line="240" w:lineRule="auto"/>
                    <w:ind w:left="0"/>
                    <w:rPr>
                      <w:szCs w:val="21"/>
                    </w:rPr>
                  </w:pPr>
                  <w:r>
                    <w:rPr>
                      <w:szCs w:val="21"/>
                    </w:rPr>
                    <w:t>油</w:t>
                  </w:r>
                </w:p>
              </w:tc>
              <w:tc>
                <w:tcPr>
                  <w:tcW w:w="620" w:type="pct"/>
                  <w:shd w:val="clear" w:color="auto" w:fill="auto"/>
                  <w:vAlign w:val="center"/>
                </w:tcPr>
                <w:p w14:paraId="585886E3">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573B9FDC">
                  <w:pPr>
                    <w:pStyle w:val="31"/>
                    <w:spacing w:line="240" w:lineRule="auto"/>
                    <w:ind w:left="0"/>
                    <w:rPr>
                      <w:szCs w:val="21"/>
                    </w:rPr>
                  </w:pPr>
                  <w:r>
                    <w:rPr>
                      <w:szCs w:val="21"/>
                    </w:rPr>
                    <w:t>72</w:t>
                  </w:r>
                </w:p>
              </w:tc>
              <w:tc>
                <w:tcPr>
                  <w:tcW w:w="658" w:type="pct"/>
                  <w:shd w:val="clear" w:color="auto" w:fill="auto"/>
                  <w:vAlign w:val="center"/>
                </w:tcPr>
                <w:p w14:paraId="25709C41">
                  <w:pPr>
                    <w:pStyle w:val="31"/>
                    <w:spacing w:line="240" w:lineRule="auto"/>
                    <w:ind w:left="0"/>
                    <w:rPr>
                      <w:color w:val="0000FF"/>
                      <w:szCs w:val="21"/>
                    </w:rPr>
                  </w:pPr>
                  <w:r>
                    <w:rPr>
                      <w:color w:val="0000FF"/>
                      <w:szCs w:val="21"/>
                    </w:rPr>
                    <w:t>0.95</w:t>
                  </w:r>
                </w:p>
              </w:tc>
              <w:tc>
                <w:tcPr>
                  <w:tcW w:w="871" w:type="pct"/>
                  <w:shd w:val="clear" w:color="auto" w:fill="auto"/>
                  <w:vAlign w:val="center"/>
                </w:tcPr>
                <w:p w14:paraId="6C274194">
                  <w:pPr>
                    <w:widowControl/>
                    <w:spacing w:line="240" w:lineRule="auto"/>
                    <w:ind w:firstLine="0" w:firstLineChars="0"/>
                    <w:jc w:val="center"/>
                    <w:textAlignment w:val="center"/>
                    <w:rPr>
                      <w:color w:val="0000FF"/>
                      <w:sz w:val="21"/>
                      <w:szCs w:val="21"/>
                    </w:rPr>
                  </w:pPr>
                  <w:r>
                    <w:rPr>
                      <w:color w:val="0000FF"/>
                      <w:sz w:val="21"/>
                      <w:szCs w:val="21"/>
                      <w:lang w:bidi="ar"/>
                    </w:rPr>
                    <w:t>19L/桶</w:t>
                  </w:r>
                </w:p>
              </w:tc>
              <w:tc>
                <w:tcPr>
                  <w:tcW w:w="1110" w:type="pct"/>
                  <w:shd w:val="clear" w:color="auto" w:fill="auto"/>
                  <w:vAlign w:val="center"/>
                </w:tcPr>
                <w:p w14:paraId="390BAE0C">
                  <w:pPr>
                    <w:pStyle w:val="31"/>
                    <w:spacing w:line="240" w:lineRule="auto"/>
                    <w:ind w:left="0"/>
                    <w:rPr>
                      <w:szCs w:val="21"/>
                    </w:rPr>
                  </w:pPr>
                  <w:r>
                    <w:rPr>
                      <w:szCs w:val="21"/>
                    </w:rPr>
                    <w:t>配料间</w:t>
                  </w:r>
                </w:p>
              </w:tc>
            </w:tr>
            <w:tr w14:paraId="3AFE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55CF37AB">
                  <w:pPr>
                    <w:pStyle w:val="31"/>
                    <w:spacing w:line="240" w:lineRule="auto"/>
                    <w:ind w:left="0"/>
                    <w:rPr>
                      <w:szCs w:val="21"/>
                    </w:rPr>
                  </w:pPr>
                  <w:r>
                    <w:rPr>
                      <w:szCs w:val="21"/>
                    </w:rPr>
                    <w:t>12</w:t>
                  </w:r>
                </w:p>
              </w:tc>
              <w:tc>
                <w:tcPr>
                  <w:tcW w:w="803" w:type="pct"/>
                  <w:shd w:val="clear" w:color="auto" w:fill="auto"/>
                  <w:vAlign w:val="center"/>
                </w:tcPr>
                <w:p w14:paraId="09976E12">
                  <w:pPr>
                    <w:pStyle w:val="31"/>
                    <w:spacing w:line="240" w:lineRule="auto"/>
                    <w:ind w:left="0"/>
                    <w:rPr>
                      <w:szCs w:val="21"/>
                    </w:rPr>
                  </w:pPr>
                  <w:r>
                    <w:rPr>
                      <w:szCs w:val="21"/>
                    </w:rPr>
                    <w:t>包装材料</w:t>
                  </w:r>
                </w:p>
              </w:tc>
              <w:tc>
                <w:tcPr>
                  <w:tcW w:w="620" w:type="pct"/>
                  <w:shd w:val="clear" w:color="auto" w:fill="auto"/>
                  <w:vAlign w:val="center"/>
                </w:tcPr>
                <w:p w14:paraId="11665EF1">
                  <w:pPr>
                    <w:pStyle w:val="31"/>
                    <w:spacing w:line="240" w:lineRule="auto"/>
                    <w:ind w:left="0"/>
                    <w:rPr>
                      <w:szCs w:val="21"/>
                    </w:rPr>
                  </w:pPr>
                  <w:r>
                    <w:rPr>
                      <w:szCs w:val="21"/>
                    </w:rPr>
                    <w:t>个/a</w:t>
                  </w:r>
                </w:p>
              </w:tc>
              <w:tc>
                <w:tcPr>
                  <w:tcW w:w="541" w:type="pct"/>
                  <w:shd w:val="clear" w:color="auto" w:fill="auto"/>
                  <w:vAlign w:val="center"/>
                </w:tcPr>
                <w:p w14:paraId="1F54F215">
                  <w:pPr>
                    <w:pStyle w:val="31"/>
                    <w:spacing w:line="240" w:lineRule="auto"/>
                    <w:ind w:left="0"/>
                    <w:rPr>
                      <w:szCs w:val="21"/>
                    </w:rPr>
                  </w:pPr>
                  <w:r>
                    <w:rPr>
                      <w:szCs w:val="21"/>
                    </w:rPr>
                    <w:t>90000</w:t>
                  </w:r>
                </w:p>
              </w:tc>
              <w:tc>
                <w:tcPr>
                  <w:tcW w:w="658" w:type="pct"/>
                  <w:shd w:val="clear" w:color="auto" w:fill="auto"/>
                  <w:vAlign w:val="center"/>
                </w:tcPr>
                <w:p w14:paraId="18D7E1C1">
                  <w:pPr>
                    <w:pStyle w:val="31"/>
                    <w:spacing w:line="240" w:lineRule="auto"/>
                    <w:ind w:left="0"/>
                    <w:rPr>
                      <w:color w:val="0000FF"/>
                      <w:szCs w:val="21"/>
                    </w:rPr>
                  </w:pPr>
                  <w:r>
                    <w:rPr>
                      <w:color w:val="0000FF"/>
                      <w:szCs w:val="21"/>
                    </w:rPr>
                    <w:t>50000</w:t>
                  </w:r>
                </w:p>
              </w:tc>
              <w:tc>
                <w:tcPr>
                  <w:tcW w:w="871" w:type="pct"/>
                  <w:shd w:val="clear" w:color="auto" w:fill="auto"/>
                  <w:vAlign w:val="center"/>
                </w:tcPr>
                <w:p w14:paraId="2CFC5F96">
                  <w:pPr>
                    <w:pStyle w:val="31"/>
                    <w:spacing w:line="240" w:lineRule="auto"/>
                    <w:ind w:left="0"/>
                    <w:rPr>
                      <w:color w:val="0000FF"/>
                      <w:szCs w:val="21"/>
                    </w:rPr>
                  </w:pPr>
                  <w:r>
                    <w:rPr>
                      <w:color w:val="0000FF"/>
                      <w:szCs w:val="21"/>
                    </w:rPr>
                    <w:t>200个/捆</w:t>
                  </w:r>
                </w:p>
              </w:tc>
              <w:tc>
                <w:tcPr>
                  <w:tcW w:w="1110" w:type="pct"/>
                  <w:shd w:val="clear" w:color="auto" w:fill="auto"/>
                  <w:vAlign w:val="center"/>
                </w:tcPr>
                <w:p w14:paraId="68EBD95A">
                  <w:pPr>
                    <w:pStyle w:val="31"/>
                    <w:spacing w:line="240" w:lineRule="auto"/>
                    <w:ind w:left="0"/>
                    <w:rPr>
                      <w:szCs w:val="21"/>
                    </w:rPr>
                  </w:pPr>
                  <w:r>
                    <w:rPr>
                      <w:szCs w:val="21"/>
                    </w:rPr>
                    <w:t>包材间</w:t>
                  </w:r>
                </w:p>
              </w:tc>
            </w:tr>
            <w:tr w14:paraId="731E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vAlign w:val="center"/>
                </w:tcPr>
                <w:p w14:paraId="47D28AA9">
                  <w:pPr>
                    <w:pStyle w:val="29"/>
                  </w:pPr>
                  <w:r>
                    <w:t>烧麦生产线</w:t>
                  </w:r>
                </w:p>
              </w:tc>
            </w:tr>
            <w:tr w14:paraId="0E1F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6C99050E">
                  <w:pPr>
                    <w:pStyle w:val="31"/>
                    <w:spacing w:line="240" w:lineRule="auto"/>
                    <w:ind w:left="0"/>
                    <w:rPr>
                      <w:kern w:val="2"/>
                      <w:szCs w:val="21"/>
                    </w:rPr>
                  </w:pPr>
                  <w:r>
                    <w:rPr>
                      <w:szCs w:val="21"/>
                      <w:lang w:val="en-GB"/>
                    </w:rPr>
                    <w:t>1</w:t>
                  </w:r>
                </w:p>
              </w:tc>
              <w:tc>
                <w:tcPr>
                  <w:tcW w:w="803" w:type="pct"/>
                  <w:shd w:val="clear" w:color="auto" w:fill="auto"/>
                  <w:vAlign w:val="center"/>
                </w:tcPr>
                <w:p w14:paraId="4563C952">
                  <w:pPr>
                    <w:pStyle w:val="31"/>
                    <w:spacing w:line="240" w:lineRule="auto"/>
                    <w:ind w:left="0"/>
                    <w:rPr>
                      <w:szCs w:val="21"/>
                    </w:rPr>
                  </w:pPr>
                  <w:r>
                    <w:rPr>
                      <w:szCs w:val="21"/>
                    </w:rPr>
                    <w:t>糯米</w:t>
                  </w:r>
                </w:p>
              </w:tc>
              <w:tc>
                <w:tcPr>
                  <w:tcW w:w="620" w:type="pct"/>
                  <w:shd w:val="clear" w:color="auto" w:fill="auto"/>
                  <w:vAlign w:val="center"/>
                </w:tcPr>
                <w:p w14:paraId="202F2389">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4B7302F4">
                  <w:pPr>
                    <w:pStyle w:val="31"/>
                    <w:spacing w:line="240" w:lineRule="auto"/>
                    <w:ind w:left="0"/>
                    <w:rPr>
                      <w:szCs w:val="21"/>
                    </w:rPr>
                  </w:pPr>
                  <w:r>
                    <w:rPr>
                      <w:szCs w:val="21"/>
                    </w:rPr>
                    <w:t>60</w:t>
                  </w:r>
                </w:p>
              </w:tc>
              <w:tc>
                <w:tcPr>
                  <w:tcW w:w="658" w:type="pct"/>
                  <w:shd w:val="clear" w:color="auto" w:fill="auto"/>
                  <w:vAlign w:val="center"/>
                </w:tcPr>
                <w:p w14:paraId="16452FB9">
                  <w:pPr>
                    <w:pStyle w:val="31"/>
                    <w:spacing w:line="240" w:lineRule="auto"/>
                    <w:ind w:left="0"/>
                    <w:rPr>
                      <w:color w:val="0000FF"/>
                      <w:szCs w:val="21"/>
                    </w:rPr>
                  </w:pPr>
                  <w:r>
                    <w:rPr>
                      <w:color w:val="0000FF"/>
                      <w:szCs w:val="21"/>
                    </w:rPr>
                    <w:t>2</w:t>
                  </w:r>
                </w:p>
              </w:tc>
              <w:tc>
                <w:tcPr>
                  <w:tcW w:w="871" w:type="pct"/>
                  <w:shd w:val="clear" w:color="auto" w:fill="auto"/>
                  <w:vAlign w:val="center"/>
                </w:tcPr>
                <w:p w14:paraId="774480F4">
                  <w:pPr>
                    <w:pStyle w:val="31"/>
                    <w:spacing w:line="240" w:lineRule="auto"/>
                    <w:ind w:left="0"/>
                    <w:rPr>
                      <w:color w:val="0000FF"/>
                      <w:szCs w:val="21"/>
                    </w:rPr>
                  </w:pPr>
                  <w:r>
                    <w:rPr>
                      <w:color w:val="0000FF"/>
                      <w:szCs w:val="21"/>
                    </w:rPr>
                    <w:t>25kg/袋</w:t>
                  </w:r>
                </w:p>
              </w:tc>
              <w:tc>
                <w:tcPr>
                  <w:tcW w:w="1110" w:type="pct"/>
                  <w:shd w:val="clear" w:color="auto" w:fill="auto"/>
                  <w:vAlign w:val="center"/>
                </w:tcPr>
                <w:p w14:paraId="1A140C0D">
                  <w:pPr>
                    <w:pStyle w:val="31"/>
                    <w:spacing w:line="240" w:lineRule="auto"/>
                    <w:ind w:left="0"/>
                    <w:rPr>
                      <w:szCs w:val="21"/>
                    </w:rPr>
                  </w:pPr>
                  <w:r>
                    <w:rPr>
                      <w:szCs w:val="21"/>
                    </w:rPr>
                    <w:t>仓库</w:t>
                  </w:r>
                </w:p>
              </w:tc>
            </w:tr>
            <w:tr w14:paraId="4529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5795A556">
                  <w:pPr>
                    <w:pStyle w:val="31"/>
                    <w:spacing w:line="240" w:lineRule="auto"/>
                    <w:ind w:left="0"/>
                    <w:rPr>
                      <w:kern w:val="2"/>
                      <w:szCs w:val="21"/>
                    </w:rPr>
                  </w:pPr>
                  <w:r>
                    <w:rPr>
                      <w:szCs w:val="21"/>
                      <w:lang w:val="en-GB"/>
                    </w:rPr>
                    <w:t>2</w:t>
                  </w:r>
                </w:p>
              </w:tc>
              <w:tc>
                <w:tcPr>
                  <w:tcW w:w="803" w:type="pct"/>
                  <w:shd w:val="clear" w:color="auto" w:fill="auto"/>
                  <w:vAlign w:val="center"/>
                </w:tcPr>
                <w:p w14:paraId="22F4ACBC">
                  <w:pPr>
                    <w:pStyle w:val="31"/>
                    <w:spacing w:line="240" w:lineRule="auto"/>
                    <w:ind w:left="0"/>
                    <w:rPr>
                      <w:szCs w:val="21"/>
                    </w:rPr>
                  </w:pPr>
                  <w:r>
                    <w:rPr>
                      <w:szCs w:val="21"/>
                    </w:rPr>
                    <w:t>油</w:t>
                  </w:r>
                </w:p>
              </w:tc>
              <w:tc>
                <w:tcPr>
                  <w:tcW w:w="620" w:type="pct"/>
                  <w:shd w:val="clear" w:color="auto" w:fill="auto"/>
                  <w:vAlign w:val="center"/>
                </w:tcPr>
                <w:p w14:paraId="1F936FA2">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762E4A54">
                  <w:pPr>
                    <w:pStyle w:val="31"/>
                    <w:spacing w:line="240" w:lineRule="auto"/>
                    <w:ind w:left="0"/>
                    <w:rPr>
                      <w:szCs w:val="21"/>
                    </w:rPr>
                  </w:pPr>
                  <w:r>
                    <w:rPr>
                      <w:szCs w:val="21"/>
                    </w:rPr>
                    <w:t>38</w:t>
                  </w:r>
                </w:p>
              </w:tc>
              <w:tc>
                <w:tcPr>
                  <w:tcW w:w="658" w:type="pct"/>
                  <w:shd w:val="clear" w:color="auto" w:fill="auto"/>
                  <w:vAlign w:val="center"/>
                </w:tcPr>
                <w:p w14:paraId="68E6665C">
                  <w:pPr>
                    <w:pStyle w:val="31"/>
                    <w:spacing w:line="240" w:lineRule="auto"/>
                    <w:ind w:left="0"/>
                    <w:rPr>
                      <w:color w:val="0000FF"/>
                      <w:szCs w:val="21"/>
                    </w:rPr>
                  </w:pPr>
                  <w:r>
                    <w:rPr>
                      <w:color w:val="0000FF"/>
                      <w:szCs w:val="21"/>
                    </w:rPr>
                    <w:t>0.95</w:t>
                  </w:r>
                </w:p>
              </w:tc>
              <w:tc>
                <w:tcPr>
                  <w:tcW w:w="871" w:type="pct"/>
                  <w:shd w:val="clear" w:color="auto" w:fill="auto"/>
                  <w:vAlign w:val="center"/>
                </w:tcPr>
                <w:p w14:paraId="69F1BC59">
                  <w:pPr>
                    <w:pStyle w:val="31"/>
                    <w:spacing w:line="240" w:lineRule="auto"/>
                    <w:ind w:left="0"/>
                    <w:rPr>
                      <w:color w:val="0000FF"/>
                      <w:szCs w:val="21"/>
                    </w:rPr>
                  </w:pPr>
                  <w:r>
                    <w:rPr>
                      <w:color w:val="0000FF"/>
                      <w:szCs w:val="21"/>
                    </w:rPr>
                    <w:t>19L/桶</w:t>
                  </w:r>
                </w:p>
              </w:tc>
              <w:tc>
                <w:tcPr>
                  <w:tcW w:w="1110" w:type="pct"/>
                  <w:shd w:val="clear" w:color="auto" w:fill="auto"/>
                  <w:vAlign w:val="center"/>
                </w:tcPr>
                <w:p w14:paraId="79D395DE">
                  <w:pPr>
                    <w:pStyle w:val="31"/>
                    <w:spacing w:line="240" w:lineRule="auto"/>
                    <w:ind w:left="0"/>
                    <w:rPr>
                      <w:szCs w:val="21"/>
                    </w:rPr>
                  </w:pPr>
                  <w:r>
                    <w:rPr>
                      <w:szCs w:val="21"/>
                    </w:rPr>
                    <w:t>配料间</w:t>
                  </w:r>
                </w:p>
              </w:tc>
            </w:tr>
            <w:tr w14:paraId="558E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60B967FE">
                  <w:pPr>
                    <w:pStyle w:val="31"/>
                    <w:spacing w:line="240" w:lineRule="auto"/>
                    <w:ind w:left="0"/>
                    <w:rPr>
                      <w:kern w:val="2"/>
                      <w:szCs w:val="21"/>
                    </w:rPr>
                  </w:pPr>
                  <w:r>
                    <w:rPr>
                      <w:szCs w:val="21"/>
                      <w:lang w:val="en-GB"/>
                    </w:rPr>
                    <w:t>3</w:t>
                  </w:r>
                </w:p>
              </w:tc>
              <w:tc>
                <w:tcPr>
                  <w:tcW w:w="803" w:type="pct"/>
                  <w:shd w:val="clear" w:color="auto" w:fill="auto"/>
                  <w:vAlign w:val="center"/>
                </w:tcPr>
                <w:p w14:paraId="43D75DE1">
                  <w:pPr>
                    <w:pStyle w:val="31"/>
                    <w:spacing w:line="240" w:lineRule="auto"/>
                    <w:ind w:left="0"/>
                    <w:rPr>
                      <w:kern w:val="2"/>
                      <w:szCs w:val="21"/>
                    </w:rPr>
                  </w:pPr>
                  <w:r>
                    <w:rPr>
                      <w:szCs w:val="21"/>
                    </w:rPr>
                    <w:t>葱</w:t>
                  </w:r>
                </w:p>
              </w:tc>
              <w:tc>
                <w:tcPr>
                  <w:tcW w:w="620" w:type="pct"/>
                  <w:shd w:val="clear" w:color="auto" w:fill="auto"/>
                  <w:vAlign w:val="center"/>
                </w:tcPr>
                <w:p w14:paraId="38395C14">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0B8E2EDB">
                  <w:pPr>
                    <w:pStyle w:val="31"/>
                    <w:spacing w:line="240" w:lineRule="auto"/>
                    <w:ind w:left="0"/>
                    <w:rPr>
                      <w:szCs w:val="21"/>
                    </w:rPr>
                  </w:pPr>
                  <w:r>
                    <w:rPr>
                      <w:szCs w:val="21"/>
                    </w:rPr>
                    <w:t>8</w:t>
                  </w:r>
                </w:p>
              </w:tc>
              <w:tc>
                <w:tcPr>
                  <w:tcW w:w="658" w:type="pct"/>
                  <w:shd w:val="clear" w:color="auto" w:fill="auto"/>
                  <w:vAlign w:val="center"/>
                </w:tcPr>
                <w:p w14:paraId="68A834E3">
                  <w:pPr>
                    <w:pStyle w:val="31"/>
                    <w:spacing w:line="240" w:lineRule="auto"/>
                    <w:ind w:left="0"/>
                    <w:rPr>
                      <w:color w:val="0000FF"/>
                      <w:szCs w:val="21"/>
                    </w:rPr>
                  </w:pPr>
                  <w:r>
                    <w:rPr>
                      <w:color w:val="0000FF"/>
                      <w:szCs w:val="21"/>
                    </w:rPr>
                    <w:t>0.15</w:t>
                  </w:r>
                </w:p>
              </w:tc>
              <w:tc>
                <w:tcPr>
                  <w:tcW w:w="871" w:type="pct"/>
                  <w:shd w:val="clear" w:color="auto" w:fill="auto"/>
                  <w:vAlign w:val="center"/>
                </w:tcPr>
                <w:p w14:paraId="1801E48D">
                  <w:pPr>
                    <w:widowControl/>
                    <w:spacing w:line="240" w:lineRule="auto"/>
                    <w:ind w:firstLine="0" w:firstLineChars="0"/>
                    <w:jc w:val="center"/>
                    <w:textAlignment w:val="center"/>
                    <w:rPr>
                      <w:color w:val="0000FF"/>
                      <w:sz w:val="21"/>
                      <w:szCs w:val="21"/>
                    </w:rPr>
                  </w:pPr>
                  <w:r>
                    <w:rPr>
                      <w:color w:val="0000FF"/>
                      <w:sz w:val="21"/>
                      <w:szCs w:val="21"/>
                      <w:lang w:bidi="ar"/>
                    </w:rPr>
                    <w:t>10kg/捆</w:t>
                  </w:r>
                </w:p>
              </w:tc>
              <w:tc>
                <w:tcPr>
                  <w:tcW w:w="1110" w:type="pct"/>
                  <w:shd w:val="clear" w:color="auto" w:fill="auto"/>
                  <w:vAlign w:val="center"/>
                </w:tcPr>
                <w:p w14:paraId="1BA9A0E9">
                  <w:pPr>
                    <w:pStyle w:val="31"/>
                    <w:spacing w:line="240" w:lineRule="auto"/>
                    <w:ind w:left="0"/>
                    <w:rPr>
                      <w:szCs w:val="21"/>
                    </w:rPr>
                  </w:pPr>
                  <w:r>
                    <w:rPr>
                      <w:szCs w:val="21"/>
                    </w:rPr>
                    <w:t>原料暂存间</w:t>
                  </w:r>
                </w:p>
              </w:tc>
            </w:tr>
            <w:tr w14:paraId="025E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5F8823C9">
                  <w:pPr>
                    <w:pStyle w:val="31"/>
                    <w:spacing w:line="240" w:lineRule="auto"/>
                    <w:ind w:left="0"/>
                    <w:rPr>
                      <w:kern w:val="2"/>
                      <w:szCs w:val="21"/>
                    </w:rPr>
                  </w:pPr>
                  <w:r>
                    <w:rPr>
                      <w:szCs w:val="21"/>
                      <w:lang w:val="en-GB"/>
                    </w:rPr>
                    <w:t>4</w:t>
                  </w:r>
                </w:p>
              </w:tc>
              <w:tc>
                <w:tcPr>
                  <w:tcW w:w="803" w:type="pct"/>
                  <w:shd w:val="clear" w:color="auto" w:fill="auto"/>
                  <w:vAlign w:val="center"/>
                </w:tcPr>
                <w:p w14:paraId="04D1CA03">
                  <w:pPr>
                    <w:pStyle w:val="31"/>
                    <w:spacing w:line="240" w:lineRule="auto"/>
                    <w:ind w:left="0"/>
                    <w:rPr>
                      <w:kern w:val="2"/>
                      <w:szCs w:val="21"/>
                    </w:rPr>
                  </w:pPr>
                  <w:r>
                    <w:rPr>
                      <w:szCs w:val="21"/>
                    </w:rPr>
                    <w:t>姜</w:t>
                  </w:r>
                </w:p>
              </w:tc>
              <w:tc>
                <w:tcPr>
                  <w:tcW w:w="620" w:type="pct"/>
                  <w:shd w:val="clear" w:color="auto" w:fill="auto"/>
                  <w:vAlign w:val="center"/>
                </w:tcPr>
                <w:p w14:paraId="7F3F8F75">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446F6873">
                  <w:pPr>
                    <w:pStyle w:val="31"/>
                    <w:spacing w:line="240" w:lineRule="auto"/>
                    <w:ind w:left="0"/>
                    <w:rPr>
                      <w:szCs w:val="21"/>
                    </w:rPr>
                  </w:pPr>
                  <w:r>
                    <w:rPr>
                      <w:szCs w:val="21"/>
                    </w:rPr>
                    <w:t>1</w:t>
                  </w:r>
                </w:p>
              </w:tc>
              <w:tc>
                <w:tcPr>
                  <w:tcW w:w="658" w:type="pct"/>
                  <w:shd w:val="clear" w:color="auto" w:fill="auto"/>
                  <w:vAlign w:val="center"/>
                </w:tcPr>
                <w:p w14:paraId="0106E1D1">
                  <w:pPr>
                    <w:pStyle w:val="31"/>
                    <w:spacing w:line="240" w:lineRule="auto"/>
                    <w:ind w:left="0"/>
                    <w:rPr>
                      <w:color w:val="0000FF"/>
                      <w:szCs w:val="21"/>
                    </w:rPr>
                  </w:pPr>
                  <w:r>
                    <w:rPr>
                      <w:color w:val="0000FF"/>
                      <w:szCs w:val="21"/>
                    </w:rPr>
                    <w:t>0.05</w:t>
                  </w:r>
                </w:p>
              </w:tc>
              <w:tc>
                <w:tcPr>
                  <w:tcW w:w="871" w:type="pct"/>
                  <w:shd w:val="clear" w:color="auto" w:fill="auto"/>
                  <w:vAlign w:val="center"/>
                </w:tcPr>
                <w:p w14:paraId="0011C0D5">
                  <w:pPr>
                    <w:widowControl/>
                    <w:spacing w:line="240" w:lineRule="auto"/>
                    <w:ind w:firstLine="0" w:firstLineChars="0"/>
                    <w:jc w:val="center"/>
                    <w:textAlignment w:val="center"/>
                    <w:rPr>
                      <w:color w:val="0000FF"/>
                      <w:sz w:val="21"/>
                      <w:szCs w:val="21"/>
                    </w:rPr>
                  </w:pPr>
                  <w:r>
                    <w:rPr>
                      <w:color w:val="0000FF"/>
                      <w:sz w:val="21"/>
                      <w:szCs w:val="21"/>
                      <w:lang w:bidi="ar"/>
                    </w:rPr>
                    <w:t>10kg/包</w:t>
                  </w:r>
                </w:p>
              </w:tc>
              <w:tc>
                <w:tcPr>
                  <w:tcW w:w="1110" w:type="pct"/>
                  <w:shd w:val="clear" w:color="auto" w:fill="auto"/>
                  <w:vAlign w:val="center"/>
                </w:tcPr>
                <w:p w14:paraId="441F5DCF">
                  <w:pPr>
                    <w:pStyle w:val="31"/>
                    <w:spacing w:line="240" w:lineRule="auto"/>
                    <w:ind w:left="0"/>
                    <w:rPr>
                      <w:szCs w:val="21"/>
                    </w:rPr>
                  </w:pPr>
                  <w:r>
                    <w:rPr>
                      <w:szCs w:val="21"/>
                    </w:rPr>
                    <w:t>原料暂存间</w:t>
                  </w:r>
                </w:p>
              </w:tc>
            </w:tr>
            <w:tr w14:paraId="5C7F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01C212A4">
                  <w:pPr>
                    <w:pStyle w:val="31"/>
                    <w:spacing w:line="240" w:lineRule="auto"/>
                    <w:ind w:left="0"/>
                    <w:rPr>
                      <w:kern w:val="2"/>
                      <w:szCs w:val="21"/>
                    </w:rPr>
                  </w:pPr>
                  <w:r>
                    <w:rPr>
                      <w:kern w:val="2"/>
                      <w:szCs w:val="21"/>
                    </w:rPr>
                    <w:t>5</w:t>
                  </w:r>
                </w:p>
              </w:tc>
              <w:tc>
                <w:tcPr>
                  <w:tcW w:w="803" w:type="pct"/>
                  <w:shd w:val="clear" w:color="auto" w:fill="auto"/>
                  <w:vAlign w:val="center"/>
                </w:tcPr>
                <w:p w14:paraId="0D51BD47">
                  <w:pPr>
                    <w:pStyle w:val="31"/>
                    <w:spacing w:line="240" w:lineRule="auto"/>
                    <w:ind w:left="0"/>
                    <w:rPr>
                      <w:kern w:val="2"/>
                      <w:szCs w:val="21"/>
                    </w:rPr>
                  </w:pPr>
                  <w:r>
                    <w:rPr>
                      <w:szCs w:val="21"/>
                    </w:rPr>
                    <w:t>盐</w:t>
                  </w:r>
                </w:p>
              </w:tc>
              <w:tc>
                <w:tcPr>
                  <w:tcW w:w="620" w:type="pct"/>
                  <w:shd w:val="clear" w:color="auto" w:fill="auto"/>
                  <w:vAlign w:val="center"/>
                </w:tcPr>
                <w:p w14:paraId="13D710E7">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3CB01E0B">
                  <w:pPr>
                    <w:pStyle w:val="31"/>
                    <w:spacing w:line="240" w:lineRule="auto"/>
                    <w:ind w:left="0"/>
                    <w:rPr>
                      <w:szCs w:val="21"/>
                    </w:rPr>
                  </w:pPr>
                  <w:r>
                    <w:rPr>
                      <w:szCs w:val="21"/>
                    </w:rPr>
                    <w:t>4</w:t>
                  </w:r>
                </w:p>
              </w:tc>
              <w:tc>
                <w:tcPr>
                  <w:tcW w:w="658" w:type="pct"/>
                  <w:shd w:val="clear" w:color="auto" w:fill="auto"/>
                  <w:vAlign w:val="center"/>
                </w:tcPr>
                <w:p w14:paraId="4B7D4F26">
                  <w:pPr>
                    <w:pStyle w:val="31"/>
                    <w:spacing w:line="240" w:lineRule="auto"/>
                    <w:ind w:left="0"/>
                    <w:rPr>
                      <w:color w:val="0000FF"/>
                      <w:szCs w:val="21"/>
                    </w:rPr>
                  </w:pPr>
                  <w:r>
                    <w:rPr>
                      <w:color w:val="0000FF"/>
                      <w:szCs w:val="21"/>
                    </w:rPr>
                    <w:t>0.4</w:t>
                  </w:r>
                </w:p>
              </w:tc>
              <w:tc>
                <w:tcPr>
                  <w:tcW w:w="871" w:type="pct"/>
                  <w:shd w:val="clear" w:color="auto" w:fill="auto"/>
                  <w:vAlign w:val="center"/>
                </w:tcPr>
                <w:p w14:paraId="2152538D">
                  <w:pPr>
                    <w:widowControl/>
                    <w:spacing w:line="240" w:lineRule="auto"/>
                    <w:ind w:firstLine="0" w:firstLineChars="0"/>
                    <w:jc w:val="center"/>
                    <w:textAlignment w:val="center"/>
                    <w:rPr>
                      <w:color w:val="0000FF"/>
                      <w:sz w:val="21"/>
                      <w:szCs w:val="21"/>
                    </w:rPr>
                  </w:pPr>
                  <w:r>
                    <w:rPr>
                      <w:color w:val="0000FF"/>
                      <w:sz w:val="21"/>
                      <w:szCs w:val="21"/>
                      <w:lang w:bidi="ar"/>
                    </w:rPr>
                    <w:t>500g/包</w:t>
                  </w:r>
                </w:p>
              </w:tc>
              <w:tc>
                <w:tcPr>
                  <w:tcW w:w="1110" w:type="pct"/>
                  <w:shd w:val="clear" w:color="auto" w:fill="auto"/>
                  <w:vAlign w:val="center"/>
                </w:tcPr>
                <w:p w14:paraId="6E5C0D87">
                  <w:pPr>
                    <w:pStyle w:val="31"/>
                    <w:spacing w:line="240" w:lineRule="auto"/>
                    <w:ind w:left="0"/>
                    <w:rPr>
                      <w:szCs w:val="21"/>
                    </w:rPr>
                  </w:pPr>
                  <w:r>
                    <w:rPr>
                      <w:szCs w:val="21"/>
                    </w:rPr>
                    <w:t>配料间</w:t>
                  </w:r>
                </w:p>
              </w:tc>
            </w:tr>
            <w:tr w14:paraId="650A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33E3C565">
                  <w:pPr>
                    <w:pStyle w:val="31"/>
                    <w:spacing w:line="240" w:lineRule="auto"/>
                    <w:ind w:left="0"/>
                    <w:rPr>
                      <w:kern w:val="2"/>
                      <w:szCs w:val="21"/>
                    </w:rPr>
                  </w:pPr>
                  <w:r>
                    <w:rPr>
                      <w:kern w:val="2"/>
                      <w:szCs w:val="21"/>
                    </w:rPr>
                    <w:t>6</w:t>
                  </w:r>
                </w:p>
              </w:tc>
              <w:tc>
                <w:tcPr>
                  <w:tcW w:w="803" w:type="pct"/>
                  <w:shd w:val="clear" w:color="auto" w:fill="auto"/>
                  <w:vAlign w:val="center"/>
                </w:tcPr>
                <w:p w14:paraId="44188E5B">
                  <w:pPr>
                    <w:pStyle w:val="31"/>
                    <w:spacing w:line="240" w:lineRule="auto"/>
                    <w:ind w:left="0"/>
                    <w:rPr>
                      <w:kern w:val="2"/>
                      <w:szCs w:val="21"/>
                    </w:rPr>
                  </w:pPr>
                  <w:r>
                    <w:rPr>
                      <w:szCs w:val="21"/>
                    </w:rPr>
                    <w:t>味精</w:t>
                  </w:r>
                </w:p>
              </w:tc>
              <w:tc>
                <w:tcPr>
                  <w:tcW w:w="620" w:type="pct"/>
                  <w:shd w:val="clear" w:color="auto" w:fill="auto"/>
                  <w:vAlign w:val="center"/>
                </w:tcPr>
                <w:p w14:paraId="7D1A0AA7">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6B17A173">
                  <w:pPr>
                    <w:pStyle w:val="31"/>
                    <w:spacing w:line="240" w:lineRule="auto"/>
                    <w:ind w:left="0"/>
                    <w:rPr>
                      <w:szCs w:val="21"/>
                    </w:rPr>
                  </w:pPr>
                  <w:r>
                    <w:rPr>
                      <w:szCs w:val="21"/>
                    </w:rPr>
                    <w:t>3</w:t>
                  </w:r>
                </w:p>
              </w:tc>
              <w:tc>
                <w:tcPr>
                  <w:tcW w:w="658" w:type="pct"/>
                  <w:shd w:val="clear" w:color="auto" w:fill="auto"/>
                  <w:vAlign w:val="center"/>
                </w:tcPr>
                <w:p w14:paraId="0499B17E">
                  <w:pPr>
                    <w:pStyle w:val="31"/>
                    <w:spacing w:line="240" w:lineRule="auto"/>
                    <w:ind w:left="0"/>
                    <w:rPr>
                      <w:color w:val="0000FF"/>
                      <w:szCs w:val="21"/>
                    </w:rPr>
                  </w:pPr>
                  <w:r>
                    <w:rPr>
                      <w:color w:val="0000FF"/>
                      <w:szCs w:val="21"/>
                    </w:rPr>
                    <w:t>2</w:t>
                  </w:r>
                </w:p>
              </w:tc>
              <w:tc>
                <w:tcPr>
                  <w:tcW w:w="871" w:type="pct"/>
                  <w:shd w:val="clear" w:color="auto" w:fill="auto"/>
                  <w:vAlign w:val="center"/>
                </w:tcPr>
                <w:p w14:paraId="173AD3DE">
                  <w:pPr>
                    <w:widowControl/>
                    <w:spacing w:line="240" w:lineRule="auto"/>
                    <w:ind w:firstLine="0" w:firstLineChars="0"/>
                    <w:jc w:val="center"/>
                    <w:textAlignment w:val="center"/>
                    <w:rPr>
                      <w:color w:val="0000FF"/>
                      <w:sz w:val="21"/>
                      <w:szCs w:val="21"/>
                    </w:rPr>
                  </w:pPr>
                  <w:r>
                    <w:rPr>
                      <w:color w:val="0000FF"/>
                      <w:sz w:val="21"/>
                      <w:szCs w:val="21"/>
                      <w:lang w:bidi="ar"/>
                    </w:rPr>
                    <w:t>25kg/袋</w:t>
                  </w:r>
                </w:p>
              </w:tc>
              <w:tc>
                <w:tcPr>
                  <w:tcW w:w="1110" w:type="pct"/>
                  <w:shd w:val="clear" w:color="auto" w:fill="auto"/>
                  <w:vAlign w:val="center"/>
                </w:tcPr>
                <w:p w14:paraId="46DE9BC1">
                  <w:pPr>
                    <w:pStyle w:val="31"/>
                    <w:spacing w:line="240" w:lineRule="auto"/>
                    <w:ind w:left="0"/>
                    <w:rPr>
                      <w:szCs w:val="21"/>
                    </w:rPr>
                  </w:pPr>
                  <w:r>
                    <w:rPr>
                      <w:szCs w:val="21"/>
                    </w:rPr>
                    <w:t>配料间</w:t>
                  </w:r>
                </w:p>
              </w:tc>
            </w:tr>
            <w:tr w14:paraId="780A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4C997FEB">
                  <w:pPr>
                    <w:pStyle w:val="31"/>
                    <w:spacing w:line="240" w:lineRule="auto"/>
                    <w:ind w:left="0"/>
                    <w:rPr>
                      <w:kern w:val="2"/>
                      <w:szCs w:val="21"/>
                    </w:rPr>
                  </w:pPr>
                  <w:r>
                    <w:rPr>
                      <w:kern w:val="2"/>
                      <w:szCs w:val="21"/>
                    </w:rPr>
                    <w:t>7</w:t>
                  </w:r>
                </w:p>
              </w:tc>
              <w:tc>
                <w:tcPr>
                  <w:tcW w:w="803" w:type="pct"/>
                  <w:shd w:val="clear" w:color="auto" w:fill="auto"/>
                  <w:vAlign w:val="center"/>
                </w:tcPr>
                <w:p w14:paraId="37CD3E1A">
                  <w:pPr>
                    <w:pStyle w:val="31"/>
                    <w:spacing w:line="240" w:lineRule="auto"/>
                    <w:ind w:left="0"/>
                    <w:rPr>
                      <w:kern w:val="2"/>
                      <w:szCs w:val="21"/>
                    </w:rPr>
                  </w:pPr>
                  <w:r>
                    <w:rPr>
                      <w:szCs w:val="21"/>
                    </w:rPr>
                    <w:t>酱油</w:t>
                  </w:r>
                </w:p>
              </w:tc>
              <w:tc>
                <w:tcPr>
                  <w:tcW w:w="620" w:type="pct"/>
                  <w:shd w:val="clear" w:color="auto" w:fill="auto"/>
                  <w:vAlign w:val="center"/>
                </w:tcPr>
                <w:p w14:paraId="57D43C38">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041702D8">
                  <w:pPr>
                    <w:pStyle w:val="31"/>
                    <w:spacing w:line="240" w:lineRule="auto"/>
                    <w:ind w:left="0"/>
                    <w:rPr>
                      <w:szCs w:val="21"/>
                    </w:rPr>
                  </w:pPr>
                  <w:r>
                    <w:rPr>
                      <w:szCs w:val="21"/>
                    </w:rPr>
                    <w:t>4</w:t>
                  </w:r>
                </w:p>
              </w:tc>
              <w:tc>
                <w:tcPr>
                  <w:tcW w:w="658" w:type="pct"/>
                  <w:shd w:val="clear" w:color="auto" w:fill="auto"/>
                  <w:vAlign w:val="center"/>
                </w:tcPr>
                <w:p w14:paraId="01D4CB6D">
                  <w:pPr>
                    <w:pStyle w:val="31"/>
                    <w:spacing w:line="240" w:lineRule="auto"/>
                    <w:ind w:left="0"/>
                    <w:rPr>
                      <w:color w:val="0000FF"/>
                      <w:szCs w:val="21"/>
                    </w:rPr>
                  </w:pPr>
                  <w:r>
                    <w:rPr>
                      <w:color w:val="0000FF"/>
                      <w:szCs w:val="21"/>
                    </w:rPr>
                    <w:t>0.65</w:t>
                  </w:r>
                </w:p>
              </w:tc>
              <w:tc>
                <w:tcPr>
                  <w:tcW w:w="871" w:type="pct"/>
                  <w:shd w:val="clear" w:color="auto" w:fill="auto"/>
                  <w:vAlign w:val="center"/>
                </w:tcPr>
                <w:p w14:paraId="5B8CB57D">
                  <w:pPr>
                    <w:widowControl/>
                    <w:spacing w:line="240" w:lineRule="auto"/>
                    <w:ind w:firstLine="0" w:firstLineChars="0"/>
                    <w:jc w:val="center"/>
                    <w:textAlignment w:val="center"/>
                    <w:rPr>
                      <w:color w:val="0000FF"/>
                      <w:sz w:val="21"/>
                      <w:szCs w:val="21"/>
                    </w:rPr>
                  </w:pPr>
                  <w:r>
                    <w:rPr>
                      <w:color w:val="0000FF"/>
                      <w:sz w:val="21"/>
                      <w:szCs w:val="21"/>
                      <w:lang w:bidi="ar"/>
                    </w:rPr>
                    <w:t>6L/瓶</w:t>
                  </w:r>
                </w:p>
              </w:tc>
              <w:tc>
                <w:tcPr>
                  <w:tcW w:w="1110" w:type="pct"/>
                  <w:shd w:val="clear" w:color="auto" w:fill="auto"/>
                  <w:vAlign w:val="center"/>
                </w:tcPr>
                <w:p w14:paraId="401B72A6">
                  <w:pPr>
                    <w:pStyle w:val="31"/>
                    <w:spacing w:line="240" w:lineRule="auto"/>
                    <w:ind w:left="0"/>
                    <w:rPr>
                      <w:szCs w:val="21"/>
                    </w:rPr>
                  </w:pPr>
                  <w:r>
                    <w:rPr>
                      <w:szCs w:val="21"/>
                    </w:rPr>
                    <w:t>配料间</w:t>
                  </w:r>
                </w:p>
              </w:tc>
            </w:tr>
            <w:tr w14:paraId="2451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3969C1FC">
                  <w:pPr>
                    <w:pStyle w:val="31"/>
                    <w:spacing w:line="240" w:lineRule="auto"/>
                    <w:ind w:left="0"/>
                    <w:rPr>
                      <w:kern w:val="2"/>
                      <w:szCs w:val="21"/>
                    </w:rPr>
                  </w:pPr>
                  <w:r>
                    <w:rPr>
                      <w:kern w:val="2"/>
                      <w:szCs w:val="21"/>
                    </w:rPr>
                    <w:t>8</w:t>
                  </w:r>
                </w:p>
              </w:tc>
              <w:tc>
                <w:tcPr>
                  <w:tcW w:w="803" w:type="pct"/>
                  <w:shd w:val="clear" w:color="auto" w:fill="auto"/>
                  <w:vAlign w:val="center"/>
                </w:tcPr>
                <w:p w14:paraId="2943A435">
                  <w:pPr>
                    <w:pStyle w:val="31"/>
                    <w:spacing w:line="240" w:lineRule="auto"/>
                    <w:ind w:left="0"/>
                    <w:rPr>
                      <w:szCs w:val="21"/>
                    </w:rPr>
                  </w:pPr>
                  <w:r>
                    <w:rPr>
                      <w:szCs w:val="21"/>
                    </w:rPr>
                    <w:t>肉</w:t>
                  </w:r>
                </w:p>
              </w:tc>
              <w:tc>
                <w:tcPr>
                  <w:tcW w:w="620" w:type="pct"/>
                  <w:shd w:val="clear" w:color="auto" w:fill="auto"/>
                  <w:vAlign w:val="center"/>
                </w:tcPr>
                <w:p w14:paraId="22FF5FEB">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3A0F8BF8">
                  <w:pPr>
                    <w:pStyle w:val="31"/>
                    <w:spacing w:line="240" w:lineRule="auto"/>
                    <w:ind w:left="0"/>
                    <w:rPr>
                      <w:szCs w:val="21"/>
                    </w:rPr>
                  </w:pPr>
                  <w:r>
                    <w:rPr>
                      <w:szCs w:val="21"/>
                    </w:rPr>
                    <w:t>3</w:t>
                  </w:r>
                </w:p>
              </w:tc>
              <w:tc>
                <w:tcPr>
                  <w:tcW w:w="658" w:type="pct"/>
                  <w:shd w:val="clear" w:color="auto" w:fill="auto"/>
                  <w:vAlign w:val="center"/>
                </w:tcPr>
                <w:p w14:paraId="01797B85">
                  <w:pPr>
                    <w:pStyle w:val="31"/>
                    <w:spacing w:line="240" w:lineRule="auto"/>
                    <w:ind w:left="0"/>
                    <w:rPr>
                      <w:color w:val="0000FF"/>
                      <w:szCs w:val="21"/>
                    </w:rPr>
                  </w:pPr>
                  <w:r>
                    <w:rPr>
                      <w:color w:val="0000FF"/>
                      <w:szCs w:val="21"/>
                    </w:rPr>
                    <w:t>2</w:t>
                  </w:r>
                </w:p>
              </w:tc>
              <w:tc>
                <w:tcPr>
                  <w:tcW w:w="871" w:type="pct"/>
                  <w:shd w:val="clear" w:color="auto" w:fill="auto"/>
                  <w:vAlign w:val="center"/>
                </w:tcPr>
                <w:p w14:paraId="2C84494D">
                  <w:pPr>
                    <w:widowControl/>
                    <w:spacing w:line="240" w:lineRule="auto"/>
                    <w:ind w:firstLine="0" w:firstLineChars="0"/>
                    <w:jc w:val="center"/>
                    <w:textAlignment w:val="center"/>
                    <w:rPr>
                      <w:color w:val="0000FF"/>
                      <w:sz w:val="21"/>
                      <w:szCs w:val="21"/>
                    </w:rPr>
                  </w:pPr>
                  <w:r>
                    <w:rPr>
                      <w:color w:val="0000FF"/>
                      <w:sz w:val="21"/>
                      <w:szCs w:val="21"/>
                      <w:lang w:bidi="ar"/>
                    </w:rPr>
                    <w:t>25kg/袋</w:t>
                  </w:r>
                </w:p>
              </w:tc>
              <w:tc>
                <w:tcPr>
                  <w:tcW w:w="1110" w:type="pct"/>
                  <w:shd w:val="clear" w:color="auto" w:fill="auto"/>
                  <w:vAlign w:val="center"/>
                </w:tcPr>
                <w:p w14:paraId="69FCDA59">
                  <w:pPr>
                    <w:pStyle w:val="31"/>
                    <w:spacing w:line="240" w:lineRule="auto"/>
                    <w:ind w:left="0"/>
                    <w:rPr>
                      <w:szCs w:val="21"/>
                    </w:rPr>
                  </w:pPr>
                  <w:r>
                    <w:rPr>
                      <w:szCs w:val="21"/>
                    </w:rPr>
                    <w:t>冷冻库</w:t>
                  </w:r>
                </w:p>
              </w:tc>
            </w:tr>
            <w:tr w14:paraId="7E4D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671C4F79">
                  <w:pPr>
                    <w:pStyle w:val="31"/>
                    <w:spacing w:line="240" w:lineRule="auto"/>
                    <w:ind w:left="0"/>
                    <w:rPr>
                      <w:kern w:val="2"/>
                      <w:szCs w:val="21"/>
                    </w:rPr>
                  </w:pPr>
                  <w:r>
                    <w:rPr>
                      <w:kern w:val="2"/>
                      <w:szCs w:val="21"/>
                    </w:rPr>
                    <w:t>9</w:t>
                  </w:r>
                </w:p>
              </w:tc>
              <w:tc>
                <w:tcPr>
                  <w:tcW w:w="803" w:type="pct"/>
                  <w:shd w:val="clear" w:color="auto" w:fill="auto"/>
                  <w:vAlign w:val="center"/>
                </w:tcPr>
                <w:p w14:paraId="4421BEAE">
                  <w:pPr>
                    <w:pStyle w:val="31"/>
                    <w:spacing w:line="240" w:lineRule="auto"/>
                    <w:ind w:left="0"/>
                    <w:rPr>
                      <w:szCs w:val="21"/>
                    </w:rPr>
                  </w:pPr>
                  <w:r>
                    <w:rPr>
                      <w:rFonts w:hint="eastAsia"/>
                      <w:color w:val="0000FF"/>
                      <w:szCs w:val="21"/>
                    </w:rPr>
                    <w:t>烧麦</w:t>
                  </w:r>
                  <w:r>
                    <w:rPr>
                      <w:color w:val="0000FF"/>
                      <w:szCs w:val="21"/>
                    </w:rPr>
                    <w:t>皮（饺子皮）</w:t>
                  </w:r>
                </w:p>
              </w:tc>
              <w:tc>
                <w:tcPr>
                  <w:tcW w:w="620" w:type="pct"/>
                  <w:shd w:val="clear" w:color="auto" w:fill="auto"/>
                  <w:vAlign w:val="center"/>
                </w:tcPr>
                <w:p w14:paraId="5D9CFE5D">
                  <w:pPr>
                    <w:spacing w:line="240" w:lineRule="auto"/>
                    <w:ind w:firstLine="0" w:firstLineChars="0"/>
                    <w:jc w:val="center"/>
                    <w:rPr>
                      <w:bCs/>
                      <w:sz w:val="21"/>
                      <w:szCs w:val="21"/>
                    </w:rPr>
                  </w:pPr>
                  <w:r>
                    <w:rPr>
                      <w:bCs/>
                      <w:sz w:val="21"/>
                      <w:szCs w:val="21"/>
                    </w:rPr>
                    <w:t>t/a</w:t>
                  </w:r>
                </w:p>
              </w:tc>
              <w:tc>
                <w:tcPr>
                  <w:tcW w:w="541" w:type="pct"/>
                  <w:shd w:val="clear" w:color="auto" w:fill="auto"/>
                  <w:vAlign w:val="center"/>
                </w:tcPr>
                <w:p w14:paraId="6AD717DD">
                  <w:pPr>
                    <w:pStyle w:val="31"/>
                    <w:spacing w:line="240" w:lineRule="auto"/>
                    <w:ind w:left="0"/>
                    <w:rPr>
                      <w:szCs w:val="21"/>
                    </w:rPr>
                  </w:pPr>
                  <w:r>
                    <w:rPr>
                      <w:szCs w:val="21"/>
                    </w:rPr>
                    <w:t>23</w:t>
                  </w:r>
                </w:p>
              </w:tc>
              <w:tc>
                <w:tcPr>
                  <w:tcW w:w="658" w:type="pct"/>
                  <w:shd w:val="clear" w:color="auto" w:fill="auto"/>
                  <w:vAlign w:val="center"/>
                </w:tcPr>
                <w:p w14:paraId="58BB7092">
                  <w:pPr>
                    <w:pStyle w:val="31"/>
                    <w:spacing w:line="240" w:lineRule="auto"/>
                    <w:ind w:left="0"/>
                    <w:rPr>
                      <w:color w:val="0000FF"/>
                      <w:szCs w:val="21"/>
                    </w:rPr>
                  </w:pPr>
                  <w:r>
                    <w:rPr>
                      <w:color w:val="0000FF"/>
                      <w:szCs w:val="21"/>
                    </w:rPr>
                    <w:t>2</w:t>
                  </w:r>
                </w:p>
              </w:tc>
              <w:tc>
                <w:tcPr>
                  <w:tcW w:w="871" w:type="pct"/>
                  <w:shd w:val="clear" w:color="auto" w:fill="auto"/>
                  <w:vAlign w:val="center"/>
                </w:tcPr>
                <w:p w14:paraId="29DA7179">
                  <w:pPr>
                    <w:widowControl/>
                    <w:spacing w:line="240" w:lineRule="auto"/>
                    <w:ind w:firstLine="0" w:firstLineChars="0"/>
                    <w:jc w:val="center"/>
                    <w:textAlignment w:val="center"/>
                    <w:rPr>
                      <w:color w:val="0000FF"/>
                      <w:sz w:val="21"/>
                      <w:szCs w:val="21"/>
                    </w:rPr>
                  </w:pPr>
                  <w:r>
                    <w:rPr>
                      <w:color w:val="0000FF"/>
                      <w:sz w:val="21"/>
                      <w:szCs w:val="21"/>
                      <w:lang w:bidi="ar"/>
                    </w:rPr>
                    <w:t>10kg/箱</w:t>
                  </w:r>
                </w:p>
              </w:tc>
              <w:tc>
                <w:tcPr>
                  <w:tcW w:w="1110" w:type="pct"/>
                  <w:shd w:val="clear" w:color="auto" w:fill="auto"/>
                  <w:vAlign w:val="center"/>
                </w:tcPr>
                <w:p w14:paraId="3C400008">
                  <w:pPr>
                    <w:pStyle w:val="31"/>
                    <w:spacing w:line="240" w:lineRule="auto"/>
                    <w:ind w:left="0"/>
                    <w:rPr>
                      <w:szCs w:val="21"/>
                    </w:rPr>
                  </w:pPr>
                  <w:r>
                    <w:rPr>
                      <w:szCs w:val="21"/>
                    </w:rPr>
                    <w:t>冷冻库</w:t>
                  </w:r>
                </w:p>
              </w:tc>
            </w:tr>
            <w:tr w14:paraId="20E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shd w:val="clear" w:color="auto" w:fill="auto"/>
                  <w:vAlign w:val="center"/>
                </w:tcPr>
                <w:p w14:paraId="109FABD7">
                  <w:pPr>
                    <w:pStyle w:val="31"/>
                    <w:spacing w:line="240" w:lineRule="auto"/>
                    <w:ind w:left="0"/>
                    <w:rPr>
                      <w:kern w:val="2"/>
                      <w:szCs w:val="21"/>
                    </w:rPr>
                  </w:pPr>
                  <w:r>
                    <w:rPr>
                      <w:kern w:val="2"/>
                      <w:szCs w:val="21"/>
                    </w:rPr>
                    <w:t>10</w:t>
                  </w:r>
                </w:p>
              </w:tc>
              <w:tc>
                <w:tcPr>
                  <w:tcW w:w="803" w:type="pct"/>
                  <w:shd w:val="clear" w:color="auto" w:fill="auto"/>
                  <w:vAlign w:val="center"/>
                </w:tcPr>
                <w:p w14:paraId="58901FDC">
                  <w:pPr>
                    <w:pStyle w:val="31"/>
                    <w:spacing w:line="240" w:lineRule="auto"/>
                    <w:ind w:left="0"/>
                    <w:rPr>
                      <w:szCs w:val="21"/>
                    </w:rPr>
                  </w:pPr>
                  <w:r>
                    <w:rPr>
                      <w:szCs w:val="21"/>
                    </w:rPr>
                    <w:t>包装材料</w:t>
                  </w:r>
                </w:p>
              </w:tc>
              <w:tc>
                <w:tcPr>
                  <w:tcW w:w="620" w:type="pct"/>
                  <w:shd w:val="clear" w:color="auto" w:fill="auto"/>
                  <w:vAlign w:val="center"/>
                </w:tcPr>
                <w:p w14:paraId="2C232313">
                  <w:pPr>
                    <w:pStyle w:val="31"/>
                    <w:spacing w:line="240" w:lineRule="auto"/>
                    <w:ind w:left="0"/>
                    <w:rPr>
                      <w:szCs w:val="21"/>
                    </w:rPr>
                  </w:pPr>
                  <w:r>
                    <w:rPr>
                      <w:szCs w:val="21"/>
                    </w:rPr>
                    <w:t>个</w:t>
                  </w:r>
                </w:p>
              </w:tc>
              <w:tc>
                <w:tcPr>
                  <w:tcW w:w="541" w:type="pct"/>
                  <w:shd w:val="clear" w:color="auto" w:fill="auto"/>
                  <w:vAlign w:val="center"/>
                </w:tcPr>
                <w:p w14:paraId="5B0555CF">
                  <w:pPr>
                    <w:pStyle w:val="31"/>
                    <w:spacing w:line="240" w:lineRule="auto"/>
                    <w:ind w:left="0"/>
                    <w:rPr>
                      <w:szCs w:val="21"/>
                    </w:rPr>
                  </w:pPr>
                  <w:r>
                    <w:rPr>
                      <w:szCs w:val="21"/>
                    </w:rPr>
                    <w:t>2400</w:t>
                  </w:r>
                </w:p>
              </w:tc>
              <w:tc>
                <w:tcPr>
                  <w:tcW w:w="658" w:type="pct"/>
                  <w:shd w:val="clear" w:color="auto" w:fill="auto"/>
                  <w:vAlign w:val="center"/>
                </w:tcPr>
                <w:p w14:paraId="76B9D218">
                  <w:pPr>
                    <w:pStyle w:val="31"/>
                    <w:spacing w:line="240" w:lineRule="auto"/>
                    <w:ind w:left="0"/>
                    <w:rPr>
                      <w:color w:val="0000FF"/>
                      <w:szCs w:val="21"/>
                    </w:rPr>
                  </w:pPr>
                  <w:r>
                    <w:rPr>
                      <w:color w:val="0000FF"/>
                      <w:szCs w:val="21"/>
                    </w:rPr>
                    <w:t>1200</w:t>
                  </w:r>
                </w:p>
              </w:tc>
              <w:tc>
                <w:tcPr>
                  <w:tcW w:w="871" w:type="pct"/>
                  <w:shd w:val="clear" w:color="auto" w:fill="auto"/>
                  <w:vAlign w:val="center"/>
                </w:tcPr>
                <w:p w14:paraId="51BDD223">
                  <w:pPr>
                    <w:widowControl/>
                    <w:spacing w:line="240" w:lineRule="auto"/>
                    <w:ind w:firstLine="0" w:firstLineChars="0"/>
                    <w:jc w:val="center"/>
                    <w:textAlignment w:val="center"/>
                    <w:rPr>
                      <w:color w:val="0000FF"/>
                      <w:sz w:val="21"/>
                      <w:szCs w:val="21"/>
                    </w:rPr>
                  </w:pPr>
                  <w:r>
                    <w:rPr>
                      <w:color w:val="0000FF"/>
                      <w:sz w:val="21"/>
                      <w:szCs w:val="21"/>
                      <w:lang w:bidi="ar"/>
                    </w:rPr>
                    <w:t>200/捆</w:t>
                  </w:r>
                </w:p>
              </w:tc>
              <w:tc>
                <w:tcPr>
                  <w:tcW w:w="1110" w:type="pct"/>
                  <w:shd w:val="clear" w:color="auto" w:fill="auto"/>
                  <w:vAlign w:val="center"/>
                </w:tcPr>
                <w:p w14:paraId="7A336672">
                  <w:pPr>
                    <w:pStyle w:val="31"/>
                    <w:spacing w:line="240" w:lineRule="auto"/>
                    <w:ind w:left="0"/>
                    <w:rPr>
                      <w:szCs w:val="21"/>
                    </w:rPr>
                  </w:pPr>
                  <w:r>
                    <w:rPr>
                      <w:szCs w:val="21"/>
                    </w:rPr>
                    <w:t>包材间</w:t>
                  </w:r>
                </w:p>
              </w:tc>
            </w:tr>
            <w:tr w14:paraId="6CBD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vAlign w:val="center"/>
                </w:tcPr>
                <w:p w14:paraId="6C2F46D4">
                  <w:pPr>
                    <w:pStyle w:val="29"/>
                  </w:pPr>
                  <w:r>
                    <w:t>公辅</w:t>
                  </w:r>
                </w:p>
              </w:tc>
            </w:tr>
            <w:tr w14:paraId="4DFB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2EE779BF">
                  <w:pPr>
                    <w:pStyle w:val="29"/>
                  </w:pPr>
                  <w:r>
                    <w:t>1</w:t>
                  </w:r>
                </w:p>
              </w:tc>
              <w:tc>
                <w:tcPr>
                  <w:tcW w:w="803" w:type="pct"/>
                  <w:vAlign w:val="center"/>
                </w:tcPr>
                <w:p w14:paraId="013671D4">
                  <w:pPr>
                    <w:pStyle w:val="29"/>
                  </w:pPr>
                  <w:r>
                    <w:t>过氧化值试纸</w:t>
                  </w:r>
                </w:p>
              </w:tc>
              <w:tc>
                <w:tcPr>
                  <w:tcW w:w="620" w:type="pct"/>
                  <w:vAlign w:val="center"/>
                </w:tcPr>
                <w:p w14:paraId="20B97289">
                  <w:pPr>
                    <w:pStyle w:val="29"/>
                  </w:pPr>
                  <w:r>
                    <w:t>条/a</w:t>
                  </w:r>
                </w:p>
              </w:tc>
              <w:tc>
                <w:tcPr>
                  <w:tcW w:w="541" w:type="pct"/>
                  <w:vAlign w:val="center"/>
                </w:tcPr>
                <w:p w14:paraId="056BC52B">
                  <w:pPr>
                    <w:pStyle w:val="29"/>
                  </w:pPr>
                  <w:r>
                    <w:t>1200</w:t>
                  </w:r>
                </w:p>
              </w:tc>
              <w:tc>
                <w:tcPr>
                  <w:tcW w:w="658" w:type="pct"/>
                  <w:vAlign w:val="center"/>
                </w:tcPr>
                <w:p w14:paraId="1277C7F8">
                  <w:pPr>
                    <w:pStyle w:val="29"/>
                    <w:rPr>
                      <w:color w:val="0000FF"/>
                    </w:rPr>
                  </w:pPr>
                  <w:r>
                    <w:rPr>
                      <w:color w:val="0000FF"/>
                    </w:rPr>
                    <w:t>120</w:t>
                  </w:r>
                </w:p>
              </w:tc>
              <w:tc>
                <w:tcPr>
                  <w:tcW w:w="871" w:type="pct"/>
                  <w:shd w:val="clear" w:color="auto" w:fill="auto"/>
                  <w:vAlign w:val="center"/>
                </w:tcPr>
                <w:p w14:paraId="183F3FEA">
                  <w:pPr>
                    <w:pStyle w:val="29"/>
                    <w:rPr>
                      <w:color w:val="0000FF"/>
                    </w:rPr>
                  </w:pPr>
                  <w:r>
                    <w:rPr>
                      <w:color w:val="0000FF"/>
                    </w:rPr>
                    <w:t>纸盒</w:t>
                  </w:r>
                </w:p>
              </w:tc>
              <w:tc>
                <w:tcPr>
                  <w:tcW w:w="1110" w:type="pct"/>
                  <w:shd w:val="clear" w:color="auto" w:fill="auto"/>
                  <w:vAlign w:val="center"/>
                </w:tcPr>
                <w:p w14:paraId="4D83A26D">
                  <w:pPr>
                    <w:pStyle w:val="29"/>
                  </w:pPr>
                  <w:r>
                    <w:t>检验室</w:t>
                  </w:r>
                </w:p>
              </w:tc>
            </w:tr>
            <w:tr w14:paraId="4F40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32CCADA7">
                  <w:pPr>
                    <w:pStyle w:val="29"/>
                  </w:pPr>
                  <w:r>
                    <w:t>2</w:t>
                  </w:r>
                </w:p>
              </w:tc>
              <w:tc>
                <w:tcPr>
                  <w:tcW w:w="803" w:type="pct"/>
                  <w:vAlign w:val="center"/>
                </w:tcPr>
                <w:p w14:paraId="712EAB45">
                  <w:pPr>
                    <w:pStyle w:val="29"/>
                  </w:pPr>
                  <w:r>
                    <w:t>R507制冷剂</w:t>
                  </w:r>
                </w:p>
              </w:tc>
              <w:tc>
                <w:tcPr>
                  <w:tcW w:w="620" w:type="pct"/>
                  <w:vAlign w:val="center"/>
                </w:tcPr>
                <w:p w14:paraId="266D5A79">
                  <w:pPr>
                    <w:pStyle w:val="29"/>
                  </w:pPr>
                  <w:r>
                    <w:t>kg/a</w:t>
                  </w:r>
                </w:p>
              </w:tc>
              <w:tc>
                <w:tcPr>
                  <w:tcW w:w="541" w:type="pct"/>
                  <w:vAlign w:val="center"/>
                </w:tcPr>
                <w:p w14:paraId="4C3496B8">
                  <w:pPr>
                    <w:pStyle w:val="29"/>
                  </w:pPr>
                  <w:r>
                    <w:t>70</w:t>
                  </w:r>
                </w:p>
              </w:tc>
              <w:tc>
                <w:tcPr>
                  <w:tcW w:w="658" w:type="pct"/>
                  <w:vAlign w:val="center"/>
                </w:tcPr>
                <w:p w14:paraId="1886E49E">
                  <w:pPr>
                    <w:pStyle w:val="29"/>
                    <w:rPr>
                      <w:color w:val="0000FF"/>
                    </w:rPr>
                  </w:pPr>
                  <w:r>
                    <w:rPr>
                      <w:color w:val="0000FF"/>
                    </w:rPr>
                    <w:t>70</w:t>
                  </w:r>
                </w:p>
              </w:tc>
              <w:tc>
                <w:tcPr>
                  <w:tcW w:w="871" w:type="pct"/>
                  <w:shd w:val="clear" w:color="auto" w:fill="auto"/>
                  <w:vAlign w:val="center"/>
                </w:tcPr>
                <w:p w14:paraId="09FD37BA">
                  <w:pPr>
                    <w:pStyle w:val="29"/>
                    <w:rPr>
                      <w:color w:val="0000FF"/>
                    </w:rPr>
                  </w:pPr>
                  <w:r>
                    <w:rPr>
                      <w:color w:val="0000FF"/>
                    </w:rPr>
                    <w:t>罐装</w:t>
                  </w:r>
                </w:p>
              </w:tc>
              <w:tc>
                <w:tcPr>
                  <w:tcW w:w="1110" w:type="pct"/>
                  <w:shd w:val="clear" w:color="auto" w:fill="auto"/>
                  <w:vAlign w:val="center"/>
                </w:tcPr>
                <w:p w14:paraId="524F8222">
                  <w:pPr>
                    <w:pStyle w:val="29"/>
                  </w:pPr>
                  <w:r>
                    <w:t>（第一次安装一次性充入，每3年补充一次制冷剂，约30kg）</w:t>
                  </w:r>
                </w:p>
              </w:tc>
            </w:tr>
            <w:tr w14:paraId="6DB4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6B622BAE">
                  <w:pPr>
                    <w:pStyle w:val="29"/>
                  </w:pPr>
                  <w:r>
                    <w:t>3</w:t>
                  </w:r>
                </w:p>
              </w:tc>
              <w:tc>
                <w:tcPr>
                  <w:tcW w:w="803" w:type="pct"/>
                  <w:vAlign w:val="center"/>
                </w:tcPr>
                <w:p w14:paraId="30329199">
                  <w:pPr>
                    <w:pStyle w:val="29"/>
                  </w:pPr>
                  <w:r>
                    <w:t>洗洁精</w:t>
                  </w:r>
                </w:p>
              </w:tc>
              <w:tc>
                <w:tcPr>
                  <w:tcW w:w="620" w:type="pct"/>
                  <w:vAlign w:val="center"/>
                </w:tcPr>
                <w:p w14:paraId="1F0856E7">
                  <w:pPr>
                    <w:pStyle w:val="29"/>
                  </w:pPr>
                  <w:r>
                    <w:t>t/a</w:t>
                  </w:r>
                </w:p>
              </w:tc>
              <w:tc>
                <w:tcPr>
                  <w:tcW w:w="541" w:type="pct"/>
                  <w:vAlign w:val="center"/>
                </w:tcPr>
                <w:p w14:paraId="1DFA97DD">
                  <w:pPr>
                    <w:pStyle w:val="29"/>
                  </w:pPr>
                  <w:r>
                    <w:t>0.2</w:t>
                  </w:r>
                </w:p>
              </w:tc>
              <w:tc>
                <w:tcPr>
                  <w:tcW w:w="658" w:type="pct"/>
                  <w:vAlign w:val="center"/>
                </w:tcPr>
                <w:p w14:paraId="31A0B8C0">
                  <w:pPr>
                    <w:pStyle w:val="29"/>
                    <w:rPr>
                      <w:color w:val="0000FF"/>
                    </w:rPr>
                  </w:pPr>
                  <w:r>
                    <w:rPr>
                      <w:color w:val="0000FF"/>
                    </w:rPr>
                    <w:t>0.05</w:t>
                  </w:r>
                </w:p>
              </w:tc>
              <w:tc>
                <w:tcPr>
                  <w:tcW w:w="871" w:type="pct"/>
                  <w:shd w:val="clear" w:color="auto" w:fill="auto"/>
                  <w:vAlign w:val="center"/>
                </w:tcPr>
                <w:p w14:paraId="7DDC71D1">
                  <w:pPr>
                    <w:pStyle w:val="29"/>
                    <w:rPr>
                      <w:color w:val="0000FF"/>
                    </w:rPr>
                  </w:pPr>
                  <w:r>
                    <w:rPr>
                      <w:color w:val="0000FF"/>
                    </w:rPr>
                    <w:t>5.62kg/桶装</w:t>
                  </w:r>
                </w:p>
              </w:tc>
              <w:tc>
                <w:tcPr>
                  <w:tcW w:w="1110" w:type="pct"/>
                  <w:shd w:val="clear" w:color="auto" w:fill="auto"/>
                  <w:vAlign w:val="center"/>
                </w:tcPr>
                <w:p w14:paraId="0D07577D">
                  <w:pPr>
                    <w:pStyle w:val="29"/>
                  </w:pPr>
                  <w:r>
                    <w:t>洁具室</w:t>
                  </w:r>
                </w:p>
              </w:tc>
            </w:tr>
            <w:tr w14:paraId="0F69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306D49CF">
                  <w:pPr>
                    <w:pStyle w:val="29"/>
                  </w:pPr>
                  <w:r>
                    <w:t>4</w:t>
                  </w:r>
                </w:p>
              </w:tc>
              <w:tc>
                <w:tcPr>
                  <w:tcW w:w="803" w:type="pct"/>
                  <w:vAlign w:val="center"/>
                </w:tcPr>
                <w:p w14:paraId="6BB55473">
                  <w:pPr>
                    <w:pStyle w:val="29"/>
                  </w:pPr>
                  <w:r>
                    <w:t>消毒片</w:t>
                  </w:r>
                </w:p>
              </w:tc>
              <w:tc>
                <w:tcPr>
                  <w:tcW w:w="620" w:type="pct"/>
                  <w:vAlign w:val="center"/>
                </w:tcPr>
                <w:p w14:paraId="2675C035">
                  <w:pPr>
                    <w:pStyle w:val="29"/>
                  </w:pPr>
                  <w:r>
                    <w:t>片/a</w:t>
                  </w:r>
                </w:p>
              </w:tc>
              <w:tc>
                <w:tcPr>
                  <w:tcW w:w="541" w:type="pct"/>
                  <w:vAlign w:val="center"/>
                </w:tcPr>
                <w:p w14:paraId="0E5B719F">
                  <w:pPr>
                    <w:pStyle w:val="29"/>
                  </w:pPr>
                  <w:r>
                    <w:t>1000</w:t>
                  </w:r>
                </w:p>
              </w:tc>
              <w:tc>
                <w:tcPr>
                  <w:tcW w:w="658" w:type="pct"/>
                  <w:vAlign w:val="center"/>
                </w:tcPr>
                <w:p w14:paraId="6522955C">
                  <w:pPr>
                    <w:pStyle w:val="29"/>
                    <w:rPr>
                      <w:color w:val="0000FF"/>
                    </w:rPr>
                  </w:pPr>
                  <w:r>
                    <w:rPr>
                      <w:color w:val="0000FF"/>
                    </w:rPr>
                    <w:t>200</w:t>
                  </w:r>
                </w:p>
              </w:tc>
              <w:tc>
                <w:tcPr>
                  <w:tcW w:w="871" w:type="pct"/>
                  <w:shd w:val="clear" w:color="auto" w:fill="auto"/>
                  <w:vAlign w:val="center"/>
                </w:tcPr>
                <w:p w14:paraId="7AC8D7E4">
                  <w:pPr>
                    <w:pStyle w:val="29"/>
                    <w:rPr>
                      <w:color w:val="0000FF"/>
                    </w:rPr>
                  </w:pPr>
                  <w:r>
                    <w:rPr>
                      <w:color w:val="0000FF"/>
                    </w:rPr>
                    <w:t>50片/袋装</w:t>
                  </w:r>
                </w:p>
              </w:tc>
              <w:tc>
                <w:tcPr>
                  <w:tcW w:w="1110" w:type="pct"/>
                  <w:shd w:val="clear" w:color="auto" w:fill="auto"/>
                  <w:vAlign w:val="center"/>
                </w:tcPr>
                <w:p w14:paraId="060F2E22">
                  <w:pPr>
                    <w:pStyle w:val="29"/>
                  </w:pPr>
                  <w:r>
                    <w:t>洁具室</w:t>
                  </w:r>
                </w:p>
              </w:tc>
            </w:tr>
            <w:tr w14:paraId="59E8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5CC07E08">
                  <w:pPr>
                    <w:pStyle w:val="29"/>
                  </w:pPr>
                  <w:r>
                    <w:t>5</w:t>
                  </w:r>
                </w:p>
              </w:tc>
              <w:tc>
                <w:tcPr>
                  <w:tcW w:w="803" w:type="pct"/>
                  <w:vAlign w:val="center"/>
                </w:tcPr>
                <w:p w14:paraId="5FAFE913">
                  <w:pPr>
                    <w:pStyle w:val="29"/>
                  </w:pPr>
                  <w:r>
                    <w:t>酒精</w:t>
                  </w:r>
                </w:p>
              </w:tc>
              <w:tc>
                <w:tcPr>
                  <w:tcW w:w="620" w:type="pct"/>
                  <w:vAlign w:val="center"/>
                </w:tcPr>
                <w:p w14:paraId="7A8D5484">
                  <w:pPr>
                    <w:pStyle w:val="29"/>
                  </w:pPr>
                  <w:r>
                    <w:t>t/a</w:t>
                  </w:r>
                </w:p>
              </w:tc>
              <w:tc>
                <w:tcPr>
                  <w:tcW w:w="541" w:type="pct"/>
                  <w:vAlign w:val="center"/>
                </w:tcPr>
                <w:p w14:paraId="1AF04B42">
                  <w:pPr>
                    <w:pStyle w:val="29"/>
                  </w:pPr>
                  <w:r>
                    <w:t>0.15</w:t>
                  </w:r>
                </w:p>
              </w:tc>
              <w:tc>
                <w:tcPr>
                  <w:tcW w:w="658" w:type="pct"/>
                  <w:vAlign w:val="center"/>
                </w:tcPr>
                <w:p w14:paraId="0F83EDD5">
                  <w:pPr>
                    <w:pStyle w:val="29"/>
                    <w:rPr>
                      <w:color w:val="0000FF"/>
                    </w:rPr>
                  </w:pPr>
                  <w:r>
                    <w:rPr>
                      <w:color w:val="0000FF"/>
                    </w:rPr>
                    <w:t>0.</w:t>
                  </w:r>
                  <w:r>
                    <w:rPr>
                      <w:rFonts w:hint="eastAsia"/>
                      <w:color w:val="0000FF"/>
                    </w:rPr>
                    <w:t>15</w:t>
                  </w:r>
                </w:p>
              </w:tc>
              <w:tc>
                <w:tcPr>
                  <w:tcW w:w="871" w:type="pct"/>
                  <w:shd w:val="clear" w:color="auto" w:fill="auto"/>
                  <w:vAlign w:val="center"/>
                </w:tcPr>
                <w:p w14:paraId="5347C976">
                  <w:pPr>
                    <w:pStyle w:val="29"/>
                    <w:rPr>
                      <w:color w:val="0000FF"/>
                    </w:rPr>
                  </w:pPr>
                  <w:r>
                    <w:rPr>
                      <w:color w:val="0000FF"/>
                    </w:rPr>
                    <w:t>2500mL/桶装</w:t>
                  </w:r>
                </w:p>
              </w:tc>
              <w:tc>
                <w:tcPr>
                  <w:tcW w:w="1110" w:type="pct"/>
                  <w:shd w:val="clear" w:color="auto" w:fill="auto"/>
                  <w:vAlign w:val="center"/>
                </w:tcPr>
                <w:p w14:paraId="04089FD8">
                  <w:pPr>
                    <w:pStyle w:val="29"/>
                  </w:pPr>
                  <w:r>
                    <w:t>洁具室</w:t>
                  </w:r>
                </w:p>
              </w:tc>
            </w:tr>
            <w:tr w14:paraId="7F60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vAlign w:val="center"/>
                </w:tcPr>
                <w:p w14:paraId="52C58A87">
                  <w:pPr>
                    <w:pStyle w:val="29"/>
                  </w:pPr>
                  <w:r>
                    <w:t>能源消耗</w:t>
                  </w:r>
                </w:p>
              </w:tc>
            </w:tr>
            <w:tr w14:paraId="18C2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297F69C4">
                  <w:pPr>
                    <w:pStyle w:val="29"/>
                  </w:pPr>
                  <w:r>
                    <w:t>1</w:t>
                  </w:r>
                </w:p>
              </w:tc>
              <w:tc>
                <w:tcPr>
                  <w:tcW w:w="803" w:type="pct"/>
                  <w:vAlign w:val="center"/>
                </w:tcPr>
                <w:p w14:paraId="18095102">
                  <w:pPr>
                    <w:pStyle w:val="29"/>
                  </w:pPr>
                  <w:r>
                    <w:t>电</w:t>
                  </w:r>
                </w:p>
              </w:tc>
              <w:tc>
                <w:tcPr>
                  <w:tcW w:w="620" w:type="pct"/>
                  <w:vAlign w:val="center"/>
                </w:tcPr>
                <w:p w14:paraId="3875742C">
                  <w:pPr>
                    <w:pStyle w:val="29"/>
                  </w:pPr>
                  <w:r>
                    <w:t>万kW•h/a</w:t>
                  </w:r>
                </w:p>
              </w:tc>
              <w:tc>
                <w:tcPr>
                  <w:tcW w:w="541" w:type="pct"/>
                  <w:vAlign w:val="center"/>
                </w:tcPr>
                <w:p w14:paraId="0CF6898A">
                  <w:pPr>
                    <w:pStyle w:val="29"/>
                  </w:pPr>
                  <w:r>
                    <w:t>14</w:t>
                  </w:r>
                </w:p>
              </w:tc>
              <w:tc>
                <w:tcPr>
                  <w:tcW w:w="658" w:type="pct"/>
                  <w:vAlign w:val="center"/>
                </w:tcPr>
                <w:p w14:paraId="69072688">
                  <w:pPr>
                    <w:pStyle w:val="29"/>
                  </w:pPr>
                  <w:r>
                    <w:t>市政供电</w:t>
                  </w:r>
                </w:p>
              </w:tc>
              <w:tc>
                <w:tcPr>
                  <w:tcW w:w="871" w:type="pct"/>
                  <w:vAlign w:val="center"/>
                </w:tcPr>
                <w:p w14:paraId="525E2079">
                  <w:pPr>
                    <w:pStyle w:val="29"/>
                  </w:pPr>
                  <w:r>
                    <w:t>/</w:t>
                  </w:r>
                </w:p>
              </w:tc>
              <w:tc>
                <w:tcPr>
                  <w:tcW w:w="1110" w:type="pct"/>
                  <w:vAlign w:val="center"/>
                </w:tcPr>
                <w:p w14:paraId="00109F79">
                  <w:pPr>
                    <w:pStyle w:val="29"/>
                  </w:pPr>
                  <w:r>
                    <w:t>/</w:t>
                  </w:r>
                </w:p>
              </w:tc>
            </w:tr>
            <w:tr w14:paraId="4B6E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7A92C0B0">
                  <w:pPr>
                    <w:pStyle w:val="29"/>
                  </w:pPr>
                  <w:r>
                    <w:t>2</w:t>
                  </w:r>
                </w:p>
              </w:tc>
              <w:tc>
                <w:tcPr>
                  <w:tcW w:w="803" w:type="pct"/>
                  <w:vAlign w:val="center"/>
                </w:tcPr>
                <w:p w14:paraId="6AF70E2C">
                  <w:pPr>
                    <w:pStyle w:val="29"/>
                  </w:pPr>
                  <w:r>
                    <w:t>水</w:t>
                  </w:r>
                </w:p>
              </w:tc>
              <w:tc>
                <w:tcPr>
                  <w:tcW w:w="620" w:type="pct"/>
                  <w:vAlign w:val="center"/>
                </w:tcPr>
                <w:p w14:paraId="22E7ADE4">
                  <w:pPr>
                    <w:pStyle w:val="29"/>
                    <w:rPr>
                      <w:color w:val="0000FF"/>
                    </w:rPr>
                  </w:pPr>
                  <w:r>
                    <w:rPr>
                      <w:color w:val="0000FF"/>
                    </w:rPr>
                    <w:t>t/a</w:t>
                  </w:r>
                </w:p>
              </w:tc>
              <w:tc>
                <w:tcPr>
                  <w:tcW w:w="541" w:type="pct"/>
                  <w:vAlign w:val="center"/>
                </w:tcPr>
                <w:p w14:paraId="2D06B9B4">
                  <w:pPr>
                    <w:pStyle w:val="29"/>
                    <w:rPr>
                      <w:color w:val="0000FF"/>
                    </w:rPr>
                  </w:pPr>
                  <w:r>
                    <w:rPr>
                      <w:rFonts w:hint="eastAsia"/>
                      <w:color w:val="0000FF"/>
                    </w:rPr>
                    <w:t>3090.9</w:t>
                  </w:r>
                </w:p>
              </w:tc>
              <w:tc>
                <w:tcPr>
                  <w:tcW w:w="658" w:type="pct"/>
                  <w:vAlign w:val="center"/>
                </w:tcPr>
                <w:p w14:paraId="760EF8DE">
                  <w:pPr>
                    <w:pStyle w:val="29"/>
                    <w:rPr>
                      <w:color w:val="0000FF"/>
                    </w:rPr>
                  </w:pPr>
                  <w:r>
                    <w:rPr>
                      <w:color w:val="0000FF"/>
                    </w:rPr>
                    <w:t>市政供水</w:t>
                  </w:r>
                </w:p>
              </w:tc>
              <w:tc>
                <w:tcPr>
                  <w:tcW w:w="871" w:type="pct"/>
                  <w:vAlign w:val="center"/>
                </w:tcPr>
                <w:p w14:paraId="376E4B9E">
                  <w:pPr>
                    <w:pStyle w:val="29"/>
                  </w:pPr>
                  <w:r>
                    <w:t>/</w:t>
                  </w:r>
                </w:p>
              </w:tc>
              <w:tc>
                <w:tcPr>
                  <w:tcW w:w="1110" w:type="pct"/>
                  <w:vAlign w:val="center"/>
                </w:tcPr>
                <w:p w14:paraId="1D57C6B1">
                  <w:pPr>
                    <w:pStyle w:val="29"/>
                  </w:pPr>
                  <w:r>
                    <w:t>/</w:t>
                  </w:r>
                </w:p>
              </w:tc>
            </w:tr>
            <w:tr w14:paraId="3E34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14:paraId="5B43B71C">
                  <w:pPr>
                    <w:pStyle w:val="29"/>
                  </w:pPr>
                  <w:r>
                    <w:t>3</w:t>
                  </w:r>
                </w:p>
              </w:tc>
              <w:tc>
                <w:tcPr>
                  <w:tcW w:w="803" w:type="pct"/>
                  <w:vAlign w:val="center"/>
                </w:tcPr>
                <w:p w14:paraId="4FD4A402">
                  <w:pPr>
                    <w:pStyle w:val="29"/>
                  </w:pPr>
                  <w:r>
                    <w:t>液化石油气</w:t>
                  </w:r>
                </w:p>
              </w:tc>
              <w:tc>
                <w:tcPr>
                  <w:tcW w:w="620" w:type="pct"/>
                  <w:vAlign w:val="center"/>
                </w:tcPr>
                <w:p w14:paraId="2BA4BDB7">
                  <w:pPr>
                    <w:pStyle w:val="29"/>
                    <w:rPr>
                      <w:color w:val="0000FF"/>
                    </w:rPr>
                  </w:pPr>
                  <w:r>
                    <w:rPr>
                      <w:color w:val="0000FF"/>
                    </w:rPr>
                    <w:t>t/a</w:t>
                  </w:r>
                </w:p>
              </w:tc>
              <w:tc>
                <w:tcPr>
                  <w:tcW w:w="541" w:type="pct"/>
                  <w:vAlign w:val="center"/>
                </w:tcPr>
                <w:p w14:paraId="6A0ED8EA">
                  <w:pPr>
                    <w:pStyle w:val="29"/>
                    <w:rPr>
                      <w:color w:val="0000FF"/>
                    </w:rPr>
                  </w:pPr>
                  <w:r>
                    <w:rPr>
                      <w:rFonts w:hint="eastAsia"/>
                      <w:color w:val="0000FF"/>
                    </w:rPr>
                    <w:t>4.0</w:t>
                  </w:r>
                </w:p>
              </w:tc>
              <w:tc>
                <w:tcPr>
                  <w:tcW w:w="658" w:type="pct"/>
                  <w:vAlign w:val="center"/>
                </w:tcPr>
                <w:p w14:paraId="56A47521">
                  <w:pPr>
                    <w:pStyle w:val="29"/>
                    <w:rPr>
                      <w:color w:val="0000FF"/>
                    </w:rPr>
                  </w:pPr>
                  <w:r>
                    <w:rPr>
                      <w:rFonts w:hint="eastAsia"/>
                      <w:color w:val="0000FF"/>
                    </w:rPr>
                    <w:t>0.052</w:t>
                  </w:r>
                </w:p>
              </w:tc>
              <w:tc>
                <w:tcPr>
                  <w:tcW w:w="871" w:type="pct"/>
                  <w:vAlign w:val="center"/>
                </w:tcPr>
                <w:p w14:paraId="7E2E50F2">
                  <w:pPr>
                    <w:pStyle w:val="29"/>
                    <w:rPr>
                      <w:color w:val="0000FF"/>
                    </w:rPr>
                  </w:pPr>
                  <w:r>
                    <w:rPr>
                      <w:rFonts w:hint="eastAsia"/>
                      <w:color w:val="0000FF"/>
                    </w:rPr>
                    <w:t>13kg/罐</w:t>
                  </w:r>
                </w:p>
              </w:tc>
              <w:tc>
                <w:tcPr>
                  <w:tcW w:w="1110" w:type="pct"/>
                  <w:vAlign w:val="center"/>
                </w:tcPr>
                <w:p w14:paraId="51E44B93">
                  <w:pPr>
                    <w:pStyle w:val="29"/>
                  </w:pPr>
                  <w:r>
                    <w:t>/</w:t>
                  </w:r>
                </w:p>
              </w:tc>
            </w:tr>
          </w:tbl>
          <w:p w14:paraId="713E76C3">
            <w:r>
              <w:t>主要原辅材料物化性质：</w:t>
            </w:r>
          </w:p>
          <w:p w14:paraId="045F02F7">
            <w:pPr>
              <w:pStyle w:val="32"/>
              <w:spacing w:line="360" w:lineRule="auto"/>
              <w:ind w:firstLine="480" w:firstLineChars="200"/>
              <w:jc w:val="both"/>
              <w:rPr>
                <w:rFonts w:hint="default"/>
              </w:rPr>
            </w:pPr>
            <w:r>
              <w:rPr>
                <w:rFonts w:hint="default"/>
                <w:b w:val="0"/>
                <w:bCs/>
              </w:rPr>
              <w:t>R507制冷剂：用于速冻库及冷藏库制冷，R507制冷剂由五氟乙烷及三氟乙烷组成的混合物，在常温下为无色气体，在自身压力下为无色透明液体，无毒不燃，具有良好的热稳定性及化学稳定性，分子式为CHF</w:t>
            </w:r>
            <w:r>
              <w:rPr>
                <w:rFonts w:hint="default"/>
                <w:b w:val="0"/>
                <w:bCs/>
                <w:vertAlign w:val="subscript"/>
              </w:rPr>
              <w:t>2</w:t>
            </w:r>
            <w:r>
              <w:rPr>
                <w:rFonts w:hint="default"/>
                <w:b w:val="0"/>
                <w:bCs/>
              </w:rPr>
              <w:t>CF</w:t>
            </w:r>
            <w:r>
              <w:rPr>
                <w:rFonts w:hint="default"/>
                <w:b w:val="0"/>
                <w:bCs/>
                <w:vertAlign w:val="subscript"/>
              </w:rPr>
              <w:t>3</w:t>
            </w:r>
            <w:r>
              <w:rPr>
                <w:rFonts w:hint="default"/>
                <w:b w:val="0"/>
                <w:bCs/>
              </w:rPr>
              <w:t>/CH</w:t>
            </w:r>
            <w:r>
              <w:rPr>
                <w:rFonts w:hint="default"/>
                <w:b w:val="0"/>
                <w:bCs/>
                <w:vertAlign w:val="subscript"/>
              </w:rPr>
              <w:t>3</w:t>
            </w:r>
            <w:r>
              <w:rPr>
                <w:rFonts w:hint="default"/>
                <w:b w:val="0"/>
                <w:bCs/>
              </w:rPr>
              <w:t>CF</w:t>
            </w:r>
            <w:r>
              <w:rPr>
                <w:rFonts w:hint="default"/>
                <w:b w:val="0"/>
                <w:bCs/>
                <w:vertAlign w:val="subscript"/>
              </w:rPr>
              <w:t>3</w:t>
            </w:r>
            <w:r>
              <w:rPr>
                <w:rFonts w:hint="default"/>
                <w:b w:val="0"/>
                <w:bCs/>
              </w:rPr>
              <w:t>，分子量98.86，沸点-46.7°C，相对密度为1.02。R507是R502制冷剂的长期替代品，ODP值为零，不含任何破坏臭氧层的物质。制冷剂在设备安装时一次性充入制冷系统的密闭管道中，循环使用不外排，几乎无损耗，当需补充时由厂家上门补充，厂内不另外暂存。</w:t>
            </w:r>
          </w:p>
          <w:p w14:paraId="4C017567">
            <w:r>
              <w:t>消毒片：本项目使用氯消毒片用于员工进出车间消毒清洁。氯消毒片含有如氯酸钠、二氯异氰尿酸钠或三氯异氰尿酸等氯化合物，溶于水后释放出氯，具有很强的氧化性，能杀灭细菌、病毒和藻类。一片消毒片大约10g</w:t>
            </w:r>
            <w:r>
              <w:rPr>
                <w:rFonts w:hint="eastAsia"/>
              </w:rPr>
              <w:t>，</w:t>
            </w:r>
            <w:r>
              <w:t>含氯量约为10%。</w:t>
            </w:r>
          </w:p>
          <w:p w14:paraId="6F01C8AE">
            <w:pPr>
              <w:widowControl/>
              <w:jc w:val="left"/>
              <w:textAlignment w:val="baseline"/>
            </w:pPr>
            <w:r>
              <w:t>酒精：</w:t>
            </w:r>
            <w:r>
              <w:rPr>
                <w:color w:val="1A2029"/>
                <w:shd w:val="clear" w:color="auto" w:fill="FFFFFF"/>
              </w:rPr>
              <w:t>化学名为乙醇，是一种有机化合物，化学式为</w:t>
            </w:r>
            <w:r>
              <w:rPr>
                <w:color w:val="0000FF"/>
                <w:shd w:val="clear" w:color="auto" w:fill="FFFFFF"/>
              </w:rPr>
              <w:t>C</w:t>
            </w:r>
            <w:r>
              <w:rPr>
                <w:color w:val="0000FF"/>
                <w:shd w:val="clear" w:color="auto" w:fill="FFFFFF"/>
                <w:vertAlign w:val="subscript"/>
              </w:rPr>
              <w:t>2</w:t>
            </w:r>
            <w:r>
              <w:rPr>
                <w:color w:val="0000FF"/>
                <w:shd w:val="clear" w:color="auto" w:fill="FFFFFF"/>
              </w:rPr>
              <w:t>H</w:t>
            </w:r>
            <w:r>
              <w:rPr>
                <w:color w:val="0000FF"/>
                <w:shd w:val="clear" w:color="auto" w:fill="FFFFFF"/>
                <w:vertAlign w:val="subscript"/>
              </w:rPr>
              <w:t>5</w:t>
            </w:r>
            <w:r>
              <w:rPr>
                <w:color w:val="0000FF"/>
                <w:shd w:val="clear" w:color="auto" w:fill="FFFFFF"/>
              </w:rPr>
              <w:t>OH</w:t>
            </w:r>
            <w:r>
              <w:rPr>
                <w:color w:val="1A2029"/>
                <w:shd w:val="clear" w:color="auto" w:fill="FFFFFF"/>
              </w:rPr>
              <w:t>。它是无色、易挥发的液体，具有特殊的香味，广泛用于饮料、医药、化工等领域。</w:t>
            </w:r>
            <w:r>
              <w:rPr>
                <w:rStyle w:val="25"/>
                <w:b w:val="0"/>
                <w:color w:val="1A2029"/>
                <w:shd w:val="clear" w:color="auto" w:fill="FFFFFF"/>
              </w:rPr>
              <w:t>外观</w:t>
            </w:r>
            <w:r>
              <w:rPr>
                <w:color w:val="1A2029"/>
                <w:shd w:val="clear" w:color="auto" w:fill="FFFFFF"/>
              </w:rPr>
              <w:t>：无色透明液体。</w:t>
            </w:r>
            <w:r>
              <w:rPr>
                <w:rStyle w:val="25"/>
                <w:b w:val="0"/>
                <w:color w:val="1A2029"/>
                <w:shd w:val="clear" w:color="auto" w:fill="FFFFFF"/>
              </w:rPr>
              <w:t>气味</w:t>
            </w:r>
            <w:r>
              <w:rPr>
                <w:color w:val="1A2029"/>
                <w:shd w:val="clear" w:color="auto" w:fill="FFFFFF"/>
              </w:rPr>
              <w:t>：特有的香味。</w:t>
            </w:r>
            <w:r>
              <w:rPr>
                <w:rStyle w:val="25"/>
                <w:b w:val="0"/>
                <w:color w:val="1A2029"/>
                <w:shd w:val="clear" w:color="auto" w:fill="FFFFFF"/>
              </w:rPr>
              <w:t>密度</w:t>
            </w:r>
            <w:r>
              <w:rPr>
                <w:color w:val="1A2029"/>
                <w:shd w:val="clear" w:color="auto" w:fill="FFFFFF"/>
              </w:rPr>
              <w:t>：0.789 g/cm³（20°C时）。</w:t>
            </w:r>
            <w:r>
              <w:rPr>
                <w:rStyle w:val="25"/>
                <w:b w:val="0"/>
                <w:color w:val="1A2029"/>
                <w:shd w:val="clear" w:color="auto" w:fill="FFFFFF"/>
              </w:rPr>
              <w:t>沸点</w:t>
            </w:r>
            <w:r>
              <w:rPr>
                <w:color w:val="1A2029"/>
                <w:shd w:val="clear" w:color="auto" w:fill="FFFFFF"/>
              </w:rPr>
              <w:t>：78.37°C。</w:t>
            </w:r>
            <w:r>
              <w:rPr>
                <w:rStyle w:val="25"/>
                <w:b w:val="0"/>
                <w:color w:val="1A2029"/>
                <w:shd w:val="clear" w:color="auto" w:fill="FFFFFF"/>
              </w:rPr>
              <w:t>熔点</w:t>
            </w:r>
            <w:r>
              <w:rPr>
                <w:color w:val="1A2029"/>
                <w:shd w:val="clear" w:color="auto" w:fill="FFFFFF"/>
              </w:rPr>
              <w:t>：-114.1°C。</w:t>
            </w:r>
            <w:r>
              <w:rPr>
                <w:rStyle w:val="25"/>
                <w:b w:val="0"/>
                <w:color w:val="1A2029"/>
                <w:shd w:val="clear" w:color="auto" w:fill="FFFFFF"/>
              </w:rPr>
              <w:t>溶解性</w:t>
            </w:r>
            <w:r>
              <w:rPr>
                <w:color w:val="1A2029"/>
                <w:shd w:val="clear" w:color="auto" w:fill="FFFFFF"/>
              </w:rPr>
              <w:t>：与水以任何比例混溶。</w:t>
            </w:r>
            <w:r>
              <w:rPr>
                <w:rStyle w:val="25"/>
                <w:b w:val="0"/>
                <w:color w:val="1A2029"/>
                <w:shd w:val="clear" w:color="auto" w:fill="FFFFFF"/>
              </w:rPr>
              <w:t>可燃性</w:t>
            </w:r>
            <w:r>
              <w:rPr>
                <w:color w:val="1A2029"/>
                <w:shd w:val="clear" w:color="auto" w:fill="FFFFFF"/>
              </w:rPr>
              <w:t>：酒精是一种易燃液体，可以燃烧产生二氧化碳和水。</w:t>
            </w:r>
            <w:r>
              <w:rPr>
                <w:rStyle w:val="25"/>
                <w:b w:val="0"/>
                <w:color w:val="1A2029"/>
                <w:shd w:val="clear" w:color="auto" w:fill="FFFFFF"/>
              </w:rPr>
              <w:t>氧化性</w:t>
            </w:r>
            <w:r>
              <w:rPr>
                <w:color w:val="1A2029"/>
                <w:shd w:val="clear" w:color="auto" w:fill="FFFFFF"/>
              </w:rPr>
              <w:t>：酒精可以被氧化成醛和酸。</w:t>
            </w:r>
            <w:r>
              <w:rPr>
                <w:rStyle w:val="25"/>
                <w:b w:val="0"/>
                <w:color w:val="1A2029"/>
                <w:shd w:val="clear" w:color="auto" w:fill="FFFFFF"/>
              </w:rPr>
              <w:t>还原性</w:t>
            </w:r>
            <w:r>
              <w:rPr>
                <w:color w:val="1A2029"/>
                <w:shd w:val="clear" w:color="auto" w:fill="FFFFFF"/>
              </w:rPr>
              <w:t>：在某些化学反应中，酒精可以作为还原剂。</w:t>
            </w:r>
          </w:p>
          <w:p w14:paraId="327CBA5E">
            <w:pPr>
              <w:ind w:firstLine="482"/>
              <w:rPr>
                <w:b/>
                <w:bCs/>
              </w:rPr>
            </w:pPr>
            <w:r>
              <w:rPr>
                <w:rFonts w:hint="eastAsia"/>
                <w:b/>
                <w:bCs/>
              </w:rPr>
              <w:t>6、劳动定员及工作制度</w:t>
            </w:r>
          </w:p>
          <w:p w14:paraId="76066510">
            <w:pPr>
              <w:rPr>
                <w:b/>
                <w:bCs/>
              </w:rPr>
            </w:pPr>
            <w:r>
              <w:rPr>
                <w:rFonts w:hint="eastAsia"/>
              </w:rPr>
              <w:t>本项目劳动定员10人，</w:t>
            </w:r>
            <w:r>
              <w:t>项目生产实行</w:t>
            </w:r>
            <w:r>
              <w:rPr>
                <w:rFonts w:hint="eastAsia"/>
              </w:rPr>
              <w:t>1</w:t>
            </w:r>
            <w:r>
              <w:t>班制</w:t>
            </w:r>
            <w:r>
              <w:rPr>
                <w:rFonts w:hint="eastAsia"/>
              </w:rPr>
              <w:t>，</w:t>
            </w:r>
            <w:r>
              <w:t>每班工作时间8</w:t>
            </w:r>
            <w:r>
              <w:rPr>
                <w:rFonts w:hint="eastAsia"/>
              </w:rPr>
              <w:t>h</w:t>
            </w:r>
            <w:r>
              <w:t>，年工作</w:t>
            </w:r>
            <w:r>
              <w:rPr>
                <w:rFonts w:hint="eastAsia"/>
              </w:rPr>
              <w:t>300</w:t>
            </w:r>
            <w:r>
              <w:t>天。</w:t>
            </w:r>
            <w:r>
              <w:rPr>
                <w:rFonts w:hint="eastAsia"/>
              </w:rPr>
              <w:t>不提供食宿。</w:t>
            </w:r>
          </w:p>
          <w:p w14:paraId="6E600A80">
            <w:pPr>
              <w:ind w:firstLine="482"/>
              <w:rPr>
                <w:b/>
                <w:bCs/>
              </w:rPr>
            </w:pPr>
            <w:r>
              <w:rPr>
                <w:rFonts w:hint="eastAsia"/>
                <w:b/>
                <w:bCs/>
              </w:rPr>
              <w:t>7、水平衡分析</w:t>
            </w:r>
          </w:p>
          <w:p w14:paraId="757FBBB8">
            <w:r>
              <w:t>本项目用水主要</w:t>
            </w:r>
            <w:r>
              <w:rPr>
                <w:rFonts w:hint="eastAsia"/>
              </w:rPr>
              <w:t>为员工生活用水、泡米用水、纯净水设备用水、原辅料清洗用水、解冻用水、设备清洗用水、地面冲洗用水、员工消毒用水</w:t>
            </w:r>
            <w:r>
              <w:t>。</w:t>
            </w:r>
          </w:p>
          <w:p w14:paraId="40517F59">
            <w:r>
              <w:rPr>
                <w:rFonts w:hint="eastAsia"/>
              </w:rPr>
              <w:t>①员工生活用水</w:t>
            </w:r>
          </w:p>
          <w:p w14:paraId="118F5CC4">
            <w:pPr>
              <w:rPr>
                <w:color w:val="0000FF"/>
              </w:rPr>
            </w:pPr>
            <w:r>
              <w:rPr>
                <w:rFonts w:hint="eastAsia"/>
                <w:color w:val="0000FF"/>
              </w:rPr>
              <w:t>本项目职工人数为10人，根据</w:t>
            </w:r>
            <w:r>
              <w:rPr>
                <w:color w:val="0000FF"/>
              </w:rPr>
              <w:t>《安徽省行业用水定额》（DB34/T</w:t>
            </w:r>
            <w:r>
              <w:rPr>
                <w:rFonts w:hint="eastAsia"/>
                <w:color w:val="0000FF"/>
              </w:rPr>
              <w:t xml:space="preserve"> 679-2019</w:t>
            </w:r>
            <w:r>
              <w:rPr>
                <w:color w:val="0000FF"/>
              </w:rPr>
              <w:t>）</w:t>
            </w:r>
            <w:r>
              <w:rPr>
                <w:rFonts w:hint="eastAsia"/>
                <w:color w:val="0000FF"/>
              </w:rPr>
              <w:t>，本项目人均用水量按60L/d计，则用水量0.6m</w:t>
            </w:r>
            <w:r>
              <w:rPr>
                <w:rFonts w:hint="eastAsia"/>
                <w:color w:val="0000FF"/>
                <w:vertAlign w:val="superscript"/>
              </w:rPr>
              <w:t>3</w:t>
            </w:r>
            <w:r>
              <w:rPr>
                <w:rFonts w:hint="eastAsia"/>
                <w:color w:val="0000FF"/>
              </w:rPr>
              <w:t>/d（180m</w:t>
            </w:r>
            <w:r>
              <w:rPr>
                <w:rFonts w:hint="eastAsia"/>
                <w:color w:val="0000FF"/>
                <w:vertAlign w:val="superscript"/>
              </w:rPr>
              <w:t>3</w:t>
            </w:r>
            <w:r>
              <w:rPr>
                <w:rFonts w:hint="eastAsia"/>
                <w:color w:val="0000FF"/>
              </w:rPr>
              <w:t>/a）。产污系数为0.8，则生活污水量为0.48m</w:t>
            </w:r>
            <w:r>
              <w:rPr>
                <w:rFonts w:hint="eastAsia"/>
                <w:color w:val="0000FF"/>
                <w:vertAlign w:val="superscript"/>
              </w:rPr>
              <w:t>3</w:t>
            </w:r>
            <w:r>
              <w:rPr>
                <w:rFonts w:hint="eastAsia"/>
                <w:color w:val="0000FF"/>
              </w:rPr>
              <w:t>/d（144m</w:t>
            </w:r>
            <w:r>
              <w:rPr>
                <w:rFonts w:hint="eastAsia"/>
                <w:color w:val="0000FF"/>
                <w:vertAlign w:val="superscript"/>
              </w:rPr>
              <w:t>3</w:t>
            </w:r>
            <w:r>
              <w:rPr>
                <w:rFonts w:hint="eastAsia"/>
                <w:color w:val="0000FF"/>
              </w:rPr>
              <w:t>/a）。</w:t>
            </w:r>
          </w:p>
          <w:p w14:paraId="43E6801A">
            <w:r>
              <w:rPr>
                <w:rFonts w:hint="eastAsia"/>
              </w:rPr>
              <w:t>②泡米用水</w:t>
            </w:r>
          </w:p>
          <w:p w14:paraId="7CCD486C">
            <w:r>
              <w:rPr>
                <w:rFonts w:hint="eastAsia"/>
                <w:color w:val="0000FF"/>
              </w:rPr>
              <w:t>糯米需要提前进行浸泡后进行蒸制，无需进行淘米</w:t>
            </w:r>
            <w:r>
              <w:rPr>
                <w:rFonts w:hint="eastAsia"/>
              </w:rPr>
              <w:t>。根据建设单位提供资料所需水量为1t/t-米，项目烧麦生产所消耗米量为60m</w:t>
            </w:r>
            <w:r>
              <w:rPr>
                <w:rFonts w:hint="eastAsia"/>
                <w:vertAlign w:val="superscript"/>
              </w:rPr>
              <w:t>3</w:t>
            </w:r>
            <w:r>
              <w:rPr>
                <w:rFonts w:hint="eastAsia"/>
              </w:rPr>
              <w:t>/a，则泡米所需用水量为60m</w:t>
            </w:r>
            <w:r>
              <w:rPr>
                <w:rFonts w:hint="eastAsia"/>
                <w:vertAlign w:val="superscript"/>
              </w:rPr>
              <w:t>3</w:t>
            </w:r>
            <w:r>
              <w:rPr>
                <w:rFonts w:hint="eastAsia"/>
              </w:rPr>
              <w:t>/a，即0.2m</w:t>
            </w:r>
            <w:r>
              <w:rPr>
                <w:rFonts w:hint="eastAsia"/>
                <w:vertAlign w:val="superscript"/>
              </w:rPr>
              <w:t>3</w:t>
            </w:r>
            <w:r>
              <w:rPr>
                <w:rFonts w:hint="eastAsia"/>
              </w:rPr>
              <w:t>/d（60m</w:t>
            </w:r>
            <w:r>
              <w:rPr>
                <w:rFonts w:hint="eastAsia"/>
                <w:vertAlign w:val="superscript"/>
              </w:rPr>
              <w:t>3</w:t>
            </w:r>
            <w:r>
              <w:rPr>
                <w:rFonts w:hint="eastAsia"/>
              </w:rPr>
              <w:t>/a）。其中80%的水被糯米吸收进入产品中，约产生20%废水，泡米废水产生量0.04m</w:t>
            </w:r>
            <w:r>
              <w:rPr>
                <w:rFonts w:hint="eastAsia"/>
                <w:vertAlign w:val="superscript"/>
              </w:rPr>
              <w:t>3</w:t>
            </w:r>
            <w:r>
              <w:rPr>
                <w:rFonts w:hint="eastAsia"/>
              </w:rPr>
              <w:t>/d（12m</w:t>
            </w:r>
            <w:r>
              <w:rPr>
                <w:rFonts w:hint="eastAsia"/>
                <w:vertAlign w:val="superscript"/>
              </w:rPr>
              <w:t>3</w:t>
            </w:r>
            <w:r>
              <w:rPr>
                <w:rFonts w:hint="eastAsia"/>
              </w:rPr>
              <w:t>/a）。</w:t>
            </w:r>
          </w:p>
          <w:p w14:paraId="6A605569">
            <w:r>
              <w:rPr>
                <w:rFonts w:hint="eastAsia"/>
              </w:rPr>
              <w:t>③纯净水设备用水</w:t>
            </w:r>
          </w:p>
          <w:p w14:paraId="0CB998DB">
            <w:pPr>
              <w:rPr>
                <w:color w:val="0000FF"/>
                <w:highlight w:val="yellow"/>
              </w:rPr>
            </w:pPr>
            <w:r>
              <w:rPr>
                <w:rFonts w:hint="eastAsia"/>
                <w:color w:val="0000FF"/>
              </w:rPr>
              <w:t>根据建设单位提供资料，本项目蒸汽发生器规格为0.03t/h，每天工作3小时，年工作300天，则蒸汽发生器用水为0.09m</w:t>
            </w:r>
            <w:r>
              <w:rPr>
                <w:rFonts w:hint="eastAsia"/>
                <w:color w:val="0000FF"/>
                <w:vertAlign w:val="superscript"/>
              </w:rPr>
              <w:t>3</w:t>
            </w:r>
            <w:r>
              <w:rPr>
                <w:rFonts w:hint="eastAsia"/>
                <w:color w:val="0000FF"/>
              </w:rPr>
              <w:t>/d（27m</w:t>
            </w:r>
            <w:r>
              <w:rPr>
                <w:rFonts w:hint="eastAsia"/>
                <w:color w:val="0000FF"/>
                <w:vertAlign w:val="superscript"/>
              </w:rPr>
              <w:t>3</w:t>
            </w:r>
            <w:r>
              <w:rPr>
                <w:rFonts w:hint="eastAsia"/>
                <w:color w:val="0000FF"/>
              </w:rPr>
              <w:t>/a）。蒸汽发生器所使用的水先经过蒸汽发生器配置的纯净水设备处理后再进入蒸汽发生器，纯净水设备采用反渗透的方式净水，根据硬水水质1~2年定期更换滤膜。该设备软水处理效率为70%，蒸汽发生器用水0.09m</w:t>
            </w:r>
            <w:r>
              <w:rPr>
                <w:rFonts w:hint="eastAsia"/>
                <w:color w:val="0000FF"/>
                <w:vertAlign w:val="superscript"/>
              </w:rPr>
              <w:t>3</w:t>
            </w:r>
            <w:r>
              <w:rPr>
                <w:rFonts w:hint="eastAsia"/>
                <w:color w:val="0000FF"/>
              </w:rPr>
              <w:t>/d，则纯净水设备用水量为0.13m</w:t>
            </w:r>
            <w:r>
              <w:rPr>
                <w:rFonts w:hint="eastAsia"/>
                <w:color w:val="0000FF"/>
                <w:vertAlign w:val="superscript"/>
              </w:rPr>
              <w:t>3</w:t>
            </w:r>
            <w:r>
              <w:rPr>
                <w:rFonts w:hint="eastAsia"/>
                <w:color w:val="0000FF"/>
              </w:rPr>
              <w:t>/d（39m</w:t>
            </w:r>
            <w:r>
              <w:rPr>
                <w:rFonts w:hint="eastAsia"/>
                <w:color w:val="0000FF"/>
                <w:vertAlign w:val="superscript"/>
              </w:rPr>
              <w:t>3</w:t>
            </w:r>
            <w:r>
              <w:rPr>
                <w:rFonts w:hint="eastAsia"/>
                <w:color w:val="0000FF"/>
              </w:rPr>
              <w:t>/a）。纯净水设备浓水产生率约为30%，则每天产生的废水量约为0.04m</w:t>
            </w:r>
            <w:r>
              <w:rPr>
                <w:rFonts w:hint="eastAsia"/>
                <w:color w:val="0000FF"/>
                <w:vertAlign w:val="superscript"/>
              </w:rPr>
              <w:t>3</w:t>
            </w:r>
            <w:r>
              <w:rPr>
                <w:rFonts w:hint="eastAsia"/>
                <w:color w:val="0000FF"/>
              </w:rPr>
              <w:t>/d（12m</w:t>
            </w:r>
            <w:r>
              <w:rPr>
                <w:rFonts w:hint="eastAsia"/>
                <w:color w:val="0000FF"/>
                <w:vertAlign w:val="superscript"/>
              </w:rPr>
              <w:t>3</w:t>
            </w:r>
            <w:r>
              <w:rPr>
                <w:rFonts w:hint="eastAsia"/>
                <w:color w:val="0000FF"/>
              </w:rPr>
              <w:t>/a），该废水全部用于地面清洁且添加新鲜水2.398m</w:t>
            </w:r>
            <w:r>
              <w:rPr>
                <w:rFonts w:hint="eastAsia"/>
                <w:color w:val="0000FF"/>
                <w:vertAlign w:val="superscript"/>
              </w:rPr>
              <w:t>3</w:t>
            </w:r>
            <w:r>
              <w:rPr>
                <w:rFonts w:hint="eastAsia"/>
                <w:color w:val="0000FF"/>
              </w:rPr>
              <w:t>/d（719.4m</w:t>
            </w:r>
            <w:r>
              <w:rPr>
                <w:rFonts w:hint="eastAsia"/>
                <w:color w:val="0000FF"/>
                <w:vertAlign w:val="superscript"/>
              </w:rPr>
              <w:t>3</w:t>
            </w:r>
            <w:r>
              <w:rPr>
                <w:rFonts w:hint="eastAsia"/>
                <w:color w:val="0000FF"/>
              </w:rPr>
              <w:t>/a）作为地面清洁用水。</w:t>
            </w:r>
          </w:p>
          <w:p w14:paraId="4729B8C3">
            <w:r>
              <w:rPr>
                <w:rFonts w:hint="eastAsia"/>
              </w:rPr>
              <w:t>④原辅料清洗用水</w:t>
            </w:r>
          </w:p>
          <w:p w14:paraId="26A1FB51">
            <w:pPr>
              <w:pStyle w:val="6"/>
              <w:rPr>
                <w:color w:val="0000FF"/>
              </w:rPr>
            </w:pPr>
            <w:r>
              <w:rPr>
                <w:rFonts w:hint="eastAsia"/>
                <w:color w:val="0000FF"/>
              </w:rPr>
              <w:t>项目外购葱、姜、蒜、蔬菜、粉丝后，需对外购的食材进行清洗然后加工。</w:t>
            </w:r>
            <w:r>
              <w:rPr>
                <w:rFonts w:hint="eastAsia"/>
              </w:rPr>
              <w:t>根据建设单位提供资料所需水量为1t/t-原辅料，清洗两遍，则</w:t>
            </w:r>
            <w:r>
              <w:rPr>
                <w:rFonts w:hint="eastAsia"/>
                <w:color w:val="0000FF"/>
              </w:rPr>
              <w:t>原辅料清洗用水约为4.63m</w:t>
            </w:r>
            <w:r>
              <w:rPr>
                <w:rFonts w:hint="eastAsia"/>
                <w:color w:val="0000FF"/>
                <w:vertAlign w:val="superscript"/>
              </w:rPr>
              <w:t>3</w:t>
            </w:r>
            <w:r>
              <w:rPr>
                <w:rFonts w:hint="eastAsia"/>
                <w:color w:val="0000FF"/>
              </w:rPr>
              <w:t>/d（1390m</w:t>
            </w:r>
            <w:r>
              <w:rPr>
                <w:rFonts w:hint="eastAsia"/>
                <w:color w:val="0000FF"/>
                <w:vertAlign w:val="superscript"/>
              </w:rPr>
              <w:t>3</w:t>
            </w:r>
            <w:r>
              <w:rPr>
                <w:rFonts w:hint="eastAsia"/>
                <w:color w:val="0000FF"/>
              </w:rPr>
              <w:t>/a）。产污系数为0.8，则原辅料废水量为3.71m</w:t>
            </w:r>
            <w:r>
              <w:rPr>
                <w:rFonts w:hint="eastAsia"/>
                <w:color w:val="0000FF"/>
                <w:vertAlign w:val="superscript"/>
              </w:rPr>
              <w:t>3</w:t>
            </w:r>
            <w:r>
              <w:rPr>
                <w:rFonts w:hint="eastAsia"/>
                <w:color w:val="0000FF"/>
              </w:rPr>
              <w:t>/d（1112m</w:t>
            </w:r>
            <w:r>
              <w:rPr>
                <w:rFonts w:hint="eastAsia"/>
                <w:color w:val="0000FF"/>
                <w:vertAlign w:val="superscript"/>
              </w:rPr>
              <w:t>3</w:t>
            </w:r>
            <w:r>
              <w:rPr>
                <w:rFonts w:hint="eastAsia"/>
                <w:color w:val="0000FF"/>
              </w:rPr>
              <w:t>/a）。</w:t>
            </w:r>
          </w:p>
          <w:p w14:paraId="2F330A2C">
            <w:pPr>
              <w:rPr>
                <w:color w:val="0000FF"/>
              </w:rPr>
            </w:pPr>
            <w:r>
              <w:rPr>
                <w:rFonts w:hint="eastAsia"/>
              </w:rPr>
              <w:t>⑤</w:t>
            </w:r>
            <w:r>
              <w:rPr>
                <w:rFonts w:hint="eastAsia"/>
                <w:color w:val="0000FF"/>
              </w:rPr>
              <w:t>解冻用水</w:t>
            </w:r>
          </w:p>
          <w:p w14:paraId="541A1938">
            <w:pPr>
              <w:pStyle w:val="6"/>
              <w:rPr>
                <w:color w:val="0000FF"/>
              </w:rPr>
            </w:pPr>
            <w:r>
              <w:rPr>
                <w:rFonts w:hint="eastAsia"/>
                <w:color w:val="0000FF"/>
              </w:rPr>
              <w:t>本项目肉类需要用水进行解冻，肉类年用65t，所需水量按照1.5t/t-肉，则肉类解冻用水97.5m</w:t>
            </w:r>
            <w:r>
              <w:rPr>
                <w:rFonts w:hint="eastAsia"/>
                <w:color w:val="0000FF"/>
                <w:vertAlign w:val="superscript"/>
              </w:rPr>
              <w:t>3</w:t>
            </w:r>
            <w:r>
              <w:rPr>
                <w:rFonts w:hint="eastAsia"/>
                <w:color w:val="0000FF"/>
              </w:rPr>
              <w:t>/a。产污系数为0.8，则原辅料废水量为0.26m</w:t>
            </w:r>
            <w:r>
              <w:rPr>
                <w:rFonts w:hint="eastAsia"/>
                <w:color w:val="0000FF"/>
                <w:vertAlign w:val="superscript"/>
              </w:rPr>
              <w:t>3</w:t>
            </w:r>
            <w:r>
              <w:rPr>
                <w:rFonts w:hint="eastAsia"/>
                <w:color w:val="0000FF"/>
              </w:rPr>
              <w:t>/d（78m</w:t>
            </w:r>
            <w:r>
              <w:rPr>
                <w:rFonts w:hint="eastAsia"/>
                <w:color w:val="0000FF"/>
                <w:vertAlign w:val="superscript"/>
              </w:rPr>
              <w:t>3</w:t>
            </w:r>
            <w:r>
              <w:rPr>
                <w:rFonts w:hint="eastAsia"/>
                <w:color w:val="0000FF"/>
              </w:rPr>
              <w:t>/a）。</w:t>
            </w:r>
          </w:p>
          <w:p w14:paraId="08464E04">
            <w:r>
              <w:rPr>
                <w:rFonts w:hint="eastAsia"/>
              </w:rPr>
              <w:t>⑥设备清洗用水</w:t>
            </w:r>
          </w:p>
          <w:p w14:paraId="0C2BACAC">
            <w:r>
              <w:rPr>
                <w:rFonts w:hint="eastAsia"/>
              </w:rPr>
              <w:t>项目生产设备每天下班前需用洗洁精进行清洗，此外内包间柜台清洗后还需用酒精进行消毒，根据建设单位提供资料，烧麦设备、肉馅设备每天清洗，用水约2m</w:t>
            </w:r>
            <w:r>
              <w:rPr>
                <w:rFonts w:hint="eastAsia"/>
                <w:vertAlign w:val="superscript"/>
              </w:rPr>
              <w:t>3</w:t>
            </w:r>
            <w:r>
              <w:rPr>
                <w:rFonts w:hint="eastAsia"/>
              </w:rPr>
              <w:t>/d（600m</w:t>
            </w:r>
            <w:r>
              <w:rPr>
                <w:rFonts w:hint="eastAsia"/>
                <w:vertAlign w:val="superscript"/>
              </w:rPr>
              <w:t>3</w:t>
            </w:r>
            <w:r>
              <w:rPr>
                <w:rFonts w:hint="eastAsia"/>
              </w:rPr>
              <w:t>/a）。产污系数为0.8，则设备清洗废水量为1.6m</w:t>
            </w:r>
            <w:r>
              <w:rPr>
                <w:rFonts w:hint="eastAsia"/>
                <w:vertAlign w:val="superscript"/>
              </w:rPr>
              <w:t>3</w:t>
            </w:r>
            <w:r>
              <w:rPr>
                <w:rFonts w:hint="eastAsia"/>
              </w:rPr>
              <w:t>/d（480m</w:t>
            </w:r>
            <w:r>
              <w:rPr>
                <w:rFonts w:hint="eastAsia"/>
                <w:vertAlign w:val="superscript"/>
              </w:rPr>
              <w:t>3</w:t>
            </w:r>
            <w:r>
              <w:rPr>
                <w:rFonts w:hint="eastAsia"/>
              </w:rPr>
              <w:t xml:space="preserve">/a）。    </w:t>
            </w:r>
          </w:p>
          <w:p w14:paraId="028C0553">
            <w:r>
              <w:rPr>
                <w:rFonts w:hint="eastAsia"/>
              </w:rPr>
              <w:t>⑦地面清洗用水</w:t>
            </w:r>
          </w:p>
          <w:p w14:paraId="50B4F587">
            <w:pPr>
              <w:rPr>
                <w:color w:val="0000FF"/>
              </w:rPr>
            </w:pPr>
            <w:r>
              <w:rPr>
                <w:rFonts w:hint="eastAsia"/>
                <w:color w:val="0000FF"/>
              </w:rPr>
              <w:t>本项目参考《建筑给水排水设计标准》（GB 50015-2019）中停车库地面冲洗水用水定额，2~3L/m</w:t>
            </w:r>
            <w:r>
              <w:rPr>
                <w:rFonts w:hint="eastAsia"/>
                <w:color w:val="0000FF"/>
                <w:vertAlign w:val="superscript"/>
              </w:rPr>
              <w:t>2</w:t>
            </w:r>
            <w:r>
              <w:rPr>
                <w:rFonts w:hint="eastAsia"/>
                <w:color w:val="0000FF"/>
              </w:rPr>
              <w:t>·次，由于本项目厂房地面主要采取拖洗的方式进行清洁，其中拌馅间需要进行冲洗，针对有油脂的地面需用洗洁精进行清洗，地面进行2次清洗，按用水定额3L/m</w:t>
            </w:r>
            <w:r>
              <w:rPr>
                <w:rFonts w:hint="eastAsia"/>
                <w:color w:val="0000FF"/>
                <w:vertAlign w:val="superscript"/>
              </w:rPr>
              <w:t>2</w:t>
            </w:r>
            <w:r>
              <w:rPr>
                <w:rFonts w:hint="eastAsia"/>
                <w:color w:val="0000FF"/>
              </w:rPr>
              <w:t>·次计算，需要清洁的面积约405m</w:t>
            </w:r>
            <w:r>
              <w:rPr>
                <w:rFonts w:hint="eastAsia"/>
                <w:color w:val="0000FF"/>
                <w:vertAlign w:val="superscript"/>
              </w:rPr>
              <w:t>2</w:t>
            </w:r>
            <w:r>
              <w:rPr>
                <w:rFonts w:hint="eastAsia"/>
                <w:color w:val="0000FF"/>
              </w:rPr>
              <w:t>，则地面清洗用水为2.43m</w:t>
            </w:r>
            <w:r>
              <w:rPr>
                <w:rFonts w:hint="eastAsia"/>
                <w:color w:val="0000FF"/>
                <w:vertAlign w:val="superscript"/>
              </w:rPr>
              <w:t>3</w:t>
            </w:r>
            <w:r>
              <w:rPr>
                <w:rFonts w:hint="eastAsia"/>
                <w:color w:val="0000FF"/>
              </w:rPr>
              <w:t>/d（729m</w:t>
            </w:r>
            <w:r>
              <w:rPr>
                <w:rFonts w:hint="eastAsia"/>
                <w:color w:val="0000FF"/>
                <w:vertAlign w:val="superscript"/>
              </w:rPr>
              <w:t>3</w:t>
            </w:r>
            <w:r>
              <w:rPr>
                <w:rFonts w:hint="eastAsia"/>
                <w:color w:val="0000FF"/>
              </w:rPr>
              <w:t>/a）。</w:t>
            </w:r>
          </w:p>
          <w:p w14:paraId="493C149C">
            <w:r>
              <w:rPr>
                <w:rFonts w:hint="eastAsia"/>
                <w:color w:val="0000FF"/>
              </w:rPr>
              <w:t>⑧</w:t>
            </w:r>
            <w:r>
              <w:rPr>
                <w:rFonts w:hint="eastAsia"/>
              </w:rPr>
              <w:t>员工消毒用水</w:t>
            </w:r>
          </w:p>
          <w:p w14:paraId="20EF89FA">
            <w:r>
              <w:rPr>
                <w:rFonts w:hint="eastAsia"/>
              </w:rPr>
              <w:t>本项目员工进入车间后需使用消毒片对手等部位进行消毒。每次使用约2~4片，将消毒片投入清水中稀释后使用，清洗后废水随车间管网进入污水处理站处理。根据建设单位提供资料，洗手用水定额约为2L/人·d本项目职工约为10人，则洗手用水约为0.02m</w:t>
            </w:r>
            <w:r>
              <w:rPr>
                <w:rFonts w:hint="eastAsia"/>
                <w:vertAlign w:val="superscript"/>
              </w:rPr>
              <w:t>3</w:t>
            </w:r>
            <w:r>
              <w:rPr>
                <w:rFonts w:hint="eastAsia"/>
              </w:rPr>
              <w:t>/d（6m</w:t>
            </w:r>
            <w:r>
              <w:rPr>
                <w:rFonts w:hint="eastAsia"/>
                <w:vertAlign w:val="superscript"/>
              </w:rPr>
              <w:t>3</w:t>
            </w:r>
            <w:r>
              <w:rPr>
                <w:rFonts w:hint="eastAsia"/>
              </w:rPr>
              <w:t>/a）。产污系数为0.8，则洗手废水量为0.016m</w:t>
            </w:r>
            <w:r>
              <w:rPr>
                <w:rFonts w:hint="eastAsia"/>
                <w:vertAlign w:val="superscript"/>
              </w:rPr>
              <w:t>3</w:t>
            </w:r>
            <w:r>
              <w:rPr>
                <w:rFonts w:hint="eastAsia"/>
              </w:rPr>
              <w:t>/d（4.8m</w:t>
            </w:r>
            <w:r>
              <w:rPr>
                <w:rFonts w:hint="eastAsia"/>
                <w:vertAlign w:val="superscript"/>
              </w:rPr>
              <w:t>3</w:t>
            </w:r>
            <w:r>
              <w:rPr>
                <w:rFonts w:hint="eastAsia"/>
              </w:rPr>
              <w:t xml:space="preserve">/a）。    </w:t>
            </w:r>
          </w:p>
          <w:p w14:paraId="208D057A"/>
          <w:p w14:paraId="5D17E200"/>
          <w:p w14:paraId="7845FB2E"/>
          <w:p w14:paraId="2FC2041B"/>
          <w:p w14:paraId="412444F8"/>
          <w:p w14:paraId="2776AAAC">
            <w:pPr>
              <w:ind w:firstLine="0" w:firstLineChars="0"/>
            </w:pPr>
          </w:p>
          <w:p w14:paraId="0E7E5464">
            <w:r>
              <w:t>项目水量平衡情况详见下图所示。</w:t>
            </w:r>
          </w:p>
          <w:p w14:paraId="1F7833E2">
            <w:pPr>
              <w:spacing w:line="240" w:lineRule="auto"/>
              <w:ind w:firstLine="0" w:firstLineChars="0"/>
              <w:jc w:val="center"/>
              <w:rPr>
                <w:b/>
                <w:color w:val="0000FF"/>
              </w:rPr>
            </w:pPr>
            <w:r>
              <w:rPr>
                <w:b/>
                <w:color w:val="0000FF"/>
              </w:rPr>
              <w:object>
                <v:shape id="_x0000_i1025" o:spt="75" type="#_x0000_t75" style="height:465.9pt;width:388.05pt;" o:ole="t" filled="f" o:preferrelative="t" stroked="f" coordsize="21600,21600">
                  <v:path/>
                  <v:fill on="f" focussize="0,0"/>
                  <v:stroke on="f" joinstyle="miter"/>
                  <v:imagedata r:id="rId16" o:title=""/>
                  <o:lock v:ext="edit" aspectratio="f"/>
                  <w10:wrap type="none"/>
                  <w10:anchorlock/>
                </v:shape>
                <o:OLEObject Type="Embed" ProgID="Visio.Drawing.11" ShapeID="_x0000_i1025" DrawAspect="Content" ObjectID="_1468075725" r:id="rId15">
                  <o:LockedField>false</o:LockedField>
                </o:OLEObject>
              </w:object>
            </w:r>
          </w:p>
          <w:p w14:paraId="616B1760">
            <w:pPr>
              <w:pStyle w:val="32"/>
              <w:rPr>
                <w:rFonts w:hint="default"/>
                <w:color w:val="0000FF"/>
              </w:rPr>
            </w:pPr>
            <w:r>
              <w:rPr>
                <w:color w:val="0000FF"/>
              </w:rPr>
              <w:t>图2-1  水平衡图  单位：m</w:t>
            </w:r>
            <w:r>
              <w:rPr>
                <w:color w:val="0000FF"/>
                <w:vertAlign w:val="superscript"/>
              </w:rPr>
              <w:t>3</w:t>
            </w:r>
            <w:r>
              <w:rPr>
                <w:color w:val="0000FF"/>
              </w:rPr>
              <w:t>/d</w:t>
            </w:r>
          </w:p>
          <w:p w14:paraId="646CB981">
            <w:pPr>
              <w:ind w:firstLine="482"/>
              <w:rPr>
                <w:b/>
                <w:bCs/>
              </w:rPr>
            </w:pPr>
            <w:r>
              <w:rPr>
                <w:rFonts w:hint="eastAsia"/>
                <w:b/>
                <w:bCs/>
              </w:rPr>
              <w:t>8、项目平面布置</w:t>
            </w:r>
          </w:p>
          <w:p w14:paraId="3A157ED4">
            <w:pPr>
              <w:rPr>
                <w:rFonts w:hint="eastAsia" w:ascii="宋体" w:hAnsi="宋体" w:cs="宋体"/>
                <w:bCs/>
              </w:rPr>
            </w:pPr>
            <w:r>
              <w:rPr>
                <w:rFonts w:hint="eastAsia"/>
              </w:rPr>
              <w:t>项目拟建地位于安徽淮北相山经济开发区凤冠路3号，租赁已建厂房。厂区北侧由西向东分别设置配电室、厨房、检验室、会议室、仓库，中部由西向东分别设置肉类加工车间、蔬菜加工车间、器具清洗车间、包材间、原料暂存间，南侧由西向东分别设置冷藏间、拌馅车间、配料间、包装车间、烧麦车间、冷库、急冻库。</w:t>
            </w:r>
            <w:r>
              <w:t>该项目平面布局紧凑，各个功能区划明确但又相互连接</w:t>
            </w:r>
            <w:r>
              <w:rPr>
                <w:rFonts w:hint="eastAsia"/>
              </w:rPr>
              <w:t>。</w:t>
            </w:r>
            <w:r>
              <w:t>本项目的平面布置基本合理。</w:t>
            </w:r>
          </w:p>
        </w:tc>
      </w:tr>
      <w:tr w14:paraId="1A2B9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540" w:type="dxa"/>
            <w:vAlign w:val="center"/>
          </w:tcPr>
          <w:p w14:paraId="121975A0">
            <w:pPr>
              <w:adjustRightInd w:val="0"/>
              <w:snapToGrid w:val="0"/>
              <w:ind w:firstLine="0" w:firstLineChars="0"/>
              <w:rPr>
                <w:rFonts w:cs="宋体"/>
                <w:sz w:val="21"/>
                <w:szCs w:val="21"/>
              </w:rPr>
            </w:pPr>
            <w:r>
              <w:rPr>
                <w:rFonts w:hint="eastAsia" w:cs="宋体"/>
              </w:rPr>
              <w:t>工艺流程和产排污环节</w:t>
            </w:r>
          </w:p>
        </w:tc>
        <w:tc>
          <w:tcPr>
            <w:tcW w:w="7979" w:type="dxa"/>
          </w:tcPr>
          <w:p w14:paraId="75C23784">
            <w:pPr>
              <w:numPr>
                <w:ilvl w:val="0"/>
                <w:numId w:val="6"/>
              </w:numPr>
              <w:ind w:firstLine="482"/>
              <w:rPr>
                <w:b/>
                <w:bCs/>
              </w:rPr>
            </w:pPr>
            <w:r>
              <w:rPr>
                <w:rFonts w:hint="eastAsia"/>
                <w:b/>
                <w:bCs/>
              </w:rPr>
              <w:t>运营期</w:t>
            </w:r>
            <w:r>
              <w:rPr>
                <w:b/>
                <w:bCs/>
              </w:rPr>
              <w:t>生产工艺</w:t>
            </w:r>
            <w:r>
              <w:rPr>
                <w:rFonts w:hint="eastAsia"/>
                <w:b/>
                <w:bCs/>
              </w:rPr>
              <w:t>及产污环节</w:t>
            </w:r>
          </w:p>
          <w:p w14:paraId="36D8AC3A">
            <w:pPr>
              <w:pStyle w:val="11"/>
              <w:numPr>
                <w:ilvl w:val="0"/>
                <w:numId w:val="7"/>
              </w:numPr>
              <w:ind w:left="480" w:firstLine="480"/>
            </w:pPr>
            <w:r>
              <w:rPr>
                <w:rFonts w:hint="eastAsia"/>
              </w:rPr>
              <w:t>糯米蒸制生产工艺流程</w:t>
            </w:r>
          </w:p>
          <w:p w14:paraId="31540EDA">
            <w:pPr>
              <w:ind w:firstLine="0" w:firstLineChars="0"/>
              <w:jc w:val="center"/>
            </w:pPr>
            <w:r>
              <w:rPr>
                <w:rFonts w:hint="eastAsia"/>
              </w:rPr>
              <w:object>
                <v:shape id="_x0000_i1026" o:spt="75" type="#_x0000_t75" style="height:266.3pt;width:233.35pt;" o:ole="t" filled="f" o:preferrelative="t" stroked="f" coordsize="21600,21600">
                  <v:path/>
                  <v:fill on="f" focussize="0,0"/>
                  <v:stroke on="f" joinstyle="miter"/>
                  <v:imagedata r:id="rId18" o:title=""/>
                  <o:lock v:ext="edit" aspectratio="f"/>
                  <w10:wrap type="none"/>
                  <w10:anchorlock/>
                </v:shape>
                <o:OLEObject Type="Embed" ProgID="Visio.Drawing.11" ShapeID="_x0000_i1026" DrawAspect="Content" ObjectID="_1468075726" r:id="rId17">
                  <o:LockedField>false</o:LockedField>
                </o:OLEObject>
              </w:object>
            </w:r>
          </w:p>
          <w:p w14:paraId="00CA9C9D">
            <w:pPr>
              <w:pStyle w:val="11"/>
              <w:ind w:left="480" w:firstLine="482"/>
              <w:jc w:val="center"/>
              <w:rPr>
                <w:b/>
                <w:bCs/>
              </w:rPr>
            </w:pPr>
            <w:r>
              <w:rPr>
                <w:rFonts w:hint="eastAsia"/>
                <w:b/>
                <w:bCs/>
              </w:rPr>
              <w:t>图2-2  糯米蒸制生产工艺流程及产污节点图</w:t>
            </w:r>
          </w:p>
          <w:p w14:paraId="77E6D739">
            <w:r>
              <w:t>工艺流程简述</w:t>
            </w:r>
            <w:r>
              <w:rPr>
                <w:rFonts w:hint="eastAsia"/>
              </w:rPr>
              <w:t>：</w:t>
            </w:r>
          </w:p>
          <w:p w14:paraId="6DDB9BA5">
            <w:r>
              <w:t>原辅材料验收、脱包</w:t>
            </w:r>
            <w:r>
              <w:rPr>
                <w:rFonts w:hint="eastAsia"/>
              </w:rPr>
              <w:t>：</w:t>
            </w:r>
            <w:r>
              <w:t>外购糯米，按照验收标准进行验收。该工序主要产生的污染为</w:t>
            </w:r>
            <w:r>
              <w:rPr>
                <w:rFonts w:hint="eastAsia"/>
              </w:rPr>
              <w:t>废</w:t>
            </w:r>
            <w:r>
              <w:t>包装材料。</w:t>
            </w:r>
          </w:p>
          <w:p w14:paraId="1CEEEA93">
            <w:r>
              <w:t>泡米</w:t>
            </w:r>
            <w:r>
              <w:rPr>
                <w:rFonts w:hint="eastAsia"/>
              </w:rPr>
              <w:t>：</w:t>
            </w:r>
            <w:r>
              <w:t>糯米验收脱包后放入容器中加入水进行浸泡，水与米用量之比为1:1，浸泡时间为1个小时，根据建设单位提供资料，约80%的水进入米中会产生20%的泡米废水。该工序主要产生的污染为泡米废水。</w:t>
            </w:r>
          </w:p>
          <w:p w14:paraId="14A9D6F5">
            <w:r>
              <w:t>蒸制</w:t>
            </w:r>
            <w:r>
              <w:rPr>
                <w:rFonts w:hint="eastAsia"/>
              </w:rPr>
              <w:t>：</w:t>
            </w:r>
            <w:r>
              <w:t>泡好的米放入蒸盘中推入蒸箱</w:t>
            </w:r>
            <w:r>
              <w:rPr>
                <w:rFonts w:hint="eastAsia"/>
              </w:rPr>
              <w:t>采用电加热</w:t>
            </w:r>
            <w:r>
              <w:t>进行蒸制，泡好的米约带有80%的水，</w:t>
            </w:r>
            <w:r>
              <w:rPr>
                <w:rFonts w:hint="eastAsia"/>
              </w:rPr>
              <w:t>此工序会产生设备清洗废水、噪声</w:t>
            </w:r>
            <w:r>
              <w:t>。</w:t>
            </w:r>
          </w:p>
          <w:p w14:paraId="52A82867">
            <w:r>
              <w:t>拌米</w:t>
            </w:r>
            <w:r>
              <w:rPr>
                <w:rFonts w:hint="eastAsia"/>
              </w:rPr>
              <w:t>：</w:t>
            </w:r>
            <w:r>
              <w:t>蒸制完成的米倒入拌米机中进行</w:t>
            </w:r>
            <w:r>
              <w:rPr>
                <w:rFonts w:hint="eastAsia"/>
              </w:rPr>
              <w:t>搅拌</w:t>
            </w:r>
            <w:r>
              <w:t>，防止米粘连在一起</w:t>
            </w:r>
            <w:r>
              <w:rPr>
                <w:rFonts w:hint="eastAsia"/>
              </w:rPr>
              <w:t>影响</w:t>
            </w:r>
            <w:r>
              <w:t>品质。拌好的米用于后续烧麦馅料的制作。该工序主要产生的污染为设备清选废水、</w:t>
            </w:r>
            <w:r>
              <w:rPr>
                <w:rFonts w:hint="eastAsia"/>
              </w:rPr>
              <w:t>噪</w:t>
            </w:r>
            <w:r>
              <w:t>声。</w:t>
            </w:r>
          </w:p>
          <w:p w14:paraId="1822E87D">
            <w:pPr>
              <w:ind w:firstLine="0" w:firstLineChars="0"/>
              <w:jc w:val="center"/>
              <w:rPr>
                <w:rFonts w:hint="eastAsia" w:ascii="宋体" w:hAnsi="宋体" w:cs="宋体"/>
                <w:color w:val="0000FF"/>
              </w:rPr>
            </w:pPr>
            <w:r>
              <w:rPr>
                <w:rFonts w:hint="eastAsia" w:ascii="宋体" w:hAnsi="宋体" w:cs="宋体"/>
                <w:color w:val="0000FF"/>
              </w:rPr>
              <w:object>
                <v:shape id="_x0000_i1027" o:spt="75" type="#_x0000_t75" style="height:375.8pt;width:234.8pt;" o:ole="t" filled="f" o:preferrelative="t" stroked="f" coordsize="21600,21600">
                  <v:path/>
                  <v:fill on="f" focussize="0,0"/>
                  <v:stroke on="f" joinstyle="miter"/>
                  <v:imagedata r:id="rId20" o:title=""/>
                  <o:lock v:ext="edit" aspectratio="f"/>
                  <w10:wrap type="none"/>
                  <w10:anchorlock/>
                </v:shape>
                <o:OLEObject Type="Embed" ProgID="Visio.Drawing.11" ShapeID="_x0000_i1027" DrawAspect="Content" ObjectID="_1468075727" r:id="rId19">
                  <o:LockedField>false</o:LockedField>
                </o:OLEObject>
              </w:object>
            </w:r>
          </w:p>
          <w:p w14:paraId="0E3DBA90">
            <w:pPr>
              <w:pStyle w:val="11"/>
              <w:ind w:left="480" w:firstLine="482"/>
              <w:jc w:val="center"/>
              <w:rPr>
                <w:b/>
                <w:bCs/>
                <w:color w:val="0000FF"/>
              </w:rPr>
            </w:pPr>
            <w:r>
              <w:rPr>
                <w:rFonts w:hint="eastAsia"/>
                <w:b/>
                <w:bCs/>
                <w:color w:val="0000FF"/>
              </w:rPr>
              <w:t>图2-3  烧麦馅料生产工艺流程及产污节点图</w:t>
            </w:r>
          </w:p>
          <w:p w14:paraId="712ACDCC">
            <w:r>
              <w:rPr>
                <w:rFonts w:hint="eastAsia"/>
              </w:rPr>
              <w:t>工艺流程简述：</w:t>
            </w:r>
          </w:p>
          <w:p w14:paraId="122600C0">
            <w:r>
              <w:rPr>
                <w:rFonts w:hint="eastAsia"/>
              </w:rPr>
              <w:t>原辅材料验收、脱包：外购猪肉等原辅材料，按照验收标准进行验收该工序主要产生的污染为废包装材料。</w:t>
            </w:r>
          </w:p>
          <w:p w14:paraId="56F7801E">
            <w:r>
              <w:rPr>
                <w:rFonts w:hint="eastAsia"/>
              </w:rPr>
              <w:t>清洗解冻：外购猪肉（去皮）放置于原料冻库中，生产时先在自然状态下进行解冻，然后在水槽中进行人工清洗，方便后续猪肉的处理，此环节在清洗解冻间进行，清洗解冻好的猪肉放置于周转筐。该工序主要产生的污染为原辅料清洗废水。</w:t>
            </w:r>
          </w:p>
          <w:p w14:paraId="6FFAEBD7">
            <w:r>
              <w:rPr>
                <w:rFonts w:hint="eastAsia"/>
              </w:rPr>
              <w:t>前处理：清洗解冻后的猪肉进行切片切丁处理；首先将周转筐的猪肉放入切片机，由切片机将其切成片状，然后倒入切丁机中，由切丁机将片状的猪肉切成丁状。该工序主要产生的污染为设备清洗废水及噪声。</w:t>
            </w:r>
          </w:p>
          <w:p w14:paraId="08369B5C">
            <w:r>
              <w:rPr>
                <w:rFonts w:hint="eastAsia"/>
              </w:rPr>
              <w:t>炒制：将经过前处理后的猪肉倒入炒锅中进行炒制，同时加入一定比例的油、盐、酱油、味精等辅料以增添风味。此环节产生的油烟废气配置静电式油烟净化器处理，该工序主要产生的污染为油烟废气、设备清洗废水及噪声。</w:t>
            </w:r>
          </w:p>
          <w:p w14:paraId="31F2BC77">
            <w:r>
              <w:rPr>
                <w:rFonts w:hint="eastAsia"/>
              </w:rPr>
              <w:t>搅拌：将蒸制好的糯米与炒制完成的猪肉馅料倒入搅拌机中均匀混合形成烧麦馅料，用于后续烧麦的制作。该工序主要产生的污染为设备清洗废水及噪声。</w:t>
            </w:r>
          </w:p>
          <w:p w14:paraId="4834E2DE">
            <w:pPr>
              <w:pStyle w:val="11"/>
              <w:ind w:left="0" w:leftChars="0" w:firstLine="0" w:firstLineChars="0"/>
              <w:jc w:val="center"/>
            </w:pPr>
            <w:r>
              <w:object>
                <v:shape id="_x0000_i1028" o:spt="75" type="#_x0000_t75" style="height:372pt;width:241.6pt;" o:ole="t" filled="f" o:preferrelative="t" stroked="f" coordsize="21600,21600">
                  <v:path/>
                  <v:fill on="f" focussize="0,0"/>
                  <v:stroke on="f" joinstyle="miter"/>
                  <v:imagedata r:id="rId22" o:title=""/>
                  <o:lock v:ext="edit" aspectratio="f"/>
                  <w10:wrap type="none"/>
                  <w10:anchorlock/>
                </v:shape>
                <o:OLEObject Type="Embed" ProgID="Visio.Drawing.11" ShapeID="_x0000_i1028" DrawAspect="Content" ObjectID="_1468075728" r:id="rId21">
                  <o:LockedField>false</o:LockedField>
                </o:OLEObject>
              </w:object>
            </w:r>
          </w:p>
          <w:p w14:paraId="2FF03CFC">
            <w:pPr>
              <w:pStyle w:val="11"/>
              <w:ind w:left="480" w:firstLine="482"/>
              <w:jc w:val="center"/>
              <w:rPr>
                <w:b/>
                <w:bCs/>
              </w:rPr>
            </w:pPr>
            <w:r>
              <w:rPr>
                <w:rFonts w:hint="eastAsia"/>
                <w:b/>
                <w:bCs/>
              </w:rPr>
              <w:t>图2-4  烧麦生产工艺流程及产污节点图</w:t>
            </w:r>
          </w:p>
          <w:p w14:paraId="2E605D53">
            <w:r>
              <w:rPr>
                <w:rFonts w:hint="eastAsia"/>
              </w:rPr>
              <w:t>工艺流程简述：</w:t>
            </w:r>
          </w:p>
          <w:p w14:paraId="41E90175">
            <w:r>
              <w:rPr>
                <w:rFonts w:hint="eastAsia"/>
              </w:rPr>
              <w:t>成型：将烧麦馅料放入烧麦机中由烧麦机将烧麦馅料注入饺子皮中然后成型，成型后由人工放置于周转筐该工序主要产生的污染为设备清洗废水及噪声。</w:t>
            </w:r>
          </w:p>
          <w:p w14:paraId="22E9CA36">
            <w:r>
              <w:rPr>
                <w:rFonts w:hint="eastAsia"/>
              </w:rPr>
              <w:t>蒸制：成型后的烧麦由人工放置至蒸盘上，然后人工推入蒸箱中采用电加热，温度为100℃，蒸制10分钟。该工序主要产生的污染为设备清洗废水及噪声。</w:t>
            </w:r>
          </w:p>
          <w:p w14:paraId="7DFF31E3">
            <w:r>
              <w:rPr>
                <w:rFonts w:hint="eastAsia"/>
              </w:rPr>
              <w:t>自然冷却：蒸制好的烧麦需要冷却摊凉至常温后进行速冻，由人工将蒸制完成的烧麦推入摊凉间，使其自然冷却，冷却时间为1-2h。</w:t>
            </w:r>
          </w:p>
          <w:p w14:paraId="4229BB1D">
            <w:r>
              <w:rPr>
                <w:rFonts w:hint="eastAsia"/>
              </w:rPr>
              <w:t>速冻：自然冷却后的烧麦由人工推入速冻间，在零下30℃的条件下使用速冻机速冻半小时。该工序主要产生的污染为噪声。</w:t>
            </w:r>
          </w:p>
          <w:p w14:paraId="55FC25DE">
            <w:r>
              <w:rPr>
                <w:rFonts w:hint="eastAsia"/>
              </w:rPr>
              <w:t>内包：产品内包由人工对速冻后的饭团进行分拣包装，并用封口机进行封口。该工序主要产生的污染为废包装材料。</w:t>
            </w:r>
          </w:p>
          <w:p w14:paraId="4545A9CA">
            <w:r>
              <w:rPr>
                <w:rFonts w:hint="eastAsia"/>
              </w:rPr>
              <w:t>检验：内包后的成品人工放置在检验室，进行基础检验。检验主要为物理检验，即色泽、气味、体态、滋味等感官性指标及重量指标，不使用化学试剂等，该工序主要产生的污染为不合格产品。</w:t>
            </w:r>
          </w:p>
          <w:p w14:paraId="1C8F72B1">
            <w:r>
              <w:rPr>
                <w:rFonts w:hint="eastAsia"/>
              </w:rPr>
              <w:t>外包：经过检验合格后的烧麦批次进入外包间人工进行外包，包装好后贮存于成品冻库。该工序主要产生的污染为废包装材料、噪声。</w:t>
            </w:r>
          </w:p>
          <w:p w14:paraId="462FAEA4">
            <w:pPr>
              <w:ind w:firstLine="0" w:firstLineChars="0"/>
              <w:jc w:val="center"/>
            </w:pPr>
            <w:r>
              <w:rPr>
                <w:rFonts w:hint="eastAsia"/>
                <w:b/>
                <w:bCs/>
              </w:rPr>
              <w:object>
                <v:shape id="_x0000_i1029" o:spt="75" type="#_x0000_t75" style="height:383.95pt;width:306.85pt;" o:ole="t" filled="f" o:preferrelative="t" stroked="f" coordsize="21600,21600">
                  <v:path/>
                  <v:fill on="f" focussize="0,0"/>
                  <v:stroke on="f" joinstyle="miter"/>
                  <v:imagedata r:id="rId24" o:title=""/>
                  <o:lock v:ext="edit" aspectratio="f"/>
                  <w10:wrap type="none"/>
                  <w10:anchorlock/>
                </v:shape>
                <o:OLEObject Type="Embed" ProgID="Visio.Drawing.11" ShapeID="_x0000_i1029" DrawAspect="Content" ObjectID="_1468075729" r:id="rId23">
                  <o:LockedField>false</o:LockedField>
                </o:OLEObject>
              </w:object>
            </w:r>
          </w:p>
          <w:p w14:paraId="2E4BA837">
            <w:pPr>
              <w:ind w:firstLine="482"/>
              <w:jc w:val="center"/>
            </w:pPr>
            <w:r>
              <w:rPr>
                <w:rFonts w:hint="eastAsia"/>
                <w:b/>
                <w:bCs/>
              </w:rPr>
              <w:t>图2-5  包子馅料生产工艺流程及产污节点图</w:t>
            </w:r>
          </w:p>
          <w:p w14:paraId="27810945">
            <w:pPr>
              <w:widowControl/>
              <w:shd w:val="clear" w:color="auto" w:fill="FFFFFF"/>
              <w:ind w:firstLine="0" w:firstLineChars="0"/>
              <w:jc w:val="left"/>
            </w:pPr>
            <w:r>
              <w:rPr>
                <w:shd w:val="clear" w:color="auto" w:fill="FFFFFF"/>
                <w:lang w:bidi="ar"/>
              </w:rPr>
              <w:t>工艺流程简介：</w:t>
            </w:r>
          </w:p>
          <w:p w14:paraId="1C4D53E4">
            <w:r>
              <w:rPr>
                <w:rFonts w:hint="eastAsia"/>
              </w:rPr>
              <w:t>原材料检验：外购猪肉、粉丝、蔬菜等原辅材料，按照验收标准进行验收该工序主要产生的污染为废包装材料。</w:t>
            </w:r>
          </w:p>
          <w:p w14:paraId="5D9811AA">
            <w:pPr>
              <w:widowControl/>
              <w:shd w:val="clear" w:color="auto" w:fill="FFFFFF"/>
              <w:jc w:val="left"/>
              <w:rPr>
                <w:color w:val="0000FF"/>
              </w:rPr>
            </w:pPr>
            <w:r>
              <w:rPr>
                <w:rFonts w:hint="eastAsia"/>
                <w:color w:val="0000FF"/>
                <w:shd w:val="clear" w:color="auto" w:fill="FFFFFF"/>
                <w:lang w:bidi="ar"/>
              </w:rPr>
              <w:t>焯菜</w:t>
            </w:r>
            <w:r>
              <w:rPr>
                <w:color w:val="0000FF"/>
                <w:shd w:val="clear" w:color="auto" w:fill="FFFFFF"/>
                <w:lang w:bidi="ar"/>
              </w:rPr>
              <w:t>：</w:t>
            </w:r>
            <w:r>
              <w:rPr>
                <w:rFonts w:hint="eastAsia"/>
                <w:color w:val="0000FF"/>
                <w:shd w:val="clear" w:color="auto" w:fill="FFFFFF"/>
                <w:lang w:bidi="ar"/>
              </w:rPr>
              <w:t>蒸汽发生器产生的蒸汽通入不锈钢的槽中，让</w:t>
            </w:r>
            <w:r>
              <w:rPr>
                <w:color w:val="0000FF"/>
                <w:shd w:val="clear" w:color="auto" w:fill="FFFFFF"/>
                <w:lang w:bidi="ar"/>
              </w:rPr>
              <w:t>蔬菜与蒸汽接触，热量会传递到蔬菜上，使蔬菜的温度升高。高温的蒸汽可以杀死附着在蔬菜表面的细菌和微生物，提高食品的安全性</w:t>
            </w:r>
            <w:r>
              <w:rPr>
                <w:rFonts w:hint="eastAsia"/>
                <w:color w:val="0000FF"/>
                <w:shd w:val="clear" w:color="auto" w:fill="FFFFFF"/>
                <w:lang w:bidi="ar"/>
              </w:rPr>
              <w:t>。此工序会产生燃烧废气。</w:t>
            </w:r>
          </w:p>
          <w:p w14:paraId="2DEA9DAC">
            <w:pPr>
              <w:widowControl/>
              <w:shd w:val="clear" w:color="auto" w:fill="FFFFFF"/>
              <w:jc w:val="left"/>
              <w:rPr>
                <w:shd w:val="clear" w:color="auto" w:fill="FFFFFF"/>
                <w:lang w:bidi="ar"/>
              </w:rPr>
            </w:pPr>
            <w:r>
              <w:rPr>
                <w:rFonts w:hint="eastAsia"/>
                <w:shd w:val="clear" w:color="auto" w:fill="FFFFFF"/>
                <w:lang w:bidi="ar"/>
              </w:rPr>
              <w:t>清洗：对蔬菜、肉、粉丝进行进一步清洗，洗掉表面浮灰。此工序会产生原辅料清洗废水。</w:t>
            </w:r>
          </w:p>
          <w:p w14:paraId="1CAF8D14">
            <w:pPr>
              <w:pStyle w:val="11"/>
              <w:ind w:left="0" w:leftChars="0" w:firstLine="480"/>
            </w:pPr>
            <w:r>
              <w:rPr>
                <w:rFonts w:hint="eastAsia"/>
                <w:shd w:val="clear" w:color="auto" w:fill="FFFFFF"/>
                <w:lang w:bidi="ar"/>
              </w:rPr>
              <w:t>脱水：清洗之后菜表面有水分，需要用脱水机脱掉水分，便于后期馅料制作。此工序会产生脱水废水，回用于清洗工序。</w:t>
            </w:r>
          </w:p>
          <w:p w14:paraId="15C3F795">
            <w:pPr>
              <w:widowControl/>
              <w:shd w:val="clear" w:color="auto" w:fill="FFFFFF"/>
              <w:jc w:val="left"/>
            </w:pPr>
            <w:r>
              <w:rPr>
                <w:rFonts w:hint="eastAsia"/>
                <w:shd w:val="clear" w:color="auto" w:fill="FFFFFF"/>
                <w:lang w:bidi="ar"/>
              </w:rPr>
              <w:t>拌馅</w:t>
            </w:r>
            <w:r>
              <w:rPr>
                <w:shd w:val="clear" w:color="auto" w:fill="FFFFFF"/>
                <w:lang w:bidi="ar"/>
              </w:rPr>
              <w:t>：对原料进行称量、配制作为产品的馅料</w:t>
            </w:r>
            <w:r>
              <w:rPr>
                <w:rFonts w:hint="eastAsia"/>
                <w:shd w:val="clear" w:color="auto" w:fill="FFFFFF"/>
                <w:lang w:bidi="ar"/>
              </w:rPr>
              <w:t>，</w:t>
            </w:r>
            <w:r>
              <w:rPr>
                <w:rFonts w:hint="eastAsia"/>
              </w:rPr>
              <w:t>同时加入一定比例的油、盐、酱油、味精、辣椒面等辅料以增添风味。此工序会产生设备清洗废水。</w:t>
            </w:r>
          </w:p>
          <w:p w14:paraId="19FDD544">
            <w:pPr>
              <w:widowControl/>
              <w:shd w:val="clear" w:color="auto" w:fill="FFFFFF"/>
              <w:jc w:val="left"/>
            </w:pPr>
            <w:r>
              <w:rPr>
                <w:shd w:val="clear" w:color="auto" w:fill="FFFFFF"/>
                <w:lang w:bidi="ar"/>
              </w:rPr>
              <w:t>速冻：将内包好的</w:t>
            </w:r>
            <w:r>
              <w:rPr>
                <w:rFonts w:hint="eastAsia"/>
                <w:shd w:val="clear" w:color="auto" w:fill="FFFFFF"/>
                <w:lang w:bidi="ar"/>
              </w:rPr>
              <w:t>馅料</w:t>
            </w:r>
            <w:r>
              <w:rPr>
                <w:shd w:val="clear" w:color="auto" w:fill="FFFFFF"/>
                <w:lang w:bidi="ar"/>
              </w:rPr>
              <w:t>置于速冻库内速冻</w:t>
            </w:r>
            <w:r>
              <w:rPr>
                <w:rFonts w:hint="eastAsia"/>
                <w:shd w:val="clear" w:color="auto" w:fill="FFFFFF"/>
                <w:lang w:bidi="ar"/>
              </w:rPr>
              <w:t>，</w:t>
            </w:r>
            <w:r>
              <w:rPr>
                <w:shd w:val="clear" w:color="auto" w:fill="FFFFFF"/>
                <w:lang w:bidi="ar"/>
              </w:rPr>
              <w:t>待销。</w:t>
            </w:r>
          </w:p>
          <w:p w14:paraId="39EB45C7">
            <w:pPr>
              <w:ind w:firstLine="482"/>
              <w:jc w:val="center"/>
              <w:rPr>
                <w:b/>
                <w:bCs/>
                <w:color w:val="0000FF"/>
              </w:rPr>
            </w:pPr>
            <w:r>
              <w:rPr>
                <w:b/>
                <w:bCs/>
                <w:color w:val="0000FF"/>
              </w:rPr>
              <w:object>
                <v:shape id="_x0000_i1030" o:spt="75" type="#_x0000_t75" style="height:258.75pt;width:208.5pt;" o:ole="t" filled="f" o:preferrelative="t" stroked="f" coordsize="21600,21600">
                  <v:path/>
                  <v:fill on="f" focussize="0,0"/>
                  <v:stroke on="f" joinstyle="miter"/>
                  <v:imagedata r:id="rId26" o:title=""/>
                  <o:lock v:ext="edit" aspectratio="f"/>
                  <w10:wrap type="none"/>
                  <w10:anchorlock/>
                </v:shape>
                <o:OLEObject Type="Embed" ProgID="Visio.Drawing.11" ShapeID="_x0000_i1030" DrawAspect="Content" ObjectID="_1468075730" r:id="rId25">
                  <o:LockedField>false</o:LockedField>
                </o:OLEObject>
              </w:object>
            </w:r>
          </w:p>
          <w:p w14:paraId="11E0C65A">
            <w:pPr>
              <w:pStyle w:val="18"/>
              <w:spacing w:after="0" w:line="360" w:lineRule="auto"/>
              <w:ind w:firstLine="0" w:firstLineChars="0"/>
              <w:jc w:val="center"/>
              <w:rPr>
                <w:b/>
                <w:bCs/>
                <w:color w:val="0000FF"/>
              </w:rPr>
            </w:pPr>
            <w:r>
              <w:rPr>
                <w:b/>
                <w:color w:val="0000FF"/>
                <w:kern w:val="2"/>
              </w:rPr>
              <w:t>图2-</w:t>
            </w:r>
            <w:r>
              <w:rPr>
                <w:rFonts w:hint="eastAsia"/>
                <w:b/>
                <w:color w:val="0000FF"/>
                <w:kern w:val="2"/>
              </w:rPr>
              <w:t xml:space="preserve">6  </w:t>
            </w:r>
            <w:r>
              <w:rPr>
                <w:rFonts w:hint="eastAsia" w:ascii="宋体" w:hAnsi="宋体" w:cs="宋体"/>
                <w:b/>
                <w:color w:val="0000FF"/>
              </w:rPr>
              <w:t>本项目软水制备工艺流程及产污节点图</w:t>
            </w:r>
          </w:p>
          <w:p w14:paraId="7726231D">
            <w:pPr>
              <w:widowControl/>
              <w:jc w:val="left"/>
              <w:rPr>
                <w:color w:val="0000FF"/>
                <w:lang w:bidi="ar"/>
              </w:rPr>
            </w:pPr>
            <w:r>
              <w:rPr>
                <w:color w:val="0000FF"/>
                <w:lang w:bidi="ar"/>
              </w:rPr>
              <w:t xml:space="preserve">工艺流程说明： </w:t>
            </w:r>
          </w:p>
          <w:p w14:paraId="0D1E0720">
            <w:pPr>
              <w:jc w:val="left"/>
              <w:rPr>
                <w:color w:val="0000FF"/>
              </w:rPr>
            </w:pPr>
            <w:r>
              <w:rPr>
                <w:color w:val="0000FF"/>
              </w:rPr>
              <w:t>（1）预处理：</w:t>
            </w:r>
            <w:r>
              <w:rPr>
                <w:rFonts w:hint="eastAsia"/>
                <w:color w:val="0000FF"/>
              </w:rPr>
              <w:t>自来水先经过</w:t>
            </w:r>
            <w:r>
              <w:rPr>
                <w:color w:val="0000FF"/>
              </w:rPr>
              <w:t>砂滤器去除水中的悬浮物、沉淀物和一些较大的颗粒</w:t>
            </w:r>
            <w:r>
              <w:rPr>
                <w:rFonts w:hint="eastAsia"/>
                <w:color w:val="0000FF"/>
              </w:rPr>
              <w:t>，再经过</w:t>
            </w:r>
            <w:r>
              <w:rPr>
                <w:color w:val="0000FF"/>
              </w:rPr>
              <w:t>活性炭过滤器吸附水中的有机物、余氯、异味和色素；</w:t>
            </w:r>
            <w:r>
              <w:rPr>
                <w:rFonts w:hint="eastAsia"/>
                <w:color w:val="0000FF"/>
              </w:rPr>
              <w:t>最后经过</w:t>
            </w:r>
            <w:r>
              <w:rPr>
                <w:color w:val="0000FF"/>
              </w:rPr>
              <w:t>软化器通过离子交换去除水中的钙镁离子</w:t>
            </w:r>
            <w:r>
              <w:rPr>
                <w:rFonts w:hint="eastAsia"/>
                <w:color w:val="0000FF"/>
              </w:rPr>
              <w:t>，</w:t>
            </w:r>
            <w:r>
              <w:rPr>
                <w:color w:val="0000FF"/>
              </w:rPr>
              <w:t>降低水的硬度。</w:t>
            </w:r>
            <w:r>
              <w:rPr>
                <w:rFonts w:hint="eastAsia"/>
                <w:color w:val="0000FF"/>
              </w:rPr>
              <w:t>此工序会产生废</w:t>
            </w:r>
            <w:r>
              <w:rPr>
                <w:color w:val="0000FF"/>
              </w:rPr>
              <w:t>砂滤器</w:t>
            </w:r>
            <w:r>
              <w:rPr>
                <w:rFonts w:hint="eastAsia"/>
                <w:color w:val="0000FF"/>
              </w:rPr>
              <w:t>、废</w:t>
            </w:r>
            <w:r>
              <w:rPr>
                <w:color w:val="0000FF"/>
              </w:rPr>
              <w:t>活性炭过滤器</w:t>
            </w:r>
            <w:r>
              <w:rPr>
                <w:rFonts w:hint="eastAsia"/>
                <w:color w:val="0000FF"/>
              </w:rPr>
              <w:t>、废</w:t>
            </w:r>
            <w:r>
              <w:rPr>
                <w:color w:val="0000FF"/>
              </w:rPr>
              <w:t>软化器</w:t>
            </w:r>
            <w:r>
              <w:rPr>
                <w:rFonts w:hint="eastAsia"/>
                <w:color w:val="0000FF"/>
              </w:rPr>
              <w:t>。</w:t>
            </w:r>
          </w:p>
          <w:p w14:paraId="54040634">
            <w:pPr>
              <w:pStyle w:val="13"/>
              <w:spacing w:line="360" w:lineRule="auto"/>
              <w:ind w:firstLine="480"/>
              <w:rPr>
                <w:bCs w:val="0"/>
                <w:color w:val="0000FF"/>
                <w:sz w:val="24"/>
                <w:szCs w:val="24"/>
              </w:rPr>
            </w:pPr>
            <w:r>
              <w:rPr>
                <w:bCs w:val="0"/>
                <w:color w:val="0000FF"/>
                <w:sz w:val="24"/>
                <w:szCs w:val="24"/>
              </w:rPr>
              <w:t>（2）反渗透（RO）处理：</w:t>
            </w:r>
            <w:r>
              <w:rPr>
                <w:rFonts w:hint="eastAsia"/>
                <w:bCs w:val="0"/>
                <w:color w:val="0000FF"/>
                <w:sz w:val="24"/>
                <w:szCs w:val="24"/>
              </w:rPr>
              <w:t>利用高压泵</w:t>
            </w:r>
            <w:r>
              <w:rPr>
                <w:bCs w:val="0"/>
                <w:color w:val="0000FF"/>
                <w:sz w:val="24"/>
                <w:szCs w:val="24"/>
              </w:rPr>
              <w:t>提供足够的压力，使水通过RO膜</w:t>
            </w:r>
            <w:r>
              <w:rPr>
                <w:rFonts w:hint="eastAsia"/>
                <w:bCs w:val="0"/>
                <w:color w:val="0000FF"/>
                <w:sz w:val="24"/>
                <w:szCs w:val="24"/>
              </w:rPr>
              <w:t>，</w:t>
            </w:r>
            <w:r>
              <w:rPr>
                <w:bCs w:val="0"/>
                <w:color w:val="0000FF"/>
                <w:sz w:val="24"/>
                <w:szCs w:val="24"/>
              </w:rPr>
              <w:t>去除水中的大部分溶解固体、细菌、病毒等</w:t>
            </w:r>
            <w:r>
              <w:rPr>
                <w:bCs w:val="0"/>
                <w:color w:val="0000FF"/>
                <w:kern w:val="2"/>
                <w:sz w:val="24"/>
                <w:szCs w:val="24"/>
              </w:rPr>
              <w:t>。</w:t>
            </w:r>
            <w:r>
              <w:rPr>
                <w:rFonts w:hint="eastAsia"/>
                <w:bCs w:val="0"/>
                <w:color w:val="0000FF"/>
                <w:kern w:val="2"/>
                <w:sz w:val="24"/>
                <w:szCs w:val="24"/>
              </w:rPr>
              <w:t>此工序</w:t>
            </w:r>
            <w:r>
              <w:rPr>
                <w:rFonts w:hint="eastAsia"/>
                <w:bCs w:val="0"/>
                <w:color w:val="0000FF"/>
                <w:sz w:val="24"/>
                <w:szCs w:val="24"/>
              </w:rPr>
              <w:t>会产生废RO膜、废水。</w:t>
            </w:r>
          </w:p>
          <w:p w14:paraId="396EDFD8">
            <w:pPr>
              <w:rPr>
                <w:color w:val="0000FF"/>
              </w:rPr>
            </w:pPr>
            <w:r>
              <w:rPr>
                <w:color w:val="0000FF"/>
              </w:rPr>
              <w:t>（3）后处理：</w:t>
            </w:r>
            <w:r>
              <w:rPr>
                <w:rFonts w:hint="eastAsia"/>
                <w:color w:val="0000FF"/>
              </w:rPr>
              <w:t>通过设备自带的</w:t>
            </w:r>
            <w:r>
              <w:rPr>
                <w:color w:val="0000FF"/>
              </w:rPr>
              <w:t>紫外线消毒器杀灭水中的细菌和病毒。</w:t>
            </w:r>
          </w:p>
          <w:p w14:paraId="6D8E2AF9">
            <w:pPr>
              <w:rPr>
                <w:rFonts w:hint="eastAsia" w:ascii="宋体" w:hAnsi="宋体" w:cs="宋体"/>
                <w:color w:val="0000FF"/>
              </w:rPr>
            </w:pPr>
            <w:r>
              <w:rPr>
                <w:color w:val="0000FF"/>
              </w:rPr>
              <w:t>（4）储存：储存经过处理的高纯度水。</w:t>
            </w:r>
          </w:p>
          <w:p w14:paraId="02137391">
            <w:pPr>
              <w:rPr>
                <w:rFonts w:hint="eastAsia" w:ascii="宋体" w:hAnsi="宋体" w:cs="宋体"/>
              </w:rPr>
            </w:pPr>
            <w:r>
              <w:rPr>
                <w:rFonts w:hint="eastAsia" w:ascii="宋体" w:hAnsi="宋体" w:cs="宋体"/>
              </w:rPr>
              <w:t>综上，本项目产污环节统计如下：</w:t>
            </w:r>
          </w:p>
          <w:p w14:paraId="3F4544BD">
            <w:pPr>
              <w:pStyle w:val="32"/>
              <w:rPr>
                <w:rFonts w:hint="default"/>
              </w:rPr>
            </w:pPr>
            <w:r>
              <w:t>表2-6  项目产污情况统计一览表</w:t>
            </w:r>
          </w:p>
          <w:tbl>
            <w:tblPr>
              <w:tblStyle w:val="22"/>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56"/>
              <w:gridCol w:w="1126"/>
              <w:gridCol w:w="1958"/>
              <w:gridCol w:w="1749"/>
              <w:gridCol w:w="1324"/>
            </w:tblGrid>
            <w:tr w14:paraId="39CC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1" w:type="pct"/>
                  <w:vAlign w:val="center"/>
                </w:tcPr>
                <w:p w14:paraId="5F6ACFF1">
                  <w:pPr>
                    <w:pStyle w:val="29"/>
                  </w:pPr>
                  <w:r>
                    <w:t>项目</w:t>
                  </w:r>
                </w:p>
              </w:tc>
              <w:tc>
                <w:tcPr>
                  <w:tcW w:w="1475" w:type="pct"/>
                  <w:gridSpan w:val="2"/>
                  <w:vAlign w:val="center"/>
                </w:tcPr>
                <w:p w14:paraId="1FB833C2">
                  <w:pPr>
                    <w:pStyle w:val="29"/>
                  </w:pPr>
                  <w:r>
                    <w:t>产污工序</w:t>
                  </w:r>
                </w:p>
              </w:tc>
              <w:tc>
                <w:tcPr>
                  <w:tcW w:w="1265" w:type="pct"/>
                  <w:vAlign w:val="center"/>
                </w:tcPr>
                <w:p w14:paraId="78A65FD5">
                  <w:pPr>
                    <w:pStyle w:val="29"/>
                  </w:pPr>
                  <w:r>
                    <w:t>污染物</w:t>
                  </w:r>
                </w:p>
              </w:tc>
              <w:tc>
                <w:tcPr>
                  <w:tcW w:w="1131" w:type="pct"/>
                  <w:vAlign w:val="center"/>
                </w:tcPr>
                <w:p w14:paraId="21B75DB9">
                  <w:pPr>
                    <w:pStyle w:val="29"/>
                  </w:pPr>
                  <w:r>
                    <w:t>处理措施</w:t>
                  </w:r>
                </w:p>
              </w:tc>
              <w:tc>
                <w:tcPr>
                  <w:tcW w:w="856" w:type="pct"/>
                  <w:vAlign w:val="center"/>
                </w:tcPr>
                <w:p w14:paraId="1293590D">
                  <w:pPr>
                    <w:pStyle w:val="29"/>
                  </w:pPr>
                  <w:r>
                    <w:t>排放去向</w:t>
                  </w:r>
                </w:p>
              </w:tc>
            </w:tr>
            <w:tr w14:paraId="1809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restart"/>
                  <w:vAlign w:val="center"/>
                </w:tcPr>
                <w:p w14:paraId="647022AB">
                  <w:pPr>
                    <w:pStyle w:val="29"/>
                  </w:pPr>
                </w:p>
              </w:tc>
              <w:tc>
                <w:tcPr>
                  <w:tcW w:w="747" w:type="pct"/>
                  <w:shd w:val="clear" w:color="auto" w:fill="auto"/>
                  <w:vAlign w:val="center"/>
                </w:tcPr>
                <w:p w14:paraId="3CEEDFB9">
                  <w:pPr>
                    <w:pStyle w:val="29"/>
                  </w:pPr>
                  <w:r>
                    <w:t>半固态调味料</w:t>
                  </w:r>
                </w:p>
              </w:tc>
              <w:tc>
                <w:tcPr>
                  <w:tcW w:w="728" w:type="pct"/>
                  <w:shd w:val="clear" w:color="auto" w:fill="auto"/>
                  <w:vAlign w:val="center"/>
                </w:tcPr>
                <w:p w14:paraId="3309A1BC">
                  <w:pPr>
                    <w:pStyle w:val="29"/>
                  </w:pPr>
                  <w:r>
                    <w:t>炒制</w:t>
                  </w:r>
                </w:p>
              </w:tc>
              <w:tc>
                <w:tcPr>
                  <w:tcW w:w="1265" w:type="pct"/>
                  <w:shd w:val="clear" w:color="auto" w:fill="auto"/>
                  <w:vAlign w:val="center"/>
                </w:tcPr>
                <w:p w14:paraId="138E87DC">
                  <w:pPr>
                    <w:pStyle w:val="29"/>
                  </w:pPr>
                  <w:r>
                    <w:t>油烟废气</w:t>
                  </w:r>
                </w:p>
              </w:tc>
              <w:tc>
                <w:tcPr>
                  <w:tcW w:w="1131" w:type="pct"/>
                  <w:shd w:val="clear" w:color="auto" w:fill="auto"/>
                  <w:vAlign w:val="center"/>
                </w:tcPr>
                <w:p w14:paraId="5DFEBF3D">
                  <w:pPr>
                    <w:pStyle w:val="29"/>
                  </w:pPr>
                  <w:r>
                    <w:t>静电油烟处理器</w:t>
                  </w:r>
                </w:p>
              </w:tc>
              <w:tc>
                <w:tcPr>
                  <w:tcW w:w="856" w:type="pct"/>
                  <w:shd w:val="clear" w:color="auto" w:fill="auto"/>
                  <w:vAlign w:val="center"/>
                </w:tcPr>
                <w:p w14:paraId="10FB6978">
                  <w:pPr>
                    <w:pStyle w:val="29"/>
                  </w:pPr>
                  <w:r>
                    <w:t>DA001</w:t>
                  </w:r>
                </w:p>
              </w:tc>
            </w:tr>
            <w:tr w14:paraId="2FF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4DE57385">
                  <w:pPr>
                    <w:pStyle w:val="29"/>
                  </w:pPr>
                </w:p>
              </w:tc>
              <w:tc>
                <w:tcPr>
                  <w:tcW w:w="747" w:type="pct"/>
                  <w:vAlign w:val="center"/>
                </w:tcPr>
                <w:p w14:paraId="768D8782">
                  <w:pPr>
                    <w:pStyle w:val="29"/>
                  </w:pPr>
                  <w:r>
                    <w:t>蒸汽发生器</w:t>
                  </w:r>
                </w:p>
              </w:tc>
              <w:tc>
                <w:tcPr>
                  <w:tcW w:w="728" w:type="pct"/>
                  <w:vAlign w:val="center"/>
                </w:tcPr>
                <w:p w14:paraId="2E949065">
                  <w:pPr>
                    <w:pStyle w:val="29"/>
                  </w:pPr>
                  <w:r>
                    <w:t>燃气废气</w:t>
                  </w:r>
                </w:p>
              </w:tc>
              <w:tc>
                <w:tcPr>
                  <w:tcW w:w="1265" w:type="pct"/>
                  <w:vAlign w:val="center"/>
                </w:tcPr>
                <w:p w14:paraId="14744A6F">
                  <w:pPr>
                    <w:pStyle w:val="29"/>
                  </w:pPr>
                  <w:r>
                    <w:t>颗粒物、二氧化硫、氮氧化物</w:t>
                  </w:r>
                </w:p>
              </w:tc>
              <w:tc>
                <w:tcPr>
                  <w:tcW w:w="1131" w:type="pct"/>
                  <w:vAlign w:val="center"/>
                </w:tcPr>
                <w:p w14:paraId="4C5852B3">
                  <w:pPr>
                    <w:pStyle w:val="29"/>
                  </w:pPr>
                  <w:r>
                    <w:t>低氮燃烧器</w:t>
                  </w:r>
                </w:p>
              </w:tc>
              <w:tc>
                <w:tcPr>
                  <w:tcW w:w="856" w:type="pct"/>
                  <w:vAlign w:val="center"/>
                </w:tcPr>
                <w:p w14:paraId="736976B7">
                  <w:pPr>
                    <w:pStyle w:val="29"/>
                  </w:pPr>
                  <w:r>
                    <w:t>DA002</w:t>
                  </w:r>
                </w:p>
              </w:tc>
            </w:tr>
            <w:tr w14:paraId="4AB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restart"/>
                  <w:vAlign w:val="center"/>
                </w:tcPr>
                <w:p w14:paraId="7979F365">
                  <w:pPr>
                    <w:pStyle w:val="29"/>
                  </w:pPr>
                  <w:r>
                    <w:t>废水</w:t>
                  </w:r>
                </w:p>
              </w:tc>
              <w:tc>
                <w:tcPr>
                  <w:tcW w:w="1475" w:type="pct"/>
                  <w:gridSpan w:val="2"/>
                  <w:vAlign w:val="center"/>
                </w:tcPr>
                <w:p w14:paraId="567B5D88">
                  <w:pPr>
                    <w:pStyle w:val="29"/>
                  </w:pPr>
                  <w:r>
                    <w:t>员工生活污水</w:t>
                  </w:r>
                </w:p>
              </w:tc>
              <w:tc>
                <w:tcPr>
                  <w:tcW w:w="1265" w:type="pct"/>
                  <w:vMerge w:val="restart"/>
                  <w:vAlign w:val="center"/>
                </w:tcPr>
                <w:p w14:paraId="55BFFD5A">
                  <w:pPr>
                    <w:pStyle w:val="29"/>
                    <w:rPr>
                      <w:color w:val="0000FF"/>
                    </w:rPr>
                  </w:pPr>
                  <w:r>
                    <w:rPr>
                      <w:color w:val="0000FF"/>
                    </w:rPr>
                    <w:t>pH、COD、BOD</w:t>
                  </w:r>
                  <w:r>
                    <w:rPr>
                      <w:color w:val="0000FF"/>
                      <w:vertAlign w:val="subscript"/>
                    </w:rPr>
                    <w:t>5</w:t>
                  </w:r>
                  <w:r>
                    <w:rPr>
                      <w:color w:val="0000FF"/>
                    </w:rPr>
                    <w:t>、SS、NH</w:t>
                  </w:r>
                  <w:r>
                    <w:rPr>
                      <w:color w:val="0000FF"/>
                      <w:vertAlign w:val="subscript"/>
                    </w:rPr>
                    <w:t>3</w:t>
                  </w:r>
                  <w:r>
                    <w:rPr>
                      <w:color w:val="0000FF"/>
                    </w:rPr>
                    <w:t>-N、动植物油、总磷、LAS</w:t>
                  </w:r>
                </w:p>
              </w:tc>
              <w:tc>
                <w:tcPr>
                  <w:tcW w:w="1131" w:type="pct"/>
                  <w:vAlign w:val="center"/>
                </w:tcPr>
                <w:p w14:paraId="41674275">
                  <w:pPr>
                    <w:pStyle w:val="29"/>
                    <w:rPr>
                      <w:color w:val="0000FF"/>
                    </w:rPr>
                  </w:pPr>
                  <w:r>
                    <w:rPr>
                      <w:color w:val="0000FF"/>
                    </w:rPr>
                    <w:t>化粪池</w:t>
                  </w:r>
                </w:p>
              </w:tc>
              <w:tc>
                <w:tcPr>
                  <w:tcW w:w="856" w:type="pct"/>
                  <w:vMerge w:val="restart"/>
                  <w:vAlign w:val="center"/>
                </w:tcPr>
                <w:p w14:paraId="316D5766">
                  <w:pPr>
                    <w:pStyle w:val="29"/>
                  </w:pPr>
                  <w:r>
                    <w:t>安徽淮相科技发展有限公司第二污水处理厂</w:t>
                  </w:r>
                </w:p>
              </w:tc>
            </w:tr>
            <w:tr w14:paraId="115D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115FB930">
                  <w:pPr>
                    <w:pStyle w:val="29"/>
                  </w:pPr>
                </w:p>
              </w:tc>
              <w:tc>
                <w:tcPr>
                  <w:tcW w:w="1475" w:type="pct"/>
                  <w:gridSpan w:val="2"/>
                  <w:vAlign w:val="center"/>
                </w:tcPr>
                <w:p w14:paraId="20501BF0">
                  <w:pPr>
                    <w:pStyle w:val="29"/>
                  </w:pPr>
                  <w:r>
                    <w:t>泡米废水</w:t>
                  </w:r>
                </w:p>
              </w:tc>
              <w:tc>
                <w:tcPr>
                  <w:tcW w:w="1265" w:type="pct"/>
                  <w:vMerge w:val="continue"/>
                  <w:vAlign w:val="center"/>
                </w:tcPr>
                <w:p w14:paraId="3C4C9430">
                  <w:pPr>
                    <w:pStyle w:val="29"/>
                    <w:rPr>
                      <w:color w:val="0000FF"/>
                    </w:rPr>
                  </w:pPr>
                </w:p>
              </w:tc>
              <w:tc>
                <w:tcPr>
                  <w:tcW w:w="1131" w:type="pct"/>
                  <w:vMerge w:val="restart"/>
                  <w:vAlign w:val="center"/>
                </w:tcPr>
                <w:p w14:paraId="60DDD2A6">
                  <w:pPr>
                    <w:pStyle w:val="29"/>
                    <w:rPr>
                      <w:color w:val="0000FF"/>
                    </w:rPr>
                  </w:pPr>
                  <w:r>
                    <w:rPr>
                      <w:color w:val="0000FF"/>
                    </w:rPr>
                    <w:t>污水处理站（</w:t>
                  </w:r>
                  <w:r>
                    <w:rPr>
                      <w:rFonts w:hint="eastAsia"/>
                      <w:color w:val="0000FF"/>
                    </w:rPr>
                    <w:t>格栅+调节+气浮+初沉+隔油+SBR+厌氧+A/O+沉淀+紫外消毒+出水</w:t>
                  </w:r>
                  <w:r>
                    <w:rPr>
                      <w:color w:val="0000FF"/>
                    </w:rPr>
                    <w:t>）</w:t>
                  </w:r>
                </w:p>
              </w:tc>
              <w:tc>
                <w:tcPr>
                  <w:tcW w:w="856" w:type="pct"/>
                  <w:vMerge w:val="continue"/>
                  <w:vAlign w:val="center"/>
                </w:tcPr>
                <w:p w14:paraId="38E702A5">
                  <w:pPr>
                    <w:pStyle w:val="29"/>
                  </w:pPr>
                </w:p>
              </w:tc>
            </w:tr>
            <w:tr w14:paraId="7171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4460D91D">
                  <w:pPr>
                    <w:pStyle w:val="29"/>
                  </w:pPr>
                </w:p>
              </w:tc>
              <w:tc>
                <w:tcPr>
                  <w:tcW w:w="1475" w:type="pct"/>
                  <w:gridSpan w:val="2"/>
                  <w:vAlign w:val="center"/>
                </w:tcPr>
                <w:p w14:paraId="5275F444">
                  <w:pPr>
                    <w:pStyle w:val="29"/>
                  </w:pPr>
                  <w:r>
                    <w:t>纯净水设备废水</w:t>
                  </w:r>
                </w:p>
              </w:tc>
              <w:tc>
                <w:tcPr>
                  <w:tcW w:w="1265" w:type="pct"/>
                  <w:vMerge w:val="continue"/>
                  <w:vAlign w:val="center"/>
                </w:tcPr>
                <w:p w14:paraId="1228C087">
                  <w:pPr>
                    <w:pStyle w:val="29"/>
                  </w:pPr>
                </w:p>
              </w:tc>
              <w:tc>
                <w:tcPr>
                  <w:tcW w:w="1131" w:type="pct"/>
                  <w:vMerge w:val="continue"/>
                  <w:vAlign w:val="center"/>
                </w:tcPr>
                <w:p w14:paraId="406EBD21">
                  <w:pPr>
                    <w:pStyle w:val="29"/>
                  </w:pPr>
                </w:p>
              </w:tc>
              <w:tc>
                <w:tcPr>
                  <w:tcW w:w="856" w:type="pct"/>
                  <w:vMerge w:val="continue"/>
                  <w:vAlign w:val="center"/>
                </w:tcPr>
                <w:p w14:paraId="735A7CC4">
                  <w:pPr>
                    <w:pStyle w:val="29"/>
                  </w:pPr>
                </w:p>
              </w:tc>
            </w:tr>
            <w:tr w14:paraId="3387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276EA3BD">
                  <w:pPr>
                    <w:pStyle w:val="29"/>
                  </w:pPr>
                </w:p>
              </w:tc>
              <w:tc>
                <w:tcPr>
                  <w:tcW w:w="1475" w:type="pct"/>
                  <w:gridSpan w:val="2"/>
                  <w:vAlign w:val="center"/>
                </w:tcPr>
                <w:p w14:paraId="5A8C594F">
                  <w:pPr>
                    <w:pStyle w:val="29"/>
                  </w:pPr>
                  <w:r>
                    <w:t>原辅料清洗废水</w:t>
                  </w:r>
                </w:p>
              </w:tc>
              <w:tc>
                <w:tcPr>
                  <w:tcW w:w="1265" w:type="pct"/>
                  <w:vMerge w:val="continue"/>
                  <w:vAlign w:val="center"/>
                </w:tcPr>
                <w:p w14:paraId="554B08C2">
                  <w:pPr>
                    <w:pStyle w:val="29"/>
                  </w:pPr>
                </w:p>
              </w:tc>
              <w:tc>
                <w:tcPr>
                  <w:tcW w:w="1131" w:type="pct"/>
                  <w:vMerge w:val="continue"/>
                  <w:vAlign w:val="center"/>
                </w:tcPr>
                <w:p w14:paraId="3A9BEB3F">
                  <w:pPr>
                    <w:pStyle w:val="29"/>
                  </w:pPr>
                </w:p>
              </w:tc>
              <w:tc>
                <w:tcPr>
                  <w:tcW w:w="856" w:type="pct"/>
                  <w:vMerge w:val="continue"/>
                  <w:vAlign w:val="center"/>
                </w:tcPr>
                <w:p w14:paraId="0A9C9187">
                  <w:pPr>
                    <w:pStyle w:val="29"/>
                  </w:pPr>
                </w:p>
              </w:tc>
            </w:tr>
            <w:tr w14:paraId="06AF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7512873A">
                  <w:pPr>
                    <w:pStyle w:val="29"/>
                  </w:pPr>
                </w:p>
              </w:tc>
              <w:tc>
                <w:tcPr>
                  <w:tcW w:w="1475" w:type="pct"/>
                  <w:gridSpan w:val="2"/>
                  <w:vAlign w:val="center"/>
                </w:tcPr>
                <w:p w14:paraId="62DAAABD">
                  <w:pPr>
                    <w:pStyle w:val="29"/>
                  </w:pPr>
                  <w:r>
                    <w:t>设备清洗废水</w:t>
                  </w:r>
                </w:p>
              </w:tc>
              <w:tc>
                <w:tcPr>
                  <w:tcW w:w="1265" w:type="pct"/>
                  <w:vMerge w:val="continue"/>
                  <w:vAlign w:val="center"/>
                </w:tcPr>
                <w:p w14:paraId="79D4F96F">
                  <w:pPr>
                    <w:pStyle w:val="29"/>
                  </w:pPr>
                </w:p>
              </w:tc>
              <w:tc>
                <w:tcPr>
                  <w:tcW w:w="1131" w:type="pct"/>
                  <w:vMerge w:val="continue"/>
                  <w:vAlign w:val="center"/>
                </w:tcPr>
                <w:p w14:paraId="7A722349">
                  <w:pPr>
                    <w:pStyle w:val="29"/>
                  </w:pPr>
                </w:p>
              </w:tc>
              <w:tc>
                <w:tcPr>
                  <w:tcW w:w="856" w:type="pct"/>
                  <w:vMerge w:val="continue"/>
                  <w:vAlign w:val="center"/>
                </w:tcPr>
                <w:p w14:paraId="07C0B36A">
                  <w:pPr>
                    <w:pStyle w:val="29"/>
                  </w:pPr>
                </w:p>
              </w:tc>
            </w:tr>
            <w:tr w14:paraId="26A2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1ADE38F2">
                  <w:pPr>
                    <w:pStyle w:val="29"/>
                  </w:pPr>
                </w:p>
              </w:tc>
              <w:tc>
                <w:tcPr>
                  <w:tcW w:w="1475" w:type="pct"/>
                  <w:gridSpan w:val="2"/>
                  <w:vAlign w:val="center"/>
                </w:tcPr>
                <w:p w14:paraId="5A3B53BC">
                  <w:pPr>
                    <w:pStyle w:val="29"/>
                  </w:pPr>
                  <w:r>
                    <w:t>员工消毒废水</w:t>
                  </w:r>
                </w:p>
              </w:tc>
              <w:tc>
                <w:tcPr>
                  <w:tcW w:w="1265" w:type="pct"/>
                  <w:vMerge w:val="continue"/>
                  <w:vAlign w:val="center"/>
                </w:tcPr>
                <w:p w14:paraId="31083980">
                  <w:pPr>
                    <w:pStyle w:val="29"/>
                  </w:pPr>
                </w:p>
              </w:tc>
              <w:tc>
                <w:tcPr>
                  <w:tcW w:w="1131" w:type="pct"/>
                  <w:vMerge w:val="continue"/>
                  <w:vAlign w:val="center"/>
                </w:tcPr>
                <w:p w14:paraId="2392B40D">
                  <w:pPr>
                    <w:pStyle w:val="29"/>
                  </w:pPr>
                </w:p>
              </w:tc>
              <w:tc>
                <w:tcPr>
                  <w:tcW w:w="856" w:type="pct"/>
                  <w:vMerge w:val="continue"/>
                  <w:vAlign w:val="center"/>
                </w:tcPr>
                <w:p w14:paraId="4E121450">
                  <w:pPr>
                    <w:pStyle w:val="29"/>
                  </w:pPr>
                </w:p>
              </w:tc>
            </w:tr>
            <w:tr w14:paraId="08E1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35B50D28">
                  <w:pPr>
                    <w:pStyle w:val="29"/>
                  </w:pPr>
                </w:p>
              </w:tc>
              <w:tc>
                <w:tcPr>
                  <w:tcW w:w="1475" w:type="pct"/>
                  <w:gridSpan w:val="2"/>
                  <w:vAlign w:val="center"/>
                </w:tcPr>
                <w:p w14:paraId="7DC691F7">
                  <w:pPr>
                    <w:pStyle w:val="29"/>
                  </w:pPr>
                  <w:r>
                    <w:rPr>
                      <w:color w:val="0000FF"/>
                    </w:rPr>
                    <w:t>解冻废水</w:t>
                  </w:r>
                </w:p>
              </w:tc>
              <w:tc>
                <w:tcPr>
                  <w:tcW w:w="1265" w:type="pct"/>
                  <w:vMerge w:val="continue"/>
                  <w:vAlign w:val="center"/>
                </w:tcPr>
                <w:p w14:paraId="45DABA26">
                  <w:pPr>
                    <w:pStyle w:val="29"/>
                  </w:pPr>
                </w:p>
              </w:tc>
              <w:tc>
                <w:tcPr>
                  <w:tcW w:w="1131" w:type="pct"/>
                  <w:vMerge w:val="continue"/>
                  <w:vAlign w:val="center"/>
                </w:tcPr>
                <w:p w14:paraId="732422BC">
                  <w:pPr>
                    <w:pStyle w:val="29"/>
                  </w:pPr>
                </w:p>
              </w:tc>
              <w:tc>
                <w:tcPr>
                  <w:tcW w:w="856" w:type="pct"/>
                  <w:vMerge w:val="continue"/>
                  <w:vAlign w:val="center"/>
                </w:tcPr>
                <w:p w14:paraId="4C558BD2">
                  <w:pPr>
                    <w:pStyle w:val="29"/>
                  </w:pPr>
                </w:p>
              </w:tc>
            </w:tr>
            <w:tr w14:paraId="08F8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5854C55A">
                  <w:pPr>
                    <w:pStyle w:val="29"/>
                  </w:pPr>
                </w:p>
              </w:tc>
              <w:tc>
                <w:tcPr>
                  <w:tcW w:w="1475" w:type="pct"/>
                  <w:gridSpan w:val="2"/>
                  <w:vAlign w:val="center"/>
                </w:tcPr>
                <w:p w14:paraId="4723EE47">
                  <w:pPr>
                    <w:pStyle w:val="29"/>
                  </w:pPr>
                  <w:r>
                    <w:t>地面清洗废水</w:t>
                  </w:r>
                </w:p>
              </w:tc>
              <w:tc>
                <w:tcPr>
                  <w:tcW w:w="1265" w:type="pct"/>
                  <w:vMerge w:val="continue"/>
                  <w:vAlign w:val="center"/>
                </w:tcPr>
                <w:p w14:paraId="4878F8CD">
                  <w:pPr>
                    <w:pStyle w:val="29"/>
                  </w:pPr>
                </w:p>
              </w:tc>
              <w:tc>
                <w:tcPr>
                  <w:tcW w:w="1131" w:type="pct"/>
                  <w:vAlign w:val="center"/>
                </w:tcPr>
                <w:p w14:paraId="63EDB699">
                  <w:pPr>
                    <w:pStyle w:val="29"/>
                  </w:pPr>
                  <w:r>
                    <w:t>/</w:t>
                  </w:r>
                </w:p>
              </w:tc>
              <w:tc>
                <w:tcPr>
                  <w:tcW w:w="856" w:type="pct"/>
                  <w:vMerge w:val="continue"/>
                  <w:vAlign w:val="center"/>
                </w:tcPr>
                <w:p w14:paraId="3182FB87">
                  <w:pPr>
                    <w:pStyle w:val="29"/>
                  </w:pPr>
                </w:p>
              </w:tc>
            </w:tr>
            <w:tr w14:paraId="4F89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restart"/>
                  <w:vAlign w:val="center"/>
                </w:tcPr>
                <w:p w14:paraId="33B3706B">
                  <w:pPr>
                    <w:pStyle w:val="29"/>
                  </w:pPr>
                  <w:r>
                    <w:t>固废</w:t>
                  </w:r>
                </w:p>
              </w:tc>
              <w:tc>
                <w:tcPr>
                  <w:tcW w:w="1475" w:type="pct"/>
                  <w:gridSpan w:val="2"/>
                  <w:vAlign w:val="center"/>
                </w:tcPr>
                <w:p w14:paraId="05EC8288">
                  <w:pPr>
                    <w:pStyle w:val="29"/>
                  </w:pPr>
                  <w:r>
                    <w:t>清洗、择菜</w:t>
                  </w:r>
                </w:p>
              </w:tc>
              <w:tc>
                <w:tcPr>
                  <w:tcW w:w="1265" w:type="pct"/>
                  <w:vAlign w:val="center"/>
                </w:tcPr>
                <w:p w14:paraId="5D583DB9">
                  <w:pPr>
                    <w:pStyle w:val="29"/>
                  </w:pPr>
                  <w:r>
                    <w:t>厨余垃圾</w:t>
                  </w:r>
                </w:p>
              </w:tc>
              <w:tc>
                <w:tcPr>
                  <w:tcW w:w="1131" w:type="pct"/>
                  <w:vMerge w:val="restart"/>
                  <w:vAlign w:val="center"/>
                </w:tcPr>
                <w:p w14:paraId="1D44C364">
                  <w:pPr>
                    <w:pStyle w:val="29"/>
                  </w:pPr>
                  <w:r>
                    <w:t>收集后暂存于一般固废暂存间</w:t>
                  </w:r>
                </w:p>
              </w:tc>
              <w:tc>
                <w:tcPr>
                  <w:tcW w:w="856" w:type="pct"/>
                  <w:vMerge w:val="restart"/>
                  <w:vAlign w:val="center"/>
                </w:tcPr>
                <w:p w14:paraId="72089D5B">
                  <w:pPr>
                    <w:pStyle w:val="29"/>
                  </w:pPr>
                  <w:r>
                    <w:t>交由餐厨垃圾处理厂处置</w:t>
                  </w:r>
                </w:p>
              </w:tc>
            </w:tr>
            <w:tr w14:paraId="4BAF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6C88FBC7">
                  <w:pPr>
                    <w:pStyle w:val="29"/>
                  </w:pPr>
                </w:p>
              </w:tc>
              <w:tc>
                <w:tcPr>
                  <w:tcW w:w="1475" w:type="pct"/>
                  <w:gridSpan w:val="2"/>
                  <w:vAlign w:val="center"/>
                </w:tcPr>
                <w:p w14:paraId="5E2FFA87">
                  <w:pPr>
                    <w:pStyle w:val="29"/>
                  </w:pPr>
                  <w:r>
                    <w:t>生产</w:t>
                  </w:r>
                </w:p>
              </w:tc>
              <w:tc>
                <w:tcPr>
                  <w:tcW w:w="1265" w:type="pct"/>
                  <w:vAlign w:val="center"/>
                </w:tcPr>
                <w:p w14:paraId="71AAE2FC">
                  <w:pPr>
                    <w:pStyle w:val="29"/>
                  </w:pPr>
                  <w:r>
                    <w:t>不合格品</w:t>
                  </w:r>
                </w:p>
              </w:tc>
              <w:tc>
                <w:tcPr>
                  <w:tcW w:w="1131" w:type="pct"/>
                  <w:vMerge w:val="continue"/>
                  <w:vAlign w:val="center"/>
                </w:tcPr>
                <w:p w14:paraId="43D2C480">
                  <w:pPr>
                    <w:pStyle w:val="29"/>
                  </w:pPr>
                </w:p>
              </w:tc>
              <w:tc>
                <w:tcPr>
                  <w:tcW w:w="856" w:type="pct"/>
                  <w:vMerge w:val="continue"/>
                  <w:vAlign w:val="center"/>
                </w:tcPr>
                <w:p w14:paraId="07C92C29">
                  <w:pPr>
                    <w:pStyle w:val="29"/>
                  </w:pPr>
                </w:p>
              </w:tc>
            </w:tr>
            <w:tr w14:paraId="5C57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30E0CFCD">
                  <w:pPr>
                    <w:pStyle w:val="29"/>
                  </w:pPr>
                </w:p>
              </w:tc>
              <w:tc>
                <w:tcPr>
                  <w:tcW w:w="1475" w:type="pct"/>
                  <w:gridSpan w:val="2"/>
                  <w:shd w:val="clear" w:color="auto" w:fill="auto"/>
                  <w:vAlign w:val="center"/>
                </w:tcPr>
                <w:p w14:paraId="3B90B581">
                  <w:pPr>
                    <w:pStyle w:val="29"/>
                  </w:pPr>
                  <w:r>
                    <w:t>静电式油烟净化器</w:t>
                  </w:r>
                </w:p>
              </w:tc>
              <w:tc>
                <w:tcPr>
                  <w:tcW w:w="1265" w:type="pct"/>
                  <w:shd w:val="clear" w:color="auto" w:fill="auto"/>
                  <w:vAlign w:val="center"/>
                </w:tcPr>
                <w:p w14:paraId="398FDB06">
                  <w:pPr>
                    <w:pStyle w:val="29"/>
                  </w:pPr>
                  <w:r>
                    <w:t>废油脂</w:t>
                  </w:r>
                </w:p>
              </w:tc>
              <w:tc>
                <w:tcPr>
                  <w:tcW w:w="1131" w:type="pct"/>
                  <w:vMerge w:val="continue"/>
                  <w:vAlign w:val="center"/>
                </w:tcPr>
                <w:p w14:paraId="5ED241C1">
                  <w:pPr>
                    <w:pStyle w:val="29"/>
                  </w:pPr>
                </w:p>
              </w:tc>
              <w:tc>
                <w:tcPr>
                  <w:tcW w:w="856" w:type="pct"/>
                  <w:vMerge w:val="continue"/>
                  <w:vAlign w:val="center"/>
                </w:tcPr>
                <w:p w14:paraId="43317B61">
                  <w:pPr>
                    <w:pStyle w:val="29"/>
                  </w:pPr>
                </w:p>
              </w:tc>
            </w:tr>
            <w:tr w14:paraId="2CC3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13603AD0">
                  <w:pPr>
                    <w:pStyle w:val="29"/>
                  </w:pPr>
                </w:p>
              </w:tc>
              <w:tc>
                <w:tcPr>
                  <w:tcW w:w="1475" w:type="pct"/>
                  <w:gridSpan w:val="2"/>
                  <w:vAlign w:val="center"/>
                </w:tcPr>
                <w:p w14:paraId="6DBCEC77">
                  <w:pPr>
                    <w:pStyle w:val="29"/>
                  </w:pPr>
                  <w:r>
                    <w:t>拆包</w:t>
                  </w:r>
                </w:p>
              </w:tc>
              <w:tc>
                <w:tcPr>
                  <w:tcW w:w="1265" w:type="pct"/>
                  <w:vAlign w:val="center"/>
                </w:tcPr>
                <w:p w14:paraId="03C88633">
                  <w:pPr>
                    <w:pStyle w:val="29"/>
                  </w:pPr>
                  <w:r>
                    <w:t>废包装物</w:t>
                  </w:r>
                </w:p>
              </w:tc>
              <w:tc>
                <w:tcPr>
                  <w:tcW w:w="1131" w:type="pct"/>
                  <w:vMerge w:val="continue"/>
                  <w:vAlign w:val="center"/>
                </w:tcPr>
                <w:p w14:paraId="3ED0F478">
                  <w:pPr>
                    <w:pStyle w:val="29"/>
                  </w:pPr>
                </w:p>
              </w:tc>
              <w:tc>
                <w:tcPr>
                  <w:tcW w:w="856" w:type="pct"/>
                  <w:vAlign w:val="center"/>
                </w:tcPr>
                <w:p w14:paraId="713F844B">
                  <w:pPr>
                    <w:pStyle w:val="29"/>
                  </w:pPr>
                  <w:r>
                    <w:t>交由资源回收部门利用</w:t>
                  </w:r>
                </w:p>
              </w:tc>
            </w:tr>
            <w:tr w14:paraId="0565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5804D23F">
                  <w:pPr>
                    <w:pStyle w:val="29"/>
                  </w:pPr>
                </w:p>
              </w:tc>
              <w:tc>
                <w:tcPr>
                  <w:tcW w:w="1475" w:type="pct"/>
                  <w:gridSpan w:val="2"/>
                  <w:vAlign w:val="center"/>
                </w:tcPr>
                <w:p w14:paraId="4C02A00A">
                  <w:pPr>
                    <w:pStyle w:val="29"/>
                  </w:pPr>
                  <w:r>
                    <w:t>污水处理</w:t>
                  </w:r>
                </w:p>
              </w:tc>
              <w:tc>
                <w:tcPr>
                  <w:tcW w:w="1265" w:type="pct"/>
                  <w:vAlign w:val="center"/>
                </w:tcPr>
                <w:p w14:paraId="1BC281B7">
                  <w:pPr>
                    <w:pStyle w:val="29"/>
                  </w:pPr>
                  <w:r>
                    <w:t>污泥</w:t>
                  </w:r>
                </w:p>
              </w:tc>
              <w:tc>
                <w:tcPr>
                  <w:tcW w:w="1131" w:type="pct"/>
                  <w:vMerge w:val="continue"/>
                  <w:vAlign w:val="center"/>
                </w:tcPr>
                <w:p w14:paraId="0FF71A68">
                  <w:pPr>
                    <w:pStyle w:val="29"/>
                  </w:pPr>
                </w:p>
              </w:tc>
              <w:tc>
                <w:tcPr>
                  <w:tcW w:w="856" w:type="pct"/>
                  <w:vAlign w:val="center"/>
                </w:tcPr>
                <w:p w14:paraId="15BCC1DB">
                  <w:pPr>
                    <w:pStyle w:val="29"/>
                  </w:pPr>
                  <w:r>
                    <w:t>交由有资质单位清运</w:t>
                  </w:r>
                </w:p>
              </w:tc>
            </w:tr>
            <w:tr w14:paraId="6098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25B5B413">
                  <w:pPr>
                    <w:pStyle w:val="29"/>
                  </w:pPr>
                </w:p>
              </w:tc>
              <w:tc>
                <w:tcPr>
                  <w:tcW w:w="1475" w:type="pct"/>
                  <w:gridSpan w:val="2"/>
                  <w:vAlign w:val="center"/>
                </w:tcPr>
                <w:p w14:paraId="46CA05BC">
                  <w:pPr>
                    <w:pStyle w:val="29"/>
                  </w:pPr>
                  <w:r>
                    <w:t>员工</w:t>
                  </w:r>
                </w:p>
              </w:tc>
              <w:tc>
                <w:tcPr>
                  <w:tcW w:w="1265" w:type="pct"/>
                  <w:vAlign w:val="center"/>
                </w:tcPr>
                <w:p w14:paraId="4F4AC60D">
                  <w:pPr>
                    <w:pStyle w:val="29"/>
                  </w:pPr>
                  <w:r>
                    <w:t>生活垃圾</w:t>
                  </w:r>
                </w:p>
              </w:tc>
              <w:tc>
                <w:tcPr>
                  <w:tcW w:w="1131" w:type="pct"/>
                  <w:vMerge w:val="continue"/>
                  <w:vAlign w:val="center"/>
                </w:tcPr>
                <w:p w14:paraId="029CC8E1">
                  <w:pPr>
                    <w:pStyle w:val="29"/>
                  </w:pPr>
                </w:p>
              </w:tc>
              <w:tc>
                <w:tcPr>
                  <w:tcW w:w="856" w:type="pct"/>
                  <w:vMerge w:val="restart"/>
                  <w:vAlign w:val="center"/>
                </w:tcPr>
                <w:p w14:paraId="53D2FF48">
                  <w:pPr>
                    <w:pStyle w:val="29"/>
                  </w:pPr>
                  <w:r>
                    <w:rPr>
                      <w:color w:val="0000FF"/>
                    </w:rPr>
                    <w:t>交由</w:t>
                  </w:r>
                  <w:r>
                    <w:rPr>
                      <w:rFonts w:hint="eastAsia"/>
                      <w:color w:val="0000FF"/>
                    </w:rPr>
                    <w:t>原厂家回收处置</w:t>
                  </w:r>
                </w:p>
              </w:tc>
            </w:tr>
            <w:tr w14:paraId="1C07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4F9D4E25">
                  <w:pPr>
                    <w:pStyle w:val="29"/>
                  </w:pPr>
                </w:p>
              </w:tc>
              <w:tc>
                <w:tcPr>
                  <w:tcW w:w="1475" w:type="pct"/>
                  <w:gridSpan w:val="2"/>
                  <w:vMerge w:val="restart"/>
                  <w:vAlign w:val="center"/>
                </w:tcPr>
                <w:p w14:paraId="60CBB609">
                  <w:pPr>
                    <w:pStyle w:val="29"/>
                    <w:rPr>
                      <w:color w:val="0000FF"/>
                    </w:rPr>
                  </w:pPr>
                  <w:r>
                    <w:rPr>
                      <w:rFonts w:hint="eastAsia"/>
                      <w:color w:val="0000FF"/>
                    </w:rPr>
                    <w:t>纯净水</w:t>
                  </w:r>
                  <w:r>
                    <w:rPr>
                      <w:color w:val="0000FF"/>
                    </w:rPr>
                    <w:t>制备</w:t>
                  </w:r>
                </w:p>
              </w:tc>
              <w:tc>
                <w:tcPr>
                  <w:tcW w:w="1265" w:type="pct"/>
                  <w:shd w:val="clear" w:color="auto" w:fill="auto"/>
                  <w:vAlign w:val="center"/>
                </w:tcPr>
                <w:p w14:paraId="021353E3">
                  <w:pPr>
                    <w:pStyle w:val="29"/>
                    <w:rPr>
                      <w:color w:val="0000FF"/>
                    </w:rPr>
                  </w:pPr>
                  <w:r>
                    <w:rPr>
                      <w:color w:val="0000FF"/>
                    </w:rPr>
                    <w:t>废砂滤器</w:t>
                  </w:r>
                </w:p>
              </w:tc>
              <w:tc>
                <w:tcPr>
                  <w:tcW w:w="1131" w:type="pct"/>
                  <w:vMerge w:val="continue"/>
                  <w:vAlign w:val="center"/>
                </w:tcPr>
                <w:p w14:paraId="3A85CC0F">
                  <w:pPr>
                    <w:pStyle w:val="29"/>
                  </w:pPr>
                </w:p>
              </w:tc>
              <w:tc>
                <w:tcPr>
                  <w:tcW w:w="856" w:type="pct"/>
                  <w:vMerge w:val="continue"/>
                  <w:vAlign w:val="center"/>
                </w:tcPr>
                <w:p w14:paraId="39F235D1">
                  <w:pPr>
                    <w:pStyle w:val="29"/>
                  </w:pPr>
                </w:p>
              </w:tc>
            </w:tr>
            <w:tr w14:paraId="6DD6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61ED6381">
                  <w:pPr>
                    <w:pStyle w:val="29"/>
                  </w:pPr>
                </w:p>
              </w:tc>
              <w:tc>
                <w:tcPr>
                  <w:tcW w:w="1475" w:type="pct"/>
                  <w:gridSpan w:val="2"/>
                  <w:vMerge w:val="continue"/>
                  <w:vAlign w:val="center"/>
                </w:tcPr>
                <w:p w14:paraId="6B0F43E5">
                  <w:pPr>
                    <w:pStyle w:val="29"/>
                    <w:rPr>
                      <w:color w:val="0000FF"/>
                    </w:rPr>
                  </w:pPr>
                </w:p>
              </w:tc>
              <w:tc>
                <w:tcPr>
                  <w:tcW w:w="1265" w:type="pct"/>
                  <w:shd w:val="clear" w:color="auto" w:fill="auto"/>
                  <w:vAlign w:val="center"/>
                </w:tcPr>
                <w:p w14:paraId="43ACA7F2">
                  <w:pPr>
                    <w:pStyle w:val="29"/>
                    <w:rPr>
                      <w:color w:val="0000FF"/>
                    </w:rPr>
                  </w:pPr>
                  <w:r>
                    <w:rPr>
                      <w:color w:val="0000FF"/>
                    </w:rPr>
                    <w:t>废活性炭过滤器</w:t>
                  </w:r>
                </w:p>
              </w:tc>
              <w:tc>
                <w:tcPr>
                  <w:tcW w:w="1131" w:type="pct"/>
                  <w:vMerge w:val="continue"/>
                  <w:vAlign w:val="center"/>
                </w:tcPr>
                <w:p w14:paraId="51B3BD37">
                  <w:pPr>
                    <w:pStyle w:val="29"/>
                  </w:pPr>
                </w:p>
              </w:tc>
              <w:tc>
                <w:tcPr>
                  <w:tcW w:w="856" w:type="pct"/>
                  <w:vMerge w:val="continue"/>
                  <w:vAlign w:val="center"/>
                </w:tcPr>
                <w:p w14:paraId="776EB9B3">
                  <w:pPr>
                    <w:pStyle w:val="29"/>
                  </w:pPr>
                </w:p>
              </w:tc>
            </w:tr>
            <w:tr w14:paraId="52BC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6AB1B037">
                  <w:pPr>
                    <w:pStyle w:val="29"/>
                  </w:pPr>
                </w:p>
              </w:tc>
              <w:tc>
                <w:tcPr>
                  <w:tcW w:w="1475" w:type="pct"/>
                  <w:gridSpan w:val="2"/>
                  <w:vMerge w:val="continue"/>
                  <w:vAlign w:val="center"/>
                </w:tcPr>
                <w:p w14:paraId="3DC22C63">
                  <w:pPr>
                    <w:pStyle w:val="29"/>
                    <w:rPr>
                      <w:color w:val="0000FF"/>
                    </w:rPr>
                  </w:pPr>
                </w:p>
              </w:tc>
              <w:tc>
                <w:tcPr>
                  <w:tcW w:w="1265" w:type="pct"/>
                  <w:shd w:val="clear" w:color="auto" w:fill="auto"/>
                  <w:vAlign w:val="center"/>
                </w:tcPr>
                <w:p w14:paraId="5D2D95D9">
                  <w:pPr>
                    <w:pStyle w:val="29"/>
                    <w:rPr>
                      <w:color w:val="0000FF"/>
                    </w:rPr>
                  </w:pPr>
                  <w:r>
                    <w:rPr>
                      <w:color w:val="0000FF"/>
                    </w:rPr>
                    <w:t>废软化器</w:t>
                  </w:r>
                </w:p>
              </w:tc>
              <w:tc>
                <w:tcPr>
                  <w:tcW w:w="1131" w:type="pct"/>
                  <w:vMerge w:val="continue"/>
                  <w:vAlign w:val="center"/>
                </w:tcPr>
                <w:p w14:paraId="38DA9567">
                  <w:pPr>
                    <w:pStyle w:val="29"/>
                  </w:pPr>
                </w:p>
              </w:tc>
              <w:tc>
                <w:tcPr>
                  <w:tcW w:w="856" w:type="pct"/>
                  <w:vMerge w:val="continue"/>
                  <w:vAlign w:val="center"/>
                </w:tcPr>
                <w:p w14:paraId="34A255A7">
                  <w:pPr>
                    <w:pStyle w:val="29"/>
                  </w:pPr>
                </w:p>
              </w:tc>
            </w:tr>
            <w:tr w14:paraId="5B39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vAlign w:val="center"/>
                </w:tcPr>
                <w:p w14:paraId="2D66F4C3">
                  <w:pPr>
                    <w:pStyle w:val="29"/>
                  </w:pPr>
                </w:p>
              </w:tc>
              <w:tc>
                <w:tcPr>
                  <w:tcW w:w="1475" w:type="pct"/>
                  <w:gridSpan w:val="2"/>
                  <w:vMerge w:val="continue"/>
                  <w:vAlign w:val="center"/>
                </w:tcPr>
                <w:p w14:paraId="61C8B720">
                  <w:pPr>
                    <w:pStyle w:val="29"/>
                    <w:rPr>
                      <w:color w:val="0000FF"/>
                    </w:rPr>
                  </w:pPr>
                </w:p>
              </w:tc>
              <w:tc>
                <w:tcPr>
                  <w:tcW w:w="1265" w:type="pct"/>
                  <w:shd w:val="clear" w:color="auto" w:fill="auto"/>
                  <w:vAlign w:val="center"/>
                </w:tcPr>
                <w:p w14:paraId="6C26421B">
                  <w:pPr>
                    <w:pStyle w:val="29"/>
                    <w:rPr>
                      <w:color w:val="0000FF"/>
                    </w:rPr>
                  </w:pPr>
                  <w:r>
                    <w:rPr>
                      <w:color w:val="0000FF"/>
                    </w:rPr>
                    <w:t>废RO膜</w:t>
                  </w:r>
                </w:p>
              </w:tc>
              <w:tc>
                <w:tcPr>
                  <w:tcW w:w="1131" w:type="pct"/>
                  <w:vMerge w:val="continue"/>
                  <w:vAlign w:val="center"/>
                </w:tcPr>
                <w:p w14:paraId="12C2ECD7">
                  <w:pPr>
                    <w:pStyle w:val="29"/>
                  </w:pPr>
                </w:p>
              </w:tc>
              <w:tc>
                <w:tcPr>
                  <w:tcW w:w="856" w:type="pct"/>
                  <w:vMerge w:val="continue"/>
                  <w:vAlign w:val="center"/>
                </w:tcPr>
                <w:p w14:paraId="5B049E4A">
                  <w:pPr>
                    <w:pStyle w:val="29"/>
                  </w:pPr>
                </w:p>
              </w:tc>
            </w:tr>
            <w:tr w14:paraId="05CC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Align w:val="center"/>
                </w:tcPr>
                <w:p w14:paraId="4344D76C">
                  <w:pPr>
                    <w:pStyle w:val="29"/>
                  </w:pPr>
                  <w:r>
                    <w:t>噪声</w:t>
                  </w:r>
                </w:p>
              </w:tc>
              <w:tc>
                <w:tcPr>
                  <w:tcW w:w="2740" w:type="pct"/>
                  <w:gridSpan w:val="3"/>
                  <w:vAlign w:val="center"/>
                </w:tcPr>
                <w:p w14:paraId="4309105E">
                  <w:pPr>
                    <w:pStyle w:val="29"/>
                  </w:pPr>
                  <w:r>
                    <w:t>主要来源于设备运行时产生的噪声，噪声值在</w:t>
                  </w:r>
                  <w:r>
                    <w:rPr>
                      <w:rFonts w:hint="eastAsia"/>
                    </w:rPr>
                    <w:t>65</w:t>
                  </w:r>
                  <w:r>
                    <w:t>～90dB(A)之间</w:t>
                  </w:r>
                </w:p>
              </w:tc>
              <w:tc>
                <w:tcPr>
                  <w:tcW w:w="1131" w:type="pct"/>
                  <w:vAlign w:val="center"/>
                </w:tcPr>
                <w:p w14:paraId="4DC5C096">
                  <w:pPr>
                    <w:pStyle w:val="29"/>
                  </w:pPr>
                  <w:r>
                    <w:t>减振、合理布局</w:t>
                  </w:r>
                </w:p>
              </w:tc>
              <w:tc>
                <w:tcPr>
                  <w:tcW w:w="856" w:type="pct"/>
                  <w:vAlign w:val="center"/>
                </w:tcPr>
                <w:p w14:paraId="367A1D8C">
                  <w:pPr>
                    <w:pStyle w:val="29"/>
                  </w:pPr>
                  <w:r>
                    <w:t>/</w:t>
                  </w:r>
                </w:p>
              </w:tc>
            </w:tr>
          </w:tbl>
          <w:p w14:paraId="0CF1252B">
            <w:pPr>
              <w:ind w:firstLine="0" w:firstLineChars="0"/>
            </w:pPr>
          </w:p>
        </w:tc>
      </w:tr>
      <w:tr w14:paraId="30DE7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center"/>
          </w:tcPr>
          <w:p w14:paraId="1494957B">
            <w:pPr>
              <w:adjustRightInd w:val="0"/>
              <w:snapToGrid w:val="0"/>
              <w:ind w:firstLine="0" w:firstLineChars="0"/>
              <w:rPr>
                <w:rFonts w:cs="宋体"/>
                <w:sz w:val="21"/>
                <w:szCs w:val="21"/>
              </w:rPr>
            </w:pPr>
            <w:r>
              <w:rPr>
                <w:rFonts w:hint="eastAsia" w:cs="宋体"/>
                <w:bCs/>
                <w:kern w:val="2"/>
              </w:rPr>
              <w:t>与项目有关的原有环境污染问题</w:t>
            </w:r>
          </w:p>
        </w:tc>
        <w:tc>
          <w:tcPr>
            <w:tcW w:w="7979" w:type="dxa"/>
          </w:tcPr>
          <w:p w14:paraId="23375931">
            <w:r>
              <w:rPr>
                <w:rFonts w:hint="eastAsia"/>
              </w:rPr>
              <w:t>本项目租赁安徽淮北相山经济开发区凤冠路3号已建2#厂房，建设年产1000吨速冻食品项目。</w:t>
            </w:r>
          </w:p>
          <w:p w14:paraId="1D65678C">
            <w:r>
              <w:rPr>
                <w:rFonts w:hint="eastAsia"/>
              </w:rPr>
              <w:t>根据现场踏勘，车间原为仓库，目前本项目厂房已清理完成，现状为空置厂房，无与本项目有关的原有污染情况，未发现存在环境问题。</w:t>
            </w:r>
          </w:p>
          <w:p w14:paraId="564228EB">
            <w:pPr>
              <w:rPr>
                <w:rFonts w:hint="eastAsia" w:ascii="宋体" w:hAnsi="宋体"/>
              </w:rPr>
            </w:pPr>
          </w:p>
          <w:p w14:paraId="4328AF04">
            <w:pPr>
              <w:pStyle w:val="11"/>
              <w:ind w:left="480" w:firstLine="480"/>
              <w:rPr>
                <w:rFonts w:hint="eastAsia" w:ascii="宋体" w:hAnsi="宋体"/>
              </w:rPr>
            </w:pPr>
          </w:p>
          <w:p w14:paraId="0ACEF8A9">
            <w:pPr>
              <w:rPr>
                <w:rFonts w:hint="eastAsia" w:ascii="宋体" w:hAnsi="宋体"/>
              </w:rPr>
            </w:pPr>
          </w:p>
          <w:p w14:paraId="41261475">
            <w:pPr>
              <w:pStyle w:val="11"/>
              <w:ind w:left="480" w:firstLine="480"/>
              <w:rPr>
                <w:rFonts w:hint="eastAsia" w:ascii="宋体" w:hAnsi="宋体"/>
              </w:rPr>
            </w:pPr>
          </w:p>
          <w:p w14:paraId="6CEB94A8">
            <w:pPr>
              <w:rPr>
                <w:rFonts w:hint="eastAsia" w:ascii="宋体" w:hAnsi="宋体"/>
              </w:rPr>
            </w:pPr>
          </w:p>
          <w:p w14:paraId="24B2EE2A">
            <w:pPr>
              <w:pStyle w:val="11"/>
              <w:ind w:left="480" w:firstLine="480"/>
              <w:rPr>
                <w:rFonts w:hint="eastAsia" w:ascii="宋体" w:hAnsi="宋体"/>
              </w:rPr>
            </w:pPr>
          </w:p>
          <w:p w14:paraId="7F6781EB">
            <w:pPr>
              <w:rPr>
                <w:rFonts w:hint="eastAsia" w:ascii="宋体" w:hAnsi="宋体"/>
              </w:rPr>
            </w:pPr>
          </w:p>
          <w:p w14:paraId="40F00B35">
            <w:pPr>
              <w:pStyle w:val="11"/>
              <w:ind w:left="0" w:leftChars="0" w:firstLine="0" w:firstLineChars="0"/>
            </w:pPr>
          </w:p>
          <w:p w14:paraId="53EACD64"/>
          <w:p w14:paraId="71D646B3">
            <w:pPr>
              <w:pStyle w:val="28"/>
              <w:ind w:firstLine="480"/>
            </w:pPr>
          </w:p>
          <w:p w14:paraId="446324E8">
            <w:pPr>
              <w:pStyle w:val="28"/>
              <w:ind w:firstLine="480"/>
            </w:pPr>
          </w:p>
          <w:p w14:paraId="2A8BB711">
            <w:pPr>
              <w:pStyle w:val="28"/>
              <w:ind w:firstLine="480"/>
            </w:pPr>
          </w:p>
          <w:p w14:paraId="4CFAD866">
            <w:pPr>
              <w:pStyle w:val="28"/>
              <w:ind w:firstLine="480"/>
            </w:pPr>
          </w:p>
          <w:p w14:paraId="4E4C96FF">
            <w:pPr>
              <w:pStyle w:val="28"/>
              <w:ind w:firstLine="480"/>
            </w:pPr>
          </w:p>
          <w:p w14:paraId="6B499B96">
            <w:pPr>
              <w:pStyle w:val="28"/>
              <w:ind w:firstLine="480"/>
            </w:pPr>
          </w:p>
          <w:p w14:paraId="01E2B95D">
            <w:pPr>
              <w:pStyle w:val="28"/>
              <w:ind w:firstLine="480"/>
            </w:pPr>
          </w:p>
          <w:p w14:paraId="71EDDF9A">
            <w:pPr>
              <w:pStyle w:val="28"/>
              <w:ind w:firstLine="480"/>
            </w:pPr>
          </w:p>
          <w:p w14:paraId="4DA80757">
            <w:pPr>
              <w:pStyle w:val="28"/>
              <w:ind w:firstLine="480"/>
            </w:pPr>
          </w:p>
          <w:p w14:paraId="422E70D8">
            <w:pPr>
              <w:pStyle w:val="28"/>
              <w:ind w:firstLine="480"/>
            </w:pPr>
          </w:p>
          <w:p w14:paraId="0AABD8F3">
            <w:pPr>
              <w:pStyle w:val="28"/>
              <w:ind w:firstLine="480"/>
            </w:pPr>
          </w:p>
          <w:p w14:paraId="7DAEAAE1">
            <w:pPr>
              <w:pStyle w:val="28"/>
              <w:ind w:firstLine="0" w:firstLineChars="0"/>
            </w:pPr>
          </w:p>
        </w:tc>
      </w:tr>
    </w:tbl>
    <w:p w14:paraId="62074393">
      <w:r>
        <w:br w:type="page"/>
      </w:r>
    </w:p>
    <w:p w14:paraId="4BB8498D">
      <w:pPr>
        <w:spacing w:line="240" w:lineRule="auto"/>
        <w:ind w:firstLine="0" w:firstLineChars="0"/>
        <w:jc w:val="center"/>
        <w:outlineLvl w:val="0"/>
        <w:rPr>
          <w:rFonts w:hint="eastAsia" w:ascii="黑体" w:hAnsi="黑体" w:eastAsia="黑体"/>
          <w:snapToGrid w:val="0"/>
          <w:sz w:val="30"/>
          <w:szCs w:val="30"/>
        </w:rPr>
      </w:pPr>
      <w:bookmarkStart w:id="15" w:name="_Toc27254"/>
      <w:bookmarkStart w:id="16" w:name="_Toc24614"/>
      <w:bookmarkStart w:id="17" w:name="_Toc68109904"/>
      <w:bookmarkStart w:id="18" w:name="_Toc11480"/>
      <w:bookmarkStart w:id="19" w:name="_Toc5016"/>
      <w:r>
        <w:rPr>
          <w:rFonts w:hint="eastAsia" w:ascii="黑体" w:hAnsi="黑体" w:eastAsia="黑体"/>
          <w:snapToGrid w:val="0"/>
          <w:sz w:val="30"/>
          <w:szCs w:val="30"/>
        </w:rPr>
        <w:t>三、区域环境质量现状、环境保护目标及评价标准</w:t>
      </w:r>
      <w:bookmarkEnd w:id="15"/>
      <w:bookmarkEnd w:id="16"/>
      <w:bookmarkEnd w:id="17"/>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792"/>
      </w:tblGrid>
      <w:tr w14:paraId="3ADE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77EA7651">
            <w:pPr>
              <w:adjustRightInd w:val="0"/>
              <w:snapToGrid w:val="0"/>
              <w:ind w:firstLine="0" w:firstLineChars="0"/>
              <w:jc w:val="center"/>
              <w:rPr>
                <w:rFonts w:hint="eastAsia" w:ascii="宋体" w:hAnsi="宋体" w:cs="宋体"/>
              </w:rPr>
            </w:pPr>
            <w:r>
              <w:rPr>
                <w:rFonts w:hint="eastAsia" w:ascii="宋体" w:hAnsi="宋体" w:cs="宋体"/>
              </w:rPr>
              <w:t>区域</w:t>
            </w:r>
          </w:p>
          <w:p w14:paraId="78CA084B">
            <w:pPr>
              <w:adjustRightInd w:val="0"/>
              <w:snapToGrid w:val="0"/>
              <w:ind w:firstLine="0" w:firstLineChars="0"/>
              <w:jc w:val="center"/>
              <w:rPr>
                <w:rFonts w:hint="eastAsia" w:ascii="宋体" w:hAnsi="宋体" w:cs="宋体"/>
              </w:rPr>
            </w:pPr>
            <w:r>
              <w:rPr>
                <w:rFonts w:hint="eastAsia" w:ascii="宋体" w:hAnsi="宋体" w:cs="宋体"/>
              </w:rPr>
              <w:t>环境</w:t>
            </w:r>
          </w:p>
          <w:p w14:paraId="79AD23A6">
            <w:pPr>
              <w:adjustRightInd w:val="0"/>
              <w:snapToGrid w:val="0"/>
              <w:ind w:firstLine="0" w:firstLineChars="0"/>
              <w:jc w:val="center"/>
              <w:rPr>
                <w:rFonts w:hint="eastAsia" w:ascii="宋体" w:hAnsi="宋体" w:cs="宋体"/>
              </w:rPr>
            </w:pPr>
            <w:r>
              <w:rPr>
                <w:rFonts w:hint="eastAsia" w:ascii="宋体" w:hAnsi="宋体" w:cs="宋体"/>
              </w:rPr>
              <w:t>质量</w:t>
            </w:r>
          </w:p>
          <w:p w14:paraId="023D81A2">
            <w:pPr>
              <w:adjustRightInd w:val="0"/>
              <w:snapToGrid w:val="0"/>
              <w:ind w:firstLine="0" w:firstLineChars="0"/>
              <w:jc w:val="center"/>
              <w:rPr>
                <w:rFonts w:hint="eastAsia" w:ascii="宋体" w:hAnsi="宋体" w:cs="宋体"/>
                <w:szCs w:val="21"/>
              </w:rPr>
            </w:pPr>
            <w:r>
              <w:rPr>
                <w:rFonts w:hint="eastAsia" w:ascii="宋体" w:hAnsi="宋体" w:cs="宋体"/>
              </w:rPr>
              <w:t>现状</w:t>
            </w:r>
          </w:p>
        </w:tc>
        <w:tc>
          <w:tcPr>
            <w:tcW w:w="8190" w:type="dxa"/>
            <w:vAlign w:val="center"/>
          </w:tcPr>
          <w:p w14:paraId="0CA2CDBD">
            <w:pPr>
              <w:ind w:firstLine="482"/>
              <w:rPr>
                <w:b/>
                <w:bCs/>
              </w:rPr>
            </w:pPr>
            <w:r>
              <w:rPr>
                <w:b/>
                <w:bCs/>
              </w:rPr>
              <w:t>1、环境空气质量现状</w:t>
            </w:r>
          </w:p>
          <w:p w14:paraId="5CBB93BE">
            <w:pPr>
              <w:rPr>
                <w:color w:val="0000FF"/>
              </w:rPr>
            </w:pPr>
            <w:r>
              <w:rPr>
                <w:color w:val="0000FF"/>
              </w:rPr>
              <w:t>项目位于</w:t>
            </w:r>
            <w:r>
              <w:rPr>
                <w:rFonts w:hint="eastAsia"/>
                <w:color w:val="0000FF"/>
              </w:rPr>
              <w:t>安徽淮北相山经济开发区凤冠路3号</w:t>
            </w:r>
            <w:r>
              <w:rPr>
                <w:color w:val="0000FF"/>
              </w:rPr>
              <w:t>，根据</w:t>
            </w:r>
            <w:r>
              <w:rPr>
                <w:rFonts w:hint="eastAsia"/>
                <w:color w:val="0000FF"/>
              </w:rPr>
              <w:t>淮北市生态环境局</w:t>
            </w:r>
            <w:r>
              <w:rPr>
                <w:color w:val="0000FF"/>
              </w:rPr>
              <w:t>202</w:t>
            </w:r>
            <w:r>
              <w:rPr>
                <w:rFonts w:hint="eastAsia"/>
                <w:color w:val="0000FF"/>
              </w:rPr>
              <w:t>4</w:t>
            </w:r>
            <w:r>
              <w:rPr>
                <w:color w:val="0000FF"/>
              </w:rPr>
              <w:t>年公布的《淮北市202</w:t>
            </w:r>
            <w:r>
              <w:rPr>
                <w:rFonts w:hint="eastAsia"/>
                <w:color w:val="0000FF"/>
              </w:rPr>
              <w:t>3</w:t>
            </w:r>
            <w:r>
              <w:rPr>
                <w:color w:val="0000FF"/>
              </w:rPr>
              <w:t>年度生态环境状况公报》数据显示，项目所在地区域环境质量现状如下：</w:t>
            </w:r>
          </w:p>
          <w:p w14:paraId="231FC6D1">
            <w:pPr>
              <w:rPr>
                <w:color w:val="0000FF"/>
              </w:rPr>
            </w:pPr>
            <w:r>
              <w:rPr>
                <w:rFonts w:hint="eastAsia"/>
                <w:color w:val="0000FF"/>
              </w:rPr>
              <w:t>现状</w:t>
            </w:r>
            <w:r>
              <w:rPr>
                <w:color w:val="0000FF"/>
              </w:rPr>
              <w:t>评价结果详见下表3-1。</w:t>
            </w:r>
          </w:p>
          <w:p w14:paraId="151B1293">
            <w:pPr>
              <w:pStyle w:val="32"/>
              <w:rPr>
                <w:rFonts w:hint="default"/>
                <w:color w:val="0000FF"/>
              </w:rPr>
            </w:pPr>
            <w:r>
              <w:rPr>
                <w:color w:val="0000FF"/>
              </w:rPr>
              <w:t>表3-1  2023年环境空气基本污染物环境质量现状评价一览表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9"/>
              <w:gridCol w:w="1711"/>
              <w:gridCol w:w="1396"/>
              <w:gridCol w:w="1393"/>
              <w:gridCol w:w="1116"/>
              <w:gridCol w:w="1128"/>
            </w:tblGrid>
            <w:tr w14:paraId="123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42" w:type="pct"/>
                  <w:noWrap/>
                  <w:tcMar>
                    <w:top w:w="10" w:type="dxa"/>
                    <w:left w:w="10" w:type="dxa"/>
                    <w:right w:w="10" w:type="dxa"/>
                  </w:tcMar>
                  <w:vAlign w:val="center"/>
                </w:tcPr>
                <w:p w14:paraId="4AA4524A">
                  <w:pPr>
                    <w:pStyle w:val="29"/>
                    <w:rPr>
                      <w:color w:val="0000FF"/>
                    </w:rPr>
                  </w:pPr>
                  <w:r>
                    <w:rPr>
                      <w:color w:val="0000FF"/>
                    </w:rPr>
                    <w:t>污染物</w:t>
                  </w:r>
                </w:p>
              </w:tc>
              <w:tc>
                <w:tcPr>
                  <w:tcW w:w="1130" w:type="pct"/>
                  <w:noWrap/>
                  <w:tcMar>
                    <w:top w:w="10" w:type="dxa"/>
                    <w:left w:w="10" w:type="dxa"/>
                    <w:right w:w="10" w:type="dxa"/>
                  </w:tcMar>
                  <w:vAlign w:val="center"/>
                </w:tcPr>
                <w:p w14:paraId="1CF5C643">
                  <w:pPr>
                    <w:pStyle w:val="29"/>
                    <w:rPr>
                      <w:color w:val="0000FF"/>
                    </w:rPr>
                  </w:pPr>
                  <w:r>
                    <w:rPr>
                      <w:color w:val="0000FF"/>
                    </w:rPr>
                    <w:t>年评价指标</w:t>
                  </w:r>
                </w:p>
              </w:tc>
              <w:tc>
                <w:tcPr>
                  <w:tcW w:w="922" w:type="pct"/>
                  <w:tcMar>
                    <w:top w:w="10" w:type="dxa"/>
                    <w:left w:w="10" w:type="dxa"/>
                    <w:right w:w="10" w:type="dxa"/>
                  </w:tcMar>
                  <w:vAlign w:val="center"/>
                </w:tcPr>
                <w:p w14:paraId="1BC3C8F7">
                  <w:pPr>
                    <w:pStyle w:val="29"/>
                    <w:rPr>
                      <w:color w:val="0000FF"/>
                    </w:rPr>
                  </w:pPr>
                  <w:r>
                    <w:rPr>
                      <w:color w:val="0000FF"/>
                    </w:rPr>
                    <w:t>评价标准μg/</w:t>
                  </w:r>
                  <w:r>
                    <w:rPr>
                      <w:rFonts w:hint="eastAsia"/>
                      <w:color w:val="0000FF"/>
                    </w:rPr>
                    <w:t>m</w:t>
                  </w:r>
                  <w:r>
                    <w:rPr>
                      <w:rFonts w:hint="eastAsia"/>
                      <w:color w:val="0000FF"/>
                      <w:vertAlign w:val="superscript"/>
                    </w:rPr>
                    <w:t>3</w:t>
                  </w:r>
                </w:p>
              </w:tc>
              <w:tc>
                <w:tcPr>
                  <w:tcW w:w="920" w:type="pct"/>
                  <w:tcMar>
                    <w:top w:w="10" w:type="dxa"/>
                    <w:left w:w="10" w:type="dxa"/>
                    <w:right w:w="10" w:type="dxa"/>
                  </w:tcMar>
                  <w:vAlign w:val="center"/>
                </w:tcPr>
                <w:p w14:paraId="4101704A">
                  <w:pPr>
                    <w:pStyle w:val="29"/>
                    <w:rPr>
                      <w:color w:val="0000FF"/>
                    </w:rPr>
                  </w:pPr>
                  <w:r>
                    <w:rPr>
                      <w:color w:val="0000FF"/>
                    </w:rPr>
                    <w:t>现状浓度μg/</w:t>
                  </w:r>
                  <w:r>
                    <w:rPr>
                      <w:rFonts w:hint="eastAsia"/>
                      <w:color w:val="0000FF"/>
                    </w:rPr>
                    <w:t>m</w:t>
                  </w:r>
                  <w:r>
                    <w:rPr>
                      <w:rFonts w:hint="eastAsia"/>
                      <w:color w:val="0000FF"/>
                      <w:vertAlign w:val="superscript"/>
                    </w:rPr>
                    <w:t>3</w:t>
                  </w:r>
                </w:p>
              </w:tc>
              <w:tc>
                <w:tcPr>
                  <w:tcW w:w="737" w:type="pct"/>
                  <w:tcMar>
                    <w:top w:w="10" w:type="dxa"/>
                    <w:left w:w="10" w:type="dxa"/>
                    <w:right w:w="10" w:type="dxa"/>
                  </w:tcMar>
                  <w:vAlign w:val="center"/>
                </w:tcPr>
                <w:p w14:paraId="6F3DA870">
                  <w:pPr>
                    <w:pStyle w:val="29"/>
                    <w:rPr>
                      <w:color w:val="0000FF"/>
                    </w:rPr>
                  </w:pPr>
                  <w:r>
                    <w:rPr>
                      <w:color w:val="0000FF"/>
                    </w:rPr>
                    <w:t>占标率%</w:t>
                  </w:r>
                </w:p>
              </w:tc>
              <w:tc>
                <w:tcPr>
                  <w:tcW w:w="745" w:type="pct"/>
                  <w:noWrap/>
                  <w:tcMar>
                    <w:top w:w="10" w:type="dxa"/>
                    <w:left w:w="10" w:type="dxa"/>
                    <w:right w:w="10" w:type="dxa"/>
                  </w:tcMar>
                  <w:vAlign w:val="center"/>
                </w:tcPr>
                <w:p w14:paraId="2B73BD8F">
                  <w:pPr>
                    <w:pStyle w:val="29"/>
                    <w:rPr>
                      <w:color w:val="0000FF"/>
                    </w:rPr>
                  </w:pPr>
                  <w:r>
                    <w:rPr>
                      <w:color w:val="0000FF"/>
                    </w:rPr>
                    <w:t>达标情况</w:t>
                  </w:r>
                </w:p>
              </w:tc>
            </w:tr>
            <w:tr w14:paraId="611C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42" w:type="pct"/>
                  <w:shd w:val="clear" w:color="auto" w:fill="auto"/>
                  <w:noWrap/>
                  <w:tcMar>
                    <w:top w:w="10" w:type="dxa"/>
                    <w:left w:w="10" w:type="dxa"/>
                    <w:right w:w="10" w:type="dxa"/>
                  </w:tcMar>
                  <w:vAlign w:val="center"/>
                </w:tcPr>
                <w:p w14:paraId="20240BF9">
                  <w:pPr>
                    <w:pStyle w:val="29"/>
                    <w:rPr>
                      <w:color w:val="0000FF"/>
                    </w:rPr>
                  </w:pPr>
                  <w:r>
                    <w:rPr>
                      <w:color w:val="0000FF"/>
                    </w:rPr>
                    <w:t>PM</w:t>
                  </w:r>
                  <w:r>
                    <w:rPr>
                      <w:color w:val="0000FF"/>
                      <w:vertAlign w:val="subscript"/>
                    </w:rPr>
                    <w:t>2.5</w:t>
                  </w:r>
                </w:p>
              </w:tc>
              <w:tc>
                <w:tcPr>
                  <w:tcW w:w="1130" w:type="pct"/>
                  <w:shd w:val="clear" w:color="auto" w:fill="auto"/>
                  <w:noWrap/>
                  <w:tcMar>
                    <w:top w:w="10" w:type="dxa"/>
                    <w:left w:w="10" w:type="dxa"/>
                    <w:right w:w="10" w:type="dxa"/>
                  </w:tcMar>
                  <w:vAlign w:val="center"/>
                </w:tcPr>
                <w:p w14:paraId="21EC05A2">
                  <w:pPr>
                    <w:pStyle w:val="29"/>
                    <w:rPr>
                      <w:color w:val="0000FF"/>
                    </w:rPr>
                  </w:pPr>
                  <w:r>
                    <w:rPr>
                      <w:color w:val="0000FF"/>
                    </w:rPr>
                    <w:t>年均浓度</w:t>
                  </w:r>
                </w:p>
              </w:tc>
              <w:tc>
                <w:tcPr>
                  <w:tcW w:w="922" w:type="pct"/>
                  <w:shd w:val="clear" w:color="auto" w:fill="auto"/>
                  <w:noWrap/>
                  <w:tcMar>
                    <w:top w:w="10" w:type="dxa"/>
                    <w:left w:w="10" w:type="dxa"/>
                    <w:right w:w="10" w:type="dxa"/>
                  </w:tcMar>
                  <w:vAlign w:val="center"/>
                </w:tcPr>
                <w:p w14:paraId="76A0D7D6">
                  <w:pPr>
                    <w:pStyle w:val="29"/>
                    <w:rPr>
                      <w:color w:val="0000FF"/>
                    </w:rPr>
                  </w:pPr>
                  <w:r>
                    <w:rPr>
                      <w:color w:val="0000FF"/>
                    </w:rPr>
                    <w:t>35</w:t>
                  </w:r>
                </w:p>
              </w:tc>
              <w:tc>
                <w:tcPr>
                  <w:tcW w:w="920" w:type="pct"/>
                  <w:shd w:val="clear" w:color="auto" w:fill="auto"/>
                  <w:noWrap/>
                  <w:tcMar>
                    <w:top w:w="10" w:type="dxa"/>
                    <w:left w:w="10" w:type="dxa"/>
                    <w:right w:w="10" w:type="dxa"/>
                  </w:tcMar>
                  <w:vAlign w:val="center"/>
                </w:tcPr>
                <w:p w14:paraId="13853198">
                  <w:pPr>
                    <w:pStyle w:val="29"/>
                    <w:rPr>
                      <w:color w:val="0000FF"/>
                    </w:rPr>
                  </w:pPr>
                  <w:r>
                    <w:rPr>
                      <w:rFonts w:hint="eastAsia"/>
                      <w:color w:val="0000FF"/>
                    </w:rPr>
                    <w:t>42</w:t>
                  </w:r>
                </w:p>
              </w:tc>
              <w:tc>
                <w:tcPr>
                  <w:tcW w:w="737" w:type="pct"/>
                  <w:shd w:val="clear" w:color="000000" w:fill="auto"/>
                  <w:noWrap/>
                  <w:tcMar>
                    <w:top w:w="10" w:type="dxa"/>
                    <w:left w:w="10" w:type="dxa"/>
                    <w:right w:w="10" w:type="dxa"/>
                  </w:tcMar>
                  <w:vAlign w:val="center"/>
                </w:tcPr>
                <w:p w14:paraId="77CC49A4">
                  <w:pPr>
                    <w:pStyle w:val="29"/>
                    <w:rPr>
                      <w:color w:val="0000FF"/>
                    </w:rPr>
                  </w:pPr>
                  <w:r>
                    <w:rPr>
                      <w:rFonts w:hint="eastAsia"/>
                      <w:color w:val="0000FF"/>
                    </w:rPr>
                    <w:t>120</w:t>
                  </w:r>
                </w:p>
              </w:tc>
              <w:tc>
                <w:tcPr>
                  <w:tcW w:w="745" w:type="pct"/>
                  <w:noWrap/>
                  <w:tcMar>
                    <w:top w:w="10" w:type="dxa"/>
                    <w:left w:w="10" w:type="dxa"/>
                    <w:right w:w="10" w:type="dxa"/>
                  </w:tcMar>
                  <w:vAlign w:val="center"/>
                </w:tcPr>
                <w:p w14:paraId="733205F8">
                  <w:pPr>
                    <w:pStyle w:val="29"/>
                    <w:rPr>
                      <w:color w:val="0000FF"/>
                    </w:rPr>
                  </w:pPr>
                  <w:r>
                    <w:rPr>
                      <w:rFonts w:hint="eastAsia"/>
                      <w:color w:val="0000FF"/>
                    </w:rPr>
                    <w:t>超</w:t>
                  </w:r>
                  <w:r>
                    <w:rPr>
                      <w:color w:val="0000FF"/>
                    </w:rPr>
                    <w:t>标</w:t>
                  </w:r>
                </w:p>
              </w:tc>
            </w:tr>
            <w:tr w14:paraId="12FF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42" w:type="pct"/>
                  <w:shd w:val="clear" w:color="auto" w:fill="auto"/>
                  <w:noWrap/>
                  <w:tcMar>
                    <w:top w:w="10" w:type="dxa"/>
                    <w:left w:w="10" w:type="dxa"/>
                    <w:right w:w="10" w:type="dxa"/>
                  </w:tcMar>
                  <w:vAlign w:val="center"/>
                </w:tcPr>
                <w:p w14:paraId="0AA3D76D">
                  <w:pPr>
                    <w:pStyle w:val="29"/>
                    <w:rPr>
                      <w:color w:val="0000FF"/>
                    </w:rPr>
                  </w:pPr>
                  <w:r>
                    <w:rPr>
                      <w:color w:val="0000FF"/>
                    </w:rPr>
                    <w:t>PM</w:t>
                  </w:r>
                  <w:r>
                    <w:rPr>
                      <w:color w:val="0000FF"/>
                      <w:vertAlign w:val="subscript"/>
                    </w:rPr>
                    <w:t>10</w:t>
                  </w:r>
                </w:p>
              </w:tc>
              <w:tc>
                <w:tcPr>
                  <w:tcW w:w="1130" w:type="pct"/>
                  <w:shd w:val="clear" w:color="auto" w:fill="auto"/>
                  <w:noWrap/>
                  <w:tcMar>
                    <w:top w:w="10" w:type="dxa"/>
                    <w:left w:w="10" w:type="dxa"/>
                    <w:right w:w="10" w:type="dxa"/>
                  </w:tcMar>
                  <w:vAlign w:val="center"/>
                </w:tcPr>
                <w:p w14:paraId="4A8C347B">
                  <w:pPr>
                    <w:pStyle w:val="29"/>
                    <w:rPr>
                      <w:color w:val="0000FF"/>
                    </w:rPr>
                  </w:pPr>
                  <w:r>
                    <w:rPr>
                      <w:color w:val="0000FF"/>
                    </w:rPr>
                    <w:t>年均浓度</w:t>
                  </w:r>
                </w:p>
              </w:tc>
              <w:tc>
                <w:tcPr>
                  <w:tcW w:w="922" w:type="pct"/>
                  <w:shd w:val="clear" w:color="auto" w:fill="auto"/>
                  <w:noWrap/>
                  <w:tcMar>
                    <w:top w:w="10" w:type="dxa"/>
                    <w:left w:w="10" w:type="dxa"/>
                    <w:right w:w="10" w:type="dxa"/>
                  </w:tcMar>
                  <w:vAlign w:val="center"/>
                </w:tcPr>
                <w:p w14:paraId="7FC64240">
                  <w:pPr>
                    <w:pStyle w:val="29"/>
                    <w:rPr>
                      <w:color w:val="0000FF"/>
                    </w:rPr>
                  </w:pPr>
                  <w:r>
                    <w:rPr>
                      <w:color w:val="0000FF"/>
                    </w:rPr>
                    <w:t>70</w:t>
                  </w:r>
                </w:p>
              </w:tc>
              <w:tc>
                <w:tcPr>
                  <w:tcW w:w="920" w:type="pct"/>
                  <w:shd w:val="clear" w:color="auto" w:fill="auto"/>
                  <w:noWrap/>
                  <w:tcMar>
                    <w:top w:w="10" w:type="dxa"/>
                    <w:left w:w="10" w:type="dxa"/>
                    <w:right w:w="10" w:type="dxa"/>
                  </w:tcMar>
                  <w:vAlign w:val="center"/>
                </w:tcPr>
                <w:p w14:paraId="73E87CD8">
                  <w:pPr>
                    <w:pStyle w:val="29"/>
                    <w:rPr>
                      <w:color w:val="0000FF"/>
                    </w:rPr>
                  </w:pPr>
                  <w:r>
                    <w:rPr>
                      <w:rFonts w:hint="eastAsia"/>
                      <w:color w:val="0000FF"/>
                    </w:rPr>
                    <w:t>70</w:t>
                  </w:r>
                </w:p>
              </w:tc>
              <w:tc>
                <w:tcPr>
                  <w:tcW w:w="737" w:type="pct"/>
                  <w:shd w:val="clear" w:color="000000" w:fill="auto"/>
                  <w:noWrap/>
                  <w:tcMar>
                    <w:top w:w="10" w:type="dxa"/>
                    <w:left w:w="10" w:type="dxa"/>
                    <w:right w:w="10" w:type="dxa"/>
                  </w:tcMar>
                  <w:vAlign w:val="center"/>
                </w:tcPr>
                <w:p w14:paraId="390A6461">
                  <w:pPr>
                    <w:pStyle w:val="29"/>
                    <w:rPr>
                      <w:color w:val="0000FF"/>
                    </w:rPr>
                  </w:pPr>
                  <w:r>
                    <w:rPr>
                      <w:color w:val="0000FF"/>
                    </w:rPr>
                    <w:t>10</w:t>
                  </w:r>
                  <w:r>
                    <w:rPr>
                      <w:rFonts w:hint="eastAsia"/>
                      <w:color w:val="0000FF"/>
                    </w:rPr>
                    <w:t>0</w:t>
                  </w:r>
                </w:p>
              </w:tc>
              <w:tc>
                <w:tcPr>
                  <w:tcW w:w="745" w:type="pct"/>
                  <w:noWrap/>
                  <w:tcMar>
                    <w:top w:w="10" w:type="dxa"/>
                    <w:left w:w="10" w:type="dxa"/>
                    <w:right w:w="10" w:type="dxa"/>
                  </w:tcMar>
                  <w:vAlign w:val="center"/>
                </w:tcPr>
                <w:p w14:paraId="5EB9A518">
                  <w:pPr>
                    <w:pStyle w:val="29"/>
                    <w:rPr>
                      <w:color w:val="0000FF"/>
                    </w:rPr>
                  </w:pPr>
                  <w:r>
                    <w:rPr>
                      <w:color w:val="0000FF"/>
                    </w:rPr>
                    <w:t>达标</w:t>
                  </w:r>
                </w:p>
              </w:tc>
            </w:tr>
            <w:tr w14:paraId="6E2C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42" w:type="pct"/>
                  <w:shd w:val="clear" w:color="auto" w:fill="auto"/>
                  <w:noWrap/>
                  <w:tcMar>
                    <w:top w:w="10" w:type="dxa"/>
                    <w:left w:w="10" w:type="dxa"/>
                    <w:right w:w="10" w:type="dxa"/>
                  </w:tcMar>
                  <w:vAlign w:val="center"/>
                </w:tcPr>
                <w:p w14:paraId="6BB7C9D1">
                  <w:pPr>
                    <w:pStyle w:val="29"/>
                    <w:rPr>
                      <w:color w:val="0000FF"/>
                    </w:rPr>
                  </w:pPr>
                  <w:r>
                    <w:rPr>
                      <w:color w:val="0000FF"/>
                    </w:rPr>
                    <w:t>SO</w:t>
                  </w:r>
                  <w:r>
                    <w:rPr>
                      <w:color w:val="0000FF"/>
                      <w:vertAlign w:val="subscript"/>
                    </w:rPr>
                    <w:t>2</w:t>
                  </w:r>
                </w:p>
              </w:tc>
              <w:tc>
                <w:tcPr>
                  <w:tcW w:w="1130" w:type="pct"/>
                  <w:shd w:val="clear" w:color="auto" w:fill="auto"/>
                  <w:noWrap/>
                  <w:tcMar>
                    <w:top w:w="10" w:type="dxa"/>
                    <w:left w:w="10" w:type="dxa"/>
                    <w:right w:w="10" w:type="dxa"/>
                  </w:tcMar>
                  <w:vAlign w:val="center"/>
                </w:tcPr>
                <w:p w14:paraId="04C63E55">
                  <w:pPr>
                    <w:pStyle w:val="29"/>
                    <w:rPr>
                      <w:color w:val="0000FF"/>
                    </w:rPr>
                  </w:pPr>
                  <w:r>
                    <w:rPr>
                      <w:color w:val="0000FF"/>
                    </w:rPr>
                    <w:t>年均浓度</w:t>
                  </w:r>
                </w:p>
              </w:tc>
              <w:tc>
                <w:tcPr>
                  <w:tcW w:w="922" w:type="pct"/>
                  <w:shd w:val="clear" w:color="auto" w:fill="auto"/>
                  <w:noWrap/>
                  <w:tcMar>
                    <w:top w:w="10" w:type="dxa"/>
                    <w:left w:w="10" w:type="dxa"/>
                    <w:right w:w="10" w:type="dxa"/>
                  </w:tcMar>
                  <w:vAlign w:val="center"/>
                </w:tcPr>
                <w:p w14:paraId="4451E978">
                  <w:pPr>
                    <w:pStyle w:val="29"/>
                    <w:rPr>
                      <w:color w:val="0000FF"/>
                    </w:rPr>
                  </w:pPr>
                  <w:r>
                    <w:rPr>
                      <w:color w:val="0000FF"/>
                    </w:rPr>
                    <w:t>60</w:t>
                  </w:r>
                </w:p>
              </w:tc>
              <w:tc>
                <w:tcPr>
                  <w:tcW w:w="920" w:type="pct"/>
                  <w:shd w:val="clear" w:color="auto" w:fill="auto"/>
                  <w:noWrap/>
                  <w:tcMar>
                    <w:top w:w="10" w:type="dxa"/>
                    <w:left w:w="10" w:type="dxa"/>
                    <w:right w:w="10" w:type="dxa"/>
                  </w:tcMar>
                  <w:vAlign w:val="center"/>
                </w:tcPr>
                <w:p w14:paraId="157668FA">
                  <w:pPr>
                    <w:pStyle w:val="29"/>
                    <w:rPr>
                      <w:color w:val="0000FF"/>
                    </w:rPr>
                  </w:pPr>
                  <w:r>
                    <w:rPr>
                      <w:color w:val="0000FF"/>
                    </w:rPr>
                    <w:t>7</w:t>
                  </w:r>
                </w:p>
              </w:tc>
              <w:tc>
                <w:tcPr>
                  <w:tcW w:w="737" w:type="pct"/>
                  <w:shd w:val="clear" w:color="000000" w:fill="auto"/>
                  <w:noWrap/>
                  <w:tcMar>
                    <w:top w:w="10" w:type="dxa"/>
                    <w:left w:w="10" w:type="dxa"/>
                    <w:right w:w="10" w:type="dxa"/>
                  </w:tcMar>
                  <w:vAlign w:val="center"/>
                </w:tcPr>
                <w:p w14:paraId="7AA60420">
                  <w:pPr>
                    <w:pStyle w:val="29"/>
                    <w:rPr>
                      <w:color w:val="0000FF"/>
                    </w:rPr>
                  </w:pPr>
                  <w:r>
                    <w:rPr>
                      <w:color w:val="0000FF"/>
                    </w:rPr>
                    <w:t>11.67</w:t>
                  </w:r>
                </w:p>
              </w:tc>
              <w:tc>
                <w:tcPr>
                  <w:tcW w:w="745" w:type="pct"/>
                  <w:noWrap/>
                  <w:tcMar>
                    <w:top w:w="10" w:type="dxa"/>
                    <w:left w:w="10" w:type="dxa"/>
                    <w:right w:w="10" w:type="dxa"/>
                  </w:tcMar>
                  <w:vAlign w:val="center"/>
                </w:tcPr>
                <w:p w14:paraId="4DF94080">
                  <w:pPr>
                    <w:pStyle w:val="29"/>
                    <w:rPr>
                      <w:color w:val="0000FF"/>
                    </w:rPr>
                  </w:pPr>
                  <w:r>
                    <w:rPr>
                      <w:color w:val="0000FF"/>
                    </w:rPr>
                    <w:t>达标</w:t>
                  </w:r>
                </w:p>
              </w:tc>
            </w:tr>
            <w:tr w14:paraId="0E6B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42" w:type="pct"/>
                  <w:shd w:val="clear" w:color="auto" w:fill="auto"/>
                  <w:noWrap/>
                  <w:tcMar>
                    <w:top w:w="10" w:type="dxa"/>
                    <w:left w:w="10" w:type="dxa"/>
                    <w:right w:w="10" w:type="dxa"/>
                  </w:tcMar>
                  <w:vAlign w:val="center"/>
                </w:tcPr>
                <w:p w14:paraId="364CE758">
                  <w:pPr>
                    <w:pStyle w:val="29"/>
                    <w:rPr>
                      <w:color w:val="0000FF"/>
                    </w:rPr>
                  </w:pPr>
                  <w:r>
                    <w:rPr>
                      <w:color w:val="0000FF"/>
                    </w:rPr>
                    <w:t>NO</w:t>
                  </w:r>
                  <w:r>
                    <w:rPr>
                      <w:color w:val="0000FF"/>
                      <w:vertAlign w:val="subscript"/>
                    </w:rPr>
                    <w:t>2</w:t>
                  </w:r>
                </w:p>
              </w:tc>
              <w:tc>
                <w:tcPr>
                  <w:tcW w:w="1130" w:type="pct"/>
                  <w:shd w:val="clear" w:color="auto" w:fill="auto"/>
                  <w:noWrap/>
                  <w:tcMar>
                    <w:top w:w="10" w:type="dxa"/>
                    <w:left w:w="10" w:type="dxa"/>
                    <w:right w:w="10" w:type="dxa"/>
                  </w:tcMar>
                  <w:vAlign w:val="center"/>
                </w:tcPr>
                <w:p w14:paraId="3F53ECB7">
                  <w:pPr>
                    <w:pStyle w:val="29"/>
                    <w:rPr>
                      <w:color w:val="0000FF"/>
                    </w:rPr>
                  </w:pPr>
                  <w:r>
                    <w:rPr>
                      <w:color w:val="0000FF"/>
                    </w:rPr>
                    <w:t>年均浓度</w:t>
                  </w:r>
                </w:p>
              </w:tc>
              <w:tc>
                <w:tcPr>
                  <w:tcW w:w="922" w:type="pct"/>
                  <w:shd w:val="clear" w:color="auto" w:fill="auto"/>
                  <w:noWrap/>
                  <w:tcMar>
                    <w:top w:w="10" w:type="dxa"/>
                    <w:left w:w="10" w:type="dxa"/>
                    <w:right w:w="10" w:type="dxa"/>
                  </w:tcMar>
                  <w:vAlign w:val="center"/>
                </w:tcPr>
                <w:p w14:paraId="11AD08D7">
                  <w:pPr>
                    <w:pStyle w:val="29"/>
                    <w:rPr>
                      <w:color w:val="0000FF"/>
                    </w:rPr>
                  </w:pPr>
                  <w:r>
                    <w:rPr>
                      <w:color w:val="0000FF"/>
                    </w:rPr>
                    <w:t>40</w:t>
                  </w:r>
                </w:p>
              </w:tc>
              <w:tc>
                <w:tcPr>
                  <w:tcW w:w="920" w:type="pct"/>
                  <w:shd w:val="clear" w:color="auto" w:fill="auto"/>
                  <w:noWrap/>
                  <w:tcMar>
                    <w:top w:w="10" w:type="dxa"/>
                    <w:left w:w="10" w:type="dxa"/>
                    <w:right w:w="10" w:type="dxa"/>
                  </w:tcMar>
                  <w:vAlign w:val="center"/>
                </w:tcPr>
                <w:p w14:paraId="3638EA36">
                  <w:pPr>
                    <w:pStyle w:val="29"/>
                    <w:rPr>
                      <w:color w:val="0000FF"/>
                    </w:rPr>
                  </w:pPr>
                  <w:r>
                    <w:rPr>
                      <w:rFonts w:hint="eastAsia"/>
                      <w:color w:val="0000FF"/>
                    </w:rPr>
                    <w:t>23</w:t>
                  </w:r>
                </w:p>
              </w:tc>
              <w:tc>
                <w:tcPr>
                  <w:tcW w:w="737" w:type="pct"/>
                  <w:shd w:val="clear" w:color="000000" w:fill="auto"/>
                  <w:noWrap/>
                  <w:tcMar>
                    <w:top w:w="10" w:type="dxa"/>
                    <w:left w:w="10" w:type="dxa"/>
                    <w:right w:w="10" w:type="dxa"/>
                  </w:tcMar>
                  <w:vAlign w:val="center"/>
                </w:tcPr>
                <w:p w14:paraId="407DE5BF">
                  <w:pPr>
                    <w:pStyle w:val="29"/>
                    <w:rPr>
                      <w:color w:val="0000FF"/>
                    </w:rPr>
                  </w:pPr>
                  <w:r>
                    <w:rPr>
                      <w:rFonts w:hint="eastAsia"/>
                      <w:color w:val="0000FF"/>
                    </w:rPr>
                    <w:t>57.5</w:t>
                  </w:r>
                </w:p>
              </w:tc>
              <w:tc>
                <w:tcPr>
                  <w:tcW w:w="745" w:type="pct"/>
                  <w:noWrap/>
                  <w:tcMar>
                    <w:top w:w="10" w:type="dxa"/>
                    <w:left w:w="10" w:type="dxa"/>
                    <w:right w:w="10" w:type="dxa"/>
                  </w:tcMar>
                  <w:vAlign w:val="center"/>
                </w:tcPr>
                <w:p w14:paraId="38E398D8">
                  <w:pPr>
                    <w:pStyle w:val="29"/>
                    <w:rPr>
                      <w:color w:val="0000FF"/>
                    </w:rPr>
                  </w:pPr>
                  <w:r>
                    <w:rPr>
                      <w:color w:val="0000FF"/>
                    </w:rPr>
                    <w:t>达标</w:t>
                  </w:r>
                </w:p>
              </w:tc>
            </w:tr>
            <w:tr w14:paraId="4960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42" w:type="pct"/>
                  <w:shd w:val="clear" w:color="auto" w:fill="auto"/>
                  <w:noWrap/>
                  <w:tcMar>
                    <w:top w:w="10" w:type="dxa"/>
                    <w:left w:w="10" w:type="dxa"/>
                    <w:right w:w="10" w:type="dxa"/>
                  </w:tcMar>
                  <w:vAlign w:val="center"/>
                </w:tcPr>
                <w:p w14:paraId="48B80FC7">
                  <w:pPr>
                    <w:pStyle w:val="29"/>
                    <w:rPr>
                      <w:color w:val="0000FF"/>
                    </w:rPr>
                  </w:pPr>
                  <w:r>
                    <w:rPr>
                      <w:color w:val="0000FF"/>
                    </w:rPr>
                    <w:t>CO</w:t>
                  </w:r>
                </w:p>
              </w:tc>
              <w:tc>
                <w:tcPr>
                  <w:tcW w:w="1130" w:type="pct"/>
                  <w:shd w:val="clear" w:color="auto" w:fill="auto"/>
                  <w:noWrap/>
                  <w:tcMar>
                    <w:top w:w="10" w:type="dxa"/>
                    <w:left w:w="10" w:type="dxa"/>
                    <w:right w:w="10" w:type="dxa"/>
                  </w:tcMar>
                  <w:vAlign w:val="center"/>
                </w:tcPr>
                <w:p w14:paraId="58422FB1">
                  <w:pPr>
                    <w:pStyle w:val="29"/>
                    <w:rPr>
                      <w:color w:val="0000FF"/>
                    </w:rPr>
                  </w:pPr>
                  <w:r>
                    <w:rPr>
                      <w:color w:val="0000FF"/>
                    </w:rPr>
                    <w:t>日均浓度</w:t>
                  </w:r>
                </w:p>
              </w:tc>
              <w:tc>
                <w:tcPr>
                  <w:tcW w:w="922" w:type="pct"/>
                  <w:shd w:val="clear" w:color="auto" w:fill="auto"/>
                  <w:noWrap/>
                  <w:tcMar>
                    <w:top w:w="10" w:type="dxa"/>
                    <w:left w:w="10" w:type="dxa"/>
                    <w:right w:w="10" w:type="dxa"/>
                  </w:tcMar>
                  <w:vAlign w:val="center"/>
                </w:tcPr>
                <w:p w14:paraId="7E2C7070">
                  <w:pPr>
                    <w:pStyle w:val="29"/>
                    <w:rPr>
                      <w:color w:val="0000FF"/>
                    </w:rPr>
                  </w:pPr>
                  <w:r>
                    <w:rPr>
                      <w:color w:val="0000FF"/>
                    </w:rPr>
                    <w:t>4000</w:t>
                  </w:r>
                </w:p>
              </w:tc>
              <w:tc>
                <w:tcPr>
                  <w:tcW w:w="920" w:type="pct"/>
                  <w:shd w:val="clear" w:color="auto" w:fill="auto"/>
                  <w:tcMar>
                    <w:top w:w="10" w:type="dxa"/>
                    <w:left w:w="10" w:type="dxa"/>
                    <w:right w:w="10" w:type="dxa"/>
                  </w:tcMar>
                  <w:vAlign w:val="center"/>
                </w:tcPr>
                <w:p w14:paraId="09E28269">
                  <w:pPr>
                    <w:pStyle w:val="29"/>
                    <w:rPr>
                      <w:color w:val="0000FF"/>
                    </w:rPr>
                  </w:pPr>
                  <w:r>
                    <w:rPr>
                      <w:rFonts w:hint="eastAsia"/>
                      <w:color w:val="0000FF"/>
                    </w:rPr>
                    <w:t>900</w:t>
                  </w:r>
                </w:p>
              </w:tc>
              <w:tc>
                <w:tcPr>
                  <w:tcW w:w="737" w:type="pct"/>
                  <w:shd w:val="clear" w:color="000000" w:fill="auto"/>
                  <w:noWrap/>
                  <w:tcMar>
                    <w:top w:w="10" w:type="dxa"/>
                    <w:left w:w="10" w:type="dxa"/>
                    <w:right w:w="10" w:type="dxa"/>
                  </w:tcMar>
                  <w:vAlign w:val="center"/>
                </w:tcPr>
                <w:p w14:paraId="51B1A43A">
                  <w:pPr>
                    <w:pStyle w:val="29"/>
                    <w:rPr>
                      <w:color w:val="0000FF"/>
                    </w:rPr>
                  </w:pPr>
                  <w:r>
                    <w:rPr>
                      <w:rFonts w:hint="eastAsia"/>
                      <w:color w:val="0000FF"/>
                    </w:rPr>
                    <w:t>22.5</w:t>
                  </w:r>
                </w:p>
              </w:tc>
              <w:tc>
                <w:tcPr>
                  <w:tcW w:w="745" w:type="pct"/>
                  <w:noWrap/>
                  <w:tcMar>
                    <w:top w:w="10" w:type="dxa"/>
                    <w:left w:w="10" w:type="dxa"/>
                    <w:right w:w="10" w:type="dxa"/>
                  </w:tcMar>
                  <w:vAlign w:val="center"/>
                </w:tcPr>
                <w:p w14:paraId="26F613BF">
                  <w:pPr>
                    <w:pStyle w:val="29"/>
                    <w:rPr>
                      <w:color w:val="0000FF"/>
                    </w:rPr>
                  </w:pPr>
                  <w:r>
                    <w:rPr>
                      <w:color w:val="0000FF"/>
                    </w:rPr>
                    <w:t>达标</w:t>
                  </w:r>
                </w:p>
              </w:tc>
            </w:tr>
            <w:tr w14:paraId="60D8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42" w:type="pct"/>
                  <w:shd w:val="clear" w:color="auto" w:fill="auto"/>
                  <w:noWrap/>
                  <w:tcMar>
                    <w:top w:w="10" w:type="dxa"/>
                    <w:left w:w="10" w:type="dxa"/>
                    <w:right w:w="10" w:type="dxa"/>
                  </w:tcMar>
                  <w:vAlign w:val="center"/>
                </w:tcPr>
                <w:p w14:paraId="0FC0351C">
                  <w:pPr>
                    <w:pStyle w:val="29"/>
                    <w:rPr>
                      <w:color w:val="0000FF"/>
                    </w:rPr>
                  </w:pPr>
                  <w:r>
                    <w:rPr>
                      <w:color w:val="0000FF"/>
                    </w:rPr>
                    <w:t>O</w:t>
                  </w:r>
                  <w:r>
                    <w:rPr>
                      <w:color w:val="0000FF"/>
                      <w:vertAlign w:val="subscript"/>
                    </w:rPr>
                    <w:t>3</w:t>
                  </w:r>
                </w:p>
              </w:tc>
              <w:tc>
                <w:tcPr>
                  <w:tcW w:w="1130" w:type="pct"/>
                  <w:shd w:val="clear" w:color="auto" w:fill="auto"/>
                  <w:tcMar>
                    <w:top w:w="10" w:type="dxa"/>
                    <w:left w:w="10" w:type="dxa"/>
                    <w:right w:w="10" w:type="dxa"/>
                  </w:tcMar>
                  <w:vAlign w:val="center"/>
                </w:tcPr>
                <w:p w14:paraId="5BC22FF0">
                  <w:pPr>
                    <w:pStyle w:val="29"/>
                    <w:rPr>
                      <w:color w:val="0000FF"/>
                    </w:rPr>
                  </w:pPr>
                  <w:r>
                    <w:rPr>
                      <w:color w:val="0000FF"/>
                    </w:rPr>
                    <w:t>日均最大8h浓度</w:t>
                  </w:r>
                </w:p>
              </w:tc>
              <w:tc>
                <w:tcPr>
                  <w:tcW w:w="922" w:type="pct"/>
                  <w:shd w:val="clear" w:color="auto" w:fill="auto"/>
                  <w:noWrap/>
                  <w:tcMar>
                    <w:top w:w="10" w:type="dxa"/>
                    <w:left w:w="10" w:type="dxa"/>
                    <w:right w:w="10" w:type="dxa"/>
                  </w:tcMar>
                  <w:vAlign w:val="center"/>
                </w:tcPr>
                <w:p w14:paraId="43B5EFF1">
                  <w:pPr>
                    <w:pStyle w:val="29"/>
                    <w:rPr>
                      <w:color w:val="0000FF"/>
                    </w:rPr>
                  </w:pPr>
                  <w:r>
                    <w:rPr>
                      <w:color w:val="0000FF"/>
                    </w:rPr>
                    <w:t>160</w:t>
                  </w:r>
                </w:p>
              </w:tc>
              <w:tc>
                <w:tcPr>
                  <w:tcW w:w="920" w:type="pct"/>
                  <w:shd w:val="clear" w:color="auto" w:fill="auto"/>
                  <w:noWrap/>
                  <w:tcMar>
                    <w:top w:w="10" w:type="dxa"/>
                    <w:left w:w="10" w:type="dxa"/>
                    <w:right w:w="10" w:type="dxa"/>
                  </w:tcMar>
                  <w:vAlign w:val="center"/>
                </w:tcPr>
                <w:p w14:paraId="35C2BDA7">
                  <w:pPr>
                    <w:pStyle w:val="29"/>
                    <w:rPr>
                      <w:color w:val="0000FF"/>
                    </w:rPr>
                  </w:pPr>
                  <w:r>
                    <w:rPr>
                      <w:rFonts w:hint="eastAsia"/>
                      <w:color w:val="0000FF"/>
                    </w:rPr>
                    <w:t>166</w:t>
                  </w:r>
                </w:p>
              </w:tc>
              <w:tc>
                <w:tcPr>
                  <w:tcW w:w="737" w:type="pct"/>
                  <w:shd w:val="clear" w:color="000000" w:fill="auto"/>
                  <w:noWrap/>
                  <w:tcMar>
                    <w:top w:w="10" w:type="dxa"/>
                    <w:left w:w="10" w:type="dxa"/>
                    <w:right w:w="10" w:type="dxa"/>
                  </w:tcMar>
                  <w:vAlign w:val="center"/>
                </w:tcPr>
                <w:p w14:paraId="0AF285FD">
                  <w:pPr>
                    <w:pStyle w:val="29"/>
                    <w:rPr>
                      <w:color w:val="0000FF"/>
                    </w:rPr>
                  </w:pPr>
                  <w:r>
                    <w:rPr>
                      <w:rFonts w:hint="eastAsia"/>
                      <w:color w:val="0000FF"/>
                    </w:rPr>
                    <w:t>103.8</w:t>
                  </w:r>
                </w:p>
              </w:tc>
              <w:tc>
                <w:tcPr>
                  <w:tcW w:w="745" w:type="pct"/>
                  <w:noWrap/>
                  <w:tcMar>
                    <w:top w:w="10" w:type="dxa"/>
                    <w:left w:w="10" w:type="dxa"/>
                    <w:right w:w="10" w:type="dxa"/>
                  </w:tcMar>
                  <w:vAlign w:val="center"/>
                </w:tcPr>
                <w:p w14:paraId="150AF7FB">
                  <w:pPr>
                    <w:pStyle w:val="29"/>
                    <w:rPr>
                      <w:color w:val="0000FF"/>
                    </w:rPr>
                  </w:pPr>
                  <w:r>
                    <w:rPr>
                      <w:rFonts w:hint="eastAsia"/>
                      <w:color w:val="0000FF"/>
                    </w:rPr>
                    <w:t>超</w:t>
                  </w:r>
                  <w:r>
                    <w:rPr>
                      <w:color w:val="0000FF"/>
                    </w:rPr>
                    <w:t>标</w:t>
                  </w:r>
                </w:p>
              </w:tc>
            </w:tr>
          </w:tbl>
          <w:p w14:paraId="5B7AC19C">
            <w:pPr>
              <w:rPr>
                <w:color w:val="0000FF"/>
              </w:rPr>
            </w:pPr>
            <w:r>
              <w:rPr>
                <w:rFonts w:hint="eastAsia"/>
                <w:color w:val="0000FF"/>
              </w:rPr>
              <w:t>由以上数据可知，</w:t>
            </w:r>
            <w:r>
              <w:rPr>
                <w:color w:val="0000FF"/>
              </w:rPr>
              <w:t>项目所在区域大气污染物</w:t>
            </w:r>
            <w:r>
              <w:rPr>
                <w:rFonts w:hint="eastAsia"/>
                <w:color w:val="0000FF"/>
              </w:rPr>
              <w:t>年平均质量浓度中PM</w:t>
            </w:r>
            <w:r>
              <w:rPr>
                <w:rFonts w:hint="eastAsia"/>
                <w:color w:val="0000FF"/>
                <w:vertAlign w:val="subscript"/>
              </w:rPr>
              <w:t>2.5</w:t>
            </w:r>
            <w:r>
              <w:rPr>
                <w:rFonts w:hint="eastAsia"/>
                <w:color w:val="0000FF"/>
              </w:rPr>
              <w:t>、臭氧超标，其余四项指标均满足</w:t>
            </w:r>
            <w:r>
              <w:rPr>
                <w:color w:val="0000FF"/>
              </w:rPr>
              <w:t>《环境空气质量标准》（GB3095-2012）</w:t>
            </w:r>
            <w:r>
              <w:rPr>
                <w:rFonts w:hint="eastAsia"/>
                <w:color w:val="0000FF"/>
              </w:rPr>
              <w:t>及其修改单中</w:t>
            </w:r>
            <w:r>
              <w:rPr>
                <w:color w:val="0000FF"/>
              </w:rPr>
              <w:t>二级标准的要求</w:t>
            </w:r>
            <w:r>
              <w:rPr>
                <w:rFonts w:hint="eastAsia"/>
                <w:color w:val="0000FF"/>
              </w:rPr>
              <w:t>，环境空气属于不达标</w:t>
            </w:r>
            <w:commentRangeStart w:id="2"/>
            <w:r>
              <w:rPr>
                <w:rFonts w:hint="eastAsia"/>
                <w:color w:val="0000FF"/>
              </w:rPr>
              <w:t>区</w:t>
            </w:r>
            <w:commentRangeEnd w:id="2"/>
            <w:r>
              <w:rPr>
                <w:rStyle w:val="27"/>
              </w:rPr>
              <w:commentReference w:id="2"/>
            </w:r>
            <w:r>
              <w:rPr>
                <w:rFonts w:hint="eastAsia"/>
                <w:color w:val="0000FF"/>
              </w:rPr>
              <w:t>。</w:t>
            </w:r>
          </w:p>
          <w:p w14:paraId="0F62557E">
            <w:pPr>
              <w:ind w:firstLine="482"/>
              <w:rPr>
                <w:b/>
                <w:bCs/>
              </w:rPr>
            </w:pPr>
            <w:r>
              <w:rPr>
                <w:rFonts w:hint="eastAsia"/>
                <w:b/>
                <w:bCs/>
              </w:rPr>
              <w:t>2、地表水环境质量现状</w:t>
            </w:r>
            <w:bookmarkStart w:id="20" w:name="_Toc32651"/>
            <w:bookmarkStart w:id="21" w:name="_Toc27404"/>
            <w:bookmarkStart w:id="22" w:name="_Toc22044"/>
          </w:p>
          <w:bookmarkEnd w:id="20"/>
          <w:bookmarkEnd w:id="21"/>
          <w:bookmarkEnd w:id="22"/>
          <w:p w14:paraId="4A7671C1">
            <w:r>
              <w:rPr>
                <w:color w:val="0000FF"/>
              </w:rPr>
              <w:t>根据《淮北市202</w:t>
            </w:r>
            <w:r>
              <w:rPr>
                <w:rFonts w:hint="eastAsia"/>
                <w:color w:val="0000FF"/>
              </w:rPr>
              <w:t>3</w:t>
            </w:r>
            <w:r>
              <w:rPr>
                <w:color w:val="0000FF"/>
              </w:rPr>
              <w:t>年度生态环境状况公报》（淮北市生态环境局，202</w:t>
            </w:r>
            <w:r>
              <w:rPr>
                <w:rFonts w:hint="eastAsia"/>
                <w:color w:val="0000FF"/>
              </w:rPr>
              <w:t>4</w:t>
            </w:r>
            <w:r>
              <w:rPr>
                <w:color w:val="0000FF"/>
              </w:rPr>
              <w:t>年0</w:t>
            </w:r>
            <w:r>
              <w:rPr>
                <w:rFonts w:hint="eastAsia"/>
                <w:color w:val="0000FF"/>
              </w:rPr>
              <w:t>7</w:t>
            </w:r>
            <w:r>
              <w:rPr>
                <w:color w:val="0000FF"/>
              </w:rPr>
              <w:t>月</w:t>
            </w:r>
            <w:r>
              <w:rPr>
                <w:rFonts w:hint="eastAsia"/>
                <w:color w:val="0000FF"/>
              </w:rPr>
              <w:t>31</w:t>
            </w:r>
            <w:r>
              <w:rPr>
                <w:color w:val="0000FF"/>
              </w:rPr>
              <w:t>日），截至10月底，濉河符离闸、浍河东坪集、澥河李大桥闸国家考核断面水质类别均为Ⅲ类，沱河后常桥为Ⅳ类，水质优良比例为75%，达到年度考核目标要求。闸河君王桥、新北沱河蔡桥闸、孟沟入浍河三个省控断面水质类别分别为Ⅲ类、Ⅲ类、Ⅳ类，水质优良比例为66.7%，达到年度考核目标要求</w:t>
            </w:r>
            <w:r>
              <w:t>。本项目的纳污水体为老濉河，老濉河地表水环境质量数据引用《第二污水处理厂项目（一期）环境影响报告书》中的检测数据，检测单位为合肥森力检测技术服务有限公司，检测时间为2022年11月13日～2022年11月15日，满足《建设项目环境影响报告表编制技术指南（污染影响类）》：引用与建设项目距离近的有效数据，包括近3年的规划环境影响评价的检测数据，所在流域控制单元内国家、地方控制断面检测数据，生态环境主管部门发布的水环境质量数据或地表水达标情况的结论</w:t>
            </w:r>
            <w:r>
              <w:rPr>
                <w:rFonts w:hint="eastAsia"/>
              </w:rPr>
              <w:t>。</w:t>
            </w:r>
          </w:p>
          <w:p w14:paraId="3CF6CEAF">
            <w:r>
              <w:rPr>
                <w:rFonts w:hint="eastAsia"/>
              </w:rPr>
              <w:t>（1）检测因子</w:t>
            </w:r>
          </w:p>
          <w:p w14:paraId="6363D3AF">
            <w:r>
              <w:rPr>
                <w:rFonts w:hint="eastAsia"/>
              </w:rPr>
              <w:t>pH、COD、BOD</w:t>
            </w:r>
            <w:r>
              <w:rPr>
                <w:rFonts w:hint="eastAsia"/>
                <w:vertAlign w:val="subscript"/>
              </w:rPr>
              <w:t>5</w:t>
            </w:r>
            <w:r>
              <w:rPr>
                <w:rFonts w:hint="eastAsia"/>
              </w:rPr>
              <w:t>、NH</w:t>
            </w:r>
            <w:r>
              <w:rPr>
                <w:rFonts w:hint="eastAsia"/>
                <w:vertAlign w:val="subscript"/>
              </w:rPr>
              <w:t>3</w:t>
            </w:r>
            <w:r>
              <w:rPr>
                <w:rFonts w:hint="eastAsia"/>
              </w:rPr>
              <w:t>-N、总磷、总氮、石油类。</w:t>
            </w:r>
          </w:p>
          <w:p w14:paraId="07BCBEB0">
            <w:r>
              <w:rPr>
                <w:rFonts w:hint="eastAsia"/>
              </w:rPr>
              <w:t>（2）监测点位</w:t>
            </w:r>
          </w:p>
          <w:p w14:paraId="6EEC1ECE">
            <w:pPr>
              <w:pStyle w:val="32"/>
              <w:spacing w:line="360" w:lineRule="auto"/>
              <w:ind w:firstLine="480" w:firstLineChars="200"/>
              <w:jc w:val="both"/>
              <w:rPr>
                <w:rFonts w:hint="default"/>
              </w:rPr>
            </w:pPr>
            <w:r>
              <w:rPr>
                <w:rFonts w:hint="default"/>
                <w:b w:val="0"/>
              </w:rPr>
              <w:t>地表水监测断面一览表见下表。</w:t>
            </w:r>
          </w:p>
          <w:p w14:paraId="7366BFDE">
            <w:pPr>
              <w:pStyle w:val="32"/>
              <w:rPr>
                <w:rFonts w:hint="default"/>
              </w:rPr>
            </w:pPr>
            <w:r>
              <w:t>表3-2  地表水现状监测断面设置一览表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088"/>
              <w:gridCol w:w="4079"/>
              <w:gridCol w:w="1536"/>
            </w:tblGrid>
            <w:tr w14:paraId="2FFD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70" w:type="pct"/>
                  <w:vAlign w:val="center"/>
                </w:tcPr>
                <w:p w14:paraId="47DB8B61">
                  <w:pPr>
                    <w:pStyle w:val="29"/>
                  </w:pPr>
                  <w:r>
                    <w:t>河流</w:t>
                  </w:r>
                </w:p>
              </w:tc>
              <w:tc>
                <w:tcPr>
                  <w:tcW w:w="719" w:type="pct"/>
                  <w:vAlign w:val="center"/>
                </w:tcPr>
                <w:p w14:paraId="4C7ED916">
                  <w:pPr>
                    <w:pStyle w:val="29"/>
                  </w:pPr>
                  <w:r>
                    <w:t>断面编号</w:t>
                  </w:r>
                </w:p>
              </w:tc>
              <w:tc>
                <w:tcPr>
                  <w:tcW w:w="2695" w:type="pct"/>
                  <w:vAlign w:val="center"/>
                </w:tcPr>
                <w:p w14:paraId="395AFA75">
                  <w:pPr>
                    <w:pStyle w:val="29"/>
                  </w:pPr>
                  <w:r>
                    <w:t>断面位置</w:t>
                  </w:r>
                </w:p>
              </w:tc>
              <w:tc>
                <w:tcPr>
                  <w:tcW w:w="1015" w:type="pct"/>
                  <w:vAlign w:val="center"/>
                </w:tcPr>
                <w:p w14:paraId="72472FB2">
                  <w:pPr>
                    <w:pStyle w:val="29"/>
                  </w:pPr>
                  <w:r>
                    <w:t>监测项目</w:t>
                  </w:r>
                </w:p>
              </w:tc>
            </w:tr>
            <w:tr w14:paraId="3200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pct"/>
                  <w:vMerge w:val="restart"/>
                  <w:vAlign w:val="center"/>
                </w:tcPr>
                <w:p w14:paraId="31FBF8BF">
                  <w:pPr>
                    <w:pStyle w:val="29"/>
                  </w:pPr>
                  <w:r>
                    <w:t>老濉河</w:t>
                  </w:r>
                </w:p>
              </w:tc>
              <w:tc>
                <w:tcPr>
                  <w:tcW w:w="719" w:type="pct"/>
                  <w:vAlign w:val="center"/>
                </w:tcPr>
                <w:p w14:paraId="2A8294C0">
                  <w:pPr>
                    <w:pStyle w:val="29"/>
                  </w:pPr>
                  <w:r>
                    <w:rPr>
                      <w:rFonts w:hint="eastAsia"/>
                    </w:rPr>
                    <w:t>1#</w:t>
                  </w:r>
                </w:p>
              </w:tc>
              <w:tc>
                <w:tcPr>
                  <w:tcW w:w="2695" w:type="pct"/>
                  <w:vAlign w:val="center"/>
                </w:tcPr>
                <w:p w14:paraId="6E9149A9">
                  <w:pPr>
                    <w:pStyle w:val="29"/>
                  </w:pPr>
                  <w:r>
                    <w:rPr>
                      <w:rFonts w:hint="eastAsia"/>
                    </w:rPr>
                    <w:t>污水处理厂排污口上</w:t>
                  </w:r>
                  <w:r>
                    <w:t>游 500m</w:t>
                  </w:r>
                </w:p>
              </w:tc>
              <w:tc>
                <w:tcPr>
                  <w:tcW w:w="1015" w:type="pct"/>
                  <w:vMerge w:val="restart"/>
                  <w:vAlign w:val="center"/>
                </w:tcPr>
                <w:p w14:paraId="56C3D646">
                  <w:pPr>
                    <w:pStyle w:val="29"/>
                  </w:pPr>
                  <w:r>
                    <w:rPr>
                      <w:rFonts w:hint="eastAsia"/>
                    </w:rPr>
                    <w:t>pH、COD、BOD</w:t>
                  </w:r>
                  <w:r>
                    <w:rPr>
                      <w:rFonts w:hint="eastAsia"/>
                      <w:vertAlign w:val="subscript"/>
                    </w:rPr>
                    <w:t>5</w:t>
                  </w:r>
                  <w:r>
                    <w:rPr>
                      <w:rFonts w:hint="eastAsia"/>
                    </w:rPr>
                    <w:t>、NH</w:t>
                  </w:r>
                  <w:r>
                    <w:rPr>
                      <w:rFonts w:hint="eastAsia"/>
                      <w:vertAlign w:val="subscript"/>
                    </w:rPr>
                    <w:t>3</w:t>
                  </w:r>
                  <w:r>
                    <w:rPr>
                      <w:rFonts w:hint="eastAsia"/>
                    </w:rPr>
                    <w:t>-N、总磷、总氮、石油类。</w:t>
                  </w:r>
                </w:p>
              </w:tc>
            </w:tr>
            <w:tr w14:paraId="50E9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pct"/>
                  <w:vMerge w:val="continue"/>
                  <w:vAlign w:val="center"/>
                </w:tcPr>
                <w:p w14:paraId="4922BF64">
                  <w:pPr>
                    <w:pStyle w:val="29"/>
                  </w:pPr>
                </w:p>
              </w:tc>
              <w:tc>
                <w:tcPr>
                  <w:tcW w:w="719" w:type="pct"/>
                  <w:vAlign w:val="center"/>
                </w:tcPr>
                <w:p w14:paraId="5515484D">
                  <w:pPr>
                    <w:pStyle w:val="29"/>
                  </w:pPr>
                  <w:r>
                    <w:rPr>
                      <w:rFonts w:hint="eastAsia"/>
                    </w:rPr>
                    <w:t>2#</w:t>
                  </w:r>
                </w:p>
              </w:tc>
              <w:tc>
                <w:tcPr>
                  <w:tcW w:w="2695" w:type="pct"/>
                  <w:vAlign w:val="center"/>
                </w:tcPr>
                <w:p w14:paraId="2C839E2C">
                  <w:pPr>
                    <w:pStyle w:val="29"/>
                  </w:pPr>
                  <w:r>
                    <w:rPr>
                      <w:rFonts w:hint="eastAsia"/>
                    </w:rPr>
                    <w:t>污水处理厂排污口处</w:t>
                  </w:r>
                </w:p>
              </w:tc>
              <w:tc>
                <w:tcPr>
                  <w:tcW w:w="1015" w:type="pct"/>
                  <w:vMerge w:val="continue"/>
                  <w:vAlign w:val="center"/>
                </w:tcPr>
                <w:p w14:paraId="5057BC8D">
                  <w:pPr>
                    <w:pStyle w:val="29"/>
                  </w:pPr>
                </w:p>
              </w:tc>
            </w:tr>
            <w:tr w14:paraId="26E0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pct"/>
                  <w:vMerge w:val="continue"/>
                  <w:vAlign w:val="center"/>
                </w:tcPr>
                <w:p w14:paraId="1E723858">
                  <w:pPr>
                    <w:pStyle w:val="29"/>
                  </w:pPr>
                </w:p>
              </w:tc>
              <w:tc>
                <w:tcPr>
                  <w:tcW w:w="719" w:type="pct"/>
                  <w:vAlign w:val="center"/>
                </w:tcPr>
                <w:p w14:paraId="1EE840EB">
                  <w:pPr>
                    <w:pStyle w:val="29"/>
                  </w:pPr>
                  <w:r>
                    <w:rPr>
                      <w:rFonts w:hint="eastAsia"/>
                    </w:rPr>
                    <w:t>3#</w:t>
                  </w:r>
                </w:p>
              </w:tc>
              <w:tc>
                <w:tcPr>
                  <w:tcW w:w="2695" w:type="pct"/>
                  <w:vAlign w:val="center"/>
                </w:tcPr>
                <w:p w14:paraId="4F0F2CA5">
                  <w:pPr>
                    <w:pStyle w:val="29"/>
                  </w:pPr>
                  <w:r>
                    <w:rPr>
                      <w:rFonts w:hint="eastAsia"/>
                    </w:rPr>
                    <w:t>污水处理厂排污口</w:t>
                  </w:r>
                  <w:r>
                    <w:t>下游 500m</w:t>
                  </w:r>
                </w:p>
              </w:tc>
              <w:tc>
                <w:tcPr>
                  <w:tcW w:w="1015" w:type="pct"/>
                  <w:vMerge w:val="continue"/>
                  <w:vAlign w:val="center"/>
                </w:tcPr>
                <w:p w14:paraId="14309567">
                  <w:pPr>
                    <w:pStyle w:val="29"/>
                  </w:pPr>
                </w:p>
              </w:tc>
            </w:tr>
            <w:tr w14:paraId="3B5F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570" w:type="pct"/>
                  <w:vMerge w:val="continue"/>
                  <w:vAlign w:val="center"/>
                </w:tcPr>
                <w:p w14:paraId="06F51EB5">
                  <w:pPr>
                    <w:pStyle w:val="29"/>
                  </w:pPr>
                </w:p>
              </w:tc>
              <w:tc>
                <w:tcPr>
                  <w:tcW w:w="719" w:type="pct"/>
                  <w:vAlign w:val="center"/>
                </w:tcPr>
                <w:p w14:paraId="04A7C9B8">
                  <w:pPr>
                    <w:pStyle w:val="29"/>
                  </w:pPr>
                  <w:r>
                    <w:rPr>
                      <w:rFonts w:hint="eastAsia"/>
                    </w:rPr>
                    <w:t>4#</w:t>
                  </w:r>
                </w:p>
              </w:tc>
              <w:tc>
                <w:tcPr>
                  <w:tcW w:w="2695" w:type="pct"/>
                  <w:vAlign w:val="center"/>
                </w:tcPr>
                <w:p w14:paraId="33F241A8">
                  <w:pPr>
                    <w:pStyle w:val="29"/>
                  </w:pPr>
                  <w:r>
                    <w:rPr>
                      <w:rFonts w:hint="eastAsia"/>
                    </w:rPr>
                    <w:t>污水处理厂排污口</w:t>
                  </w:r>
                  <w:r>
                    <w:t xml:space="preserve">下游 1500m </w:t>
                  </w:r>
                </w:p>
              </w:tc>
              <w:tc>
                <w:tcPr>
                  <w:tcW w:w="1015" w:type="pct"/>
                  <w:vMerge w:val="continue"/>
                  <w:vAlign w:val="center"/>
                </w:tcPr>
                <w:p w14:paraId="6FCD8B24">
                  <w:pPr>
                    <w:pStyle w:val="29"/>
                  </w:pPr>
                </w:p>
              </w:tc>
            </w:tr>
            <w:tr w14:paraId="5A2B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570" w:type="pct"/>
                  <w:vMerge w:val="continue"/>
                  <w:vAlign w:val="center"/>
                </w:tcPr>
                <w:p w14:paraId="67E25A0B">
                  <w:pPr>
                    <w:pStyle w:val="29"/>
                  </w:pPr>
                </w:p>
              </w:tc>
              <w:tc>
                <w:tcPr>
                  <w:tcW w:w="719" w:type="pct"/>
                  <w:vAlign w:val="center"/>
                </w:tcPr>
                <w:p w14:paraId="71A5440A">
                  <w:pPr>
                    <w:pStyle w:val="29"/>
                  </w:pPr>
                  <w:r>
                    <w:rPr>
                      <w:rFonts w:hint="eastAsia"/>
                    </w:rPr>
                    <w:t>5#</w:t>
                  </w:r>
                </w:p>
              </w:tc>
              <w:tc>
                <w:tcPr>
                  <w:tcW w:w="2695" w:type="pct"/>
                  <w:vAlign w:val="center"/>
                </w:tcPr>
                <w:p w14:paraId="6C3030FC">
                  <w:pPr>
                    <w:pStyle w:val="29"/>
                  </w:pPr>
                  <w:r>
                    <w:rPr>
                      <w:rFonts w:hint="eastAsia"/>
                    </w:rPr>
                    <w:t>污水处理厂排污口</w:t>
                  </w:r>
                  <w:r>
                    <w:t xml:space="preserve">下游 </w:t>
                  </w:r>
                  <w:r>
                    <w:rPr>
                      <w:rFonts w:hint="eastAsia"/>
                    </w:rPr>
                    <w:t>30</w:t>
                  </w:r>
                  <w:r>
                    <w:t xml:space="preserve">00m </w:t>
                  </w:r>
                </w:p>
              </w:tc>
              <w:tc>
                <w:tcPr>
                  <w:tcW w:w="1015" w:type="pct"/>
                  <w:vMerge w:val="continue"/>
                  <w:vAlign w:val="center"/>
                </w:tcPr>
                <w:p w14:paraId="0FD42F68">
                  <w:pPr>
                    <w:pStyle w:val="29"/>
                  </w:pPr>
                </w:p>
              </w:tc>
            </w:tr>
          </w:tbl>
          <w:p w14:paraId="4DF4D0D6">
            <w:r>
              <w:rPr>
                <w:rFonts w:hint="eastAsia"/>
              </w:rPr>
              <w:t>（3）</w:t>
            </w:r>
            <w:r>
              <w:t>监测结果</w:t>
            </w:r>
          </w:p>
          <w:p w14:paraId="43FC7C7B">
            <w:r>
              <w:t>监测结果见下表。</w:t>
            </w:r>
          </w:p>
          <w:p w14:paraId="48405340">
            <w:pPr>
              <w:pStyle w:val="32"/>
              <w:rPr>
                <w:rFonts w:hint="default"/>
              </w:rPr>
            </w:pPr>
            <w:r>
              <w:t>表3-3  地表水现状监测结果  单位：mg/L，pH无量纲</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61"/>
              <w:gridCol w:w="798"/>
              <w:gridCol w:w="798"/>
              <w:gridCol w:w="798"/>
              <w:gridCol w:w="809"/>
              <w:gridCol w:w="798"/>
              <w:gridCol w:w="800"/>
              <w:gridCol w:w="800"/>
            </w:tblGrid>
            <w:tr w14:paraId="7509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Align w:val="center"/>
                </w:tcPr>
                <w:p w14:paraId="66C68C8C">
                  <w:pPr>
                    <w:pStyle w:val="29"/>
                  </w:pPr>
                  <w:r>
                    <w:t>断面</w:t>
                  </w:r>
                </w:p>
              </w:tc>
              <w:tc>
                <w:tcPr>
                  <w:tcW w:w="741" w:type="pct"/>
                  <w:vAlign w:val="center"/>
                </w:tcPr>
                <w:p w14:paraId="6A0ACFF1">
                  <w:pPr>
                    <w:pStyle w:val="29"/>
                  </w:pPr>
                  <w:r>
                    <w:t>监测日期</w:t>
                  </w:r>
                </w:p>
              </w:tc>
              <w:tc>
                <w:tcPr>
                  <w:tcW w:w="532" w:type="pct"/>
                  <w:vAlign w:val="center"/>
                </w:tcPr>
                <w:p w14:paraId="3BD83EC5">
                  <w:pPr>
                    <w:pStyle w:val="29"/>
                  </w:pPr>
                  <w:r>
                    <w:t>pH</w:t>
                  </w:r>
                </w:p>
              </w:tc>
              <w:tc>
                <w:tcPr>
                  <w:tcW w:w="532" w:type="pct"/>
                  <w:vAlign w:val="center"/>
                </w:tcPr>
                <w:p w14:paraId="71ECECD2">
                  <w:pPr>
                    <w:pStyle w:val="29"/>
                  </w:pPr>
                  <w:r>
                    <w:t>BOD</w:t>
                  </w:r>
                  <w:r>
                    <w:rPr>
                      <w:vertAlign w:val="subscript"/>
                    </w:rPr>
                    <w:t>5</w:t>
                  </w:r>
                </w:p>
              </w:tc>
              <w:tc>
                <w:tcPr>
                  <w:tcW w:w="532" w:type="pct"/>
                  <w:vAlign w:val="center"/>
                </w:tcPr>
                <w:p w14:paraId="29462BA7">
                  <w:pPr>
                    <w:pStyle w:val="29"/>
                  </w:pPr>
                  <w:r>
                    <w:t>COD</w:t>
                  </w:r>
                </w:p>
              </w:tc>
              <w:tc>
                <w:tcPr>
                  <w:tcW w:w="532" w:type="pct"/>
                  <w:vAlign w:val="center"/>
                </w:tcPr>
                <w:p w14:paraId="040566C9">
                  <w:pPr>
                    <w:pStyle w:val="29"/>
                  </w:pPr>
                  <w:r>
                    <w:t>NH</w:t>
                  </w:r>
                  <w:r>
                    <w:rPr>
                      <w:vertAlign w:val="subscript"/>
                    </w:rPr>
                    <w:t>3</w:t>
                  </w:r>
                  <w:r>
                    <w:t>-N</w:t>
                  </w:r>
                </w:p>
              </w:tc>
              <w:tc>
                <w:tcPr>
                  <w:tcW w:w="532" w:type="pct"/>
                  <w:vAlign w:val="center"/>
                </w:tcPr>
                <w:p w14:paraId="5E44DA93">
                  <w:pPr>
                    <w:pStyle w:val="29"/>
                  </w:pPr>
                  <w:r>
                    <w:t>TN</w:t>
                  </w:r>
                </w:p>
              </w:tc>
              <w:tc>
                <w:tcPr>
                  <w:tcW w:w="533" w:type="pct"/>
                  <w:vAlign w:val="center"/>
                </w:tcPr>
                <w:p w14:paraId="12822407">
                  <w:pPr>
                    <w:pStyle w:val="29"/>
                  </w:pPr>
                  <w:r>
                    <w:t>TP</w:t>
                  </w:r>
                </w:p>
              </w:tc>
              <w:tc>
                <w:tcPr>
                  <w:tcW w:w="533" w:type="pct"/>
                  <w:vAlign w:val="center"/>
                </w:tcPr>
                <w:p w14:paraId="25ACE63A">
                  <w:pPr>
                    <w:pStyle w:val="29"/>
                  </w:pPr>
                  <w:r>
                    <w:t>石油类</w:t>
                  </w:r>
                </w:p>
              </w:tc>
            </w:tr>
            <w:tr w14:paraId="52CC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vAlign w:val="center"/>
                </w:tcPr>
                <w:p w14:paraId="78A0393A">
                  <w:pPr>
                    <w:pStyle w:val="29"/>
                  </w:pPr>
                  <w:r>
                    <w:t>1#</w:t>
                  </w:r>
                </w:p>
              </w:tc>
              <w:tc>
                <w:tcPr>
                  <w:tcW w:w="741" w:type="pct"/>
                  <w:vAlign w:val="center"/>
                </w:tcPr>
                <w:p w14:paraId="35C068F9">
                  <w:pPr>
                    <w:pStyle w:val="29"/>
                  </w:pPr>
                  <w:r>
                    <w:t>2022.11.13</w:t>
                  </w:r>
                </w:p>
              </w:tc>
              <w:tc>
                <w:tcPr>
                  <w:tcW w:w="532" w:type="pct"/>
                  <w:vAlign w:val="center"/>
                </w:tcPr>
                <w:p w14:paraId="3187D886">
                  <w:pPr>
                    <w:pStyle w:val="29"/>
                  </w:pPr>
                  <w:r>
                    <w:t>7.2</w:t>
                  </w:r>
                </w:p>
              </w:tc>
              <w:tc>
                <w:tcPr>
                  <w:tcW w:w="532" w:type="pct"/>
                  <w:vAlign w:val="center"/>
                </w:tcPr>
                <w:p w14:paraId="438A4BC5">
                  <w:pPr>
                    <w:pStyle w:val="29"/>
                  </w:pPr>
                  <w:r>
                    <w:t>3.6</w:t>
                  </w:r>
                </w:p>
              </w:tc>
              <w:tc>
                <w:tcPr>
                  <w:tcW w:w="532" w:type="pct"/>
                  <w:vAlign w:val="center"/>
                </w:tcPr>
                <w:p w14:paraId="2B899C29">
                  <w:pPr>
                    <w:pStyle w:val="29"/>
                  </w:pPr>
                  <w:r>
                    <w:t>19</w:t>
                  </w:r>
                </w:p>
              </w:tc>
              <w:tc>
                <w:tcPr>
                  <w:tcW w:w="532" w:type="pct"/>
                  <w:vAlign w:val="center"/>
                </w:tcPr>
                <w:p w14:paraId="59389155">
                  <w:pPr>
                    <w:pStyle w:val="29"/>
                  </w:pPr>
                  <w:r>
                    <w:t>0.717</w:t>
                  </w:r>
                </w:p>
              </w:tc>
              <w:tc>
                <w:tcPr>
                  <w:tcW w:w="532" w:type="pct"/>
                  <w:vAlign w:val="center"/>
                </w:tcPr>
                <w:p w14:paraId="6A2C4BCF">
                  <w:pPr>
                    <w:pStyle w:val="29"/>
                  </w:pPr>
                  <w:r>
                    <w:t>0.94</w:t>
                  </w:r>
                </w:p>
              </w:tc>
              <w:tc>
                <w:tcPr>
                  <w:tcW w:w="533" w:type="pct"/>
                  <w:vAlign w:val="center"/>
                </w:tcPr>
                <w:p w14:paraId="40652D8C">
                  <w:pPr>
                    <w:pStyle w:val="29"/>
                  </w:pPr>
                  <w:r>
                    <w:t>0.08</w:t>
                  </w:r>
                </w:p>
              </w:tc>
              <w:tc>
                <w:tcPr>
                  <w:tcW w:w="533" w:type="pct"/>
                  <w:vAlign w:val="center"/>
                </w:tcPr>
                <w:p w14:paraId="04913C8A">
                  <w:pPr>
                    <w:pStyle w:val="29"/>
                  </w:pPr>
                  <w:r>
                    <w:t>＜0.01</w:t>
                  </w:r>
                </w:p>
              </w:tc>
            </w:tr>
            <w:tr w14:paraId="5908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7C917BC4">
                  <w:pPr>
                    <w:pStyle w:val="29"/>
                  </w:pPr>
                </w:p>
              </w:tc>
              <w:tc>
                <w:tcPr>
                  <w:tcW w:w="741" w:type="pct"/>
                  <w:vAlign w:val="center"/>
                </w:tcPr>
                <w:p w14:paraId="7446003E">
                  <w:pPr>
                    <w:pStyle w:val="29"/>
                  </w:pPr>
                  <w:r>
                    <w:t>2022.11.14</w:t>
                  </w:r>
                </w:p>
              </w:tc>
              <w:tc>
                <w:tcPr>
                  <w:tcW w:w="532" w:type="pct"/>
                  <w:vAlign w:val="center"/>
                </w:tcPr>
                <w:p w14:paraId="3C84360C">
                  <w:pPr>
                    <w:pStyle w:val="29"/>
                  </w:pPr>
                  <w:r>
                    <w:t>7.3</w:t>
                  </w:r>
                </w:p>
              </w:tc>
              <w:tc>
                <w:tcPr>
                  <w:tcW w:w="532" w:type="pct"/>
                  <w:vAlign w:val="center"/>
                </w:tcPr>
                <w:p w14:paraId="371A3703">
                  <w:pPr>
                    <w:pStyle w:val="29"/>
                  </w:pPr>
                  <w:r>
                    <w:t>3.4</w:t>
                  </w:r>
                </w:p>
              </w:tc>
              <w:tc>
                <w:tcPr>
                  <w:tcW w:w="532" w:type="pct"/>
                  <w:vAlign w:val="center"/>
                </w:tcPr>
                <w:p w14:paraId="03BD40F7">
                  <w:pPr>
                    <w:pStyle w:val="29"/>
                  </w:pPr>
                  <w:r>
                    <w:t>19</w:t>
                  </w:r>
                </w:p>
              </w:tc>
              <w:tc>
                <w:tcPr>
                  <w:tcW w:w="532" w:type="pct"/>
                  <w:vAlign w:val="center"/>
                </w:tcPr>
                <w:p w14:paraId="0E71F32A">
                  <w:pPr>
                    <w:pStyle w:val="29"/>
                  </w:pPr>
                  <w:r>
                    <w:t>0.782</w:t>
                  </w:r>
                </w:p>
              </w:tc>
              <w:tc>
                <w:tcPr>
                  <w:tcW w:w="532" w:type="pct"/>
                  <w:vAlign w:val="center"/>
                </w:tcPr>
                <w:p w14:paraId="448A44E9">
                  <w:pPr>
                    <w:pStyle w:val="29"/>
                  </w:pPr>
                  <w:r>
                    <w:t>0.97</w:t>
                  </w:r>
                </w:p>
              </w:tc>
              <w:tc>
                <w:tcPr>
                  <w:tcW w:w="533" w:type="pct"/>
                  <w:vAlign w:val="center"/>
                </w:tcPr>
                <w:p w14:paraId="07827065">
                  <w:pPr>
                    <w:pStyle w:val="29"/>
                  </w:pPr>
                  <w:r>
                    <w:t>0.07</w:t>
                  </w:r>
                </w:p>
              </w:tc>
              <w:tc>
                <w:tcPr>
                  <w:tcW w:w="533" w:type="pct"/>
                  <w:vAlign w:val="center"/>
                </w:tcPr>
                <w:p w14:paraId="321E8CB0">
                  <w:pPr>
                    <w:spacing w:line="240" w:lineRule="auto"/>
                    <w:ind w:firstLine="0" w:firstLineChars="0"/>
                    <w:jc w:val="center"/>
                    <w:rPr>
                      <w:sz w:val="21"/>
                      <w:szCs w:val="21"/>
                    </w:rPr>
                  </w:pPr>
                  <w:r>
                    <w:rPr>
                      <w:sz w:val="21"/>
                      <w:szCs w:val="21"/>
                    </w:rPr>
                    <w:t>＜0.01</w:t>
                  </w:r>
                </w:p>
              </w:tc>
            </w:tr>
            <w:tr w14:paraId="5D0F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23DCA020">
                  <w:pPr>
                    <w:pStyle w:val="29"/>
                  </w:pPr>
                </w:p>
              </w:tc>
              <w:tc>
                <w:tcPr>
                  <w:tcW w:w="741" w:type="pct"/>
                  <w:vAlign w:val="center"/>
                </w:tcPr>
                <w:p w14:paraId="61F7B414">
                  <w:pPr>
                    <w:pStyle w:val="29"/>
                  </w:pPr>
                  <w:r>
                    <w:t>2022.11.15</w:t>
                  </w:r>
                </w:p>
              </w:tc>
              <w:tc>
                <w:tcPr>
                  <w:tcW w:w="532" w:type="pct"/>
                  <w:vAlign w:val="center"/>
                </w:tcPr>
                <w:p w14:paraId="76C455E7">
                  <w:pPr>
                    <w:pStyle w:val="29"/>
                  </w:pPr>
                  <w:r>
                    <w:t>7.6</w:t>
                  </w:r>
                </w:p>
              </w:tc>
              <w:tc>
                <w:tcPr>
                  <w:tcW w:w="532" w:type="pct"/>
                  <w:vAlign w:val="center"/>
                </w:tcPr>
                <w:p w14:paraId="65207BAC">
                  <w:pPr>
                    <w:pStyle w:val="29"/>
                  </w:pPr>
                  <w:r>
                    <w:t>3.5</w:t>
                  </w:r>
                </w:p>
              </w:tc>
              <w:tc>
                <w:tcPr>
                  <w:tcW w:w="532" w:type="pct"/>
                  <w:vAlign w:val="center"/>
                </w:tcPr>
                <w:p w14:paraId="2A355FF6">
                  <w:pPr>
                    <w:pStyle w:val="29"/>
                  </w:pPr>
                  <w:r>
                    <w:t>19</w:t>
                  </w:r>
                </w:p>
              </w:tc>
              <w:tc>
                <w:tcPr>
                  <w:tcW w:w="532" w:type="pct"/>
                  <w:vAlign w:val="center"/>
                </w:tcPr>
                <w:p w14:paraId="5CAF181D">
                  <w:pPr>
                    <w:pStyle w:val="29"/>
                  </w:pPr>
                  <w:r>
                    <w:t>0.664</w:t>
                  </w:r>
                </w:p>
              </w:tc>
              <w:tc>
                <w:tcPr>
                  <w:tcW w:w="532" w:type="pct"/>
                  <w:vAlign w:val="center"/>
                </w:tcPr>
                <w:p w14:paraId="443CEFC5">
                  <w:pPr>
                    <w:pStyle w:val="29"/>
                  </w:pPr>
                  <w:r>
                    <w:t>0.89</w:t>
                  </w:r>
                </w:p>
              </w:tc>
              <w:tc>
                <w:tcPr>
                  <w:tcW w:w="533" w:type="pct"/>
                  <w:vAlign w:val="center"/>
                </w:tcPr>
                <w:p w14:paraId="70C72D3C">
                  <w:pPr>
                    <w:pStyle w:val="29"/>
                  </w:pPr>
                  <w:r>
                    <w:t>0.09</w:t>
                  </w:r>
                </w:p>
              </w:tc>
              <w:tc>
                <w:tcPr>
                  <w:tcW w:w="533" w:type="pct"/>
                  <w:vAlign w:val="center"/>
                </w:tcPr>
                <w:p w14:paraId="241F3A61">
                  <w:pPr>
                    <w:spacing w:line="240" w:lineRule="auto"/>
                    <w:ind w:firstLine="0" w:firstLineChars="0"/>
                    <w:jc w:val="center"/>
                    <w:rPr>
                      <w:sz w:val="21"/>
                      <w:szCs w:val="21"/>
                    </w:rPr>
                  </w:pPr>
                  <w:r>
                    <w:rPr>
                      <w:sz w:val="21"/>
                      <w:szCs w:val="21"/>
                    </w:rPr>
                    <w:t>＜0.01</w:t>
                  </w:r>
                </w:p>
              </w:tc>
            </w:tr>
            <w:tr w14:paraId="1A2E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vAlign w:val="center"/>
                </w:tcPr>
                <w:p w14:paraId="319BB983">
                  <w:pPr>
                    <w:pStyle w:val="29"/>
                  </w:pPr>
                  <w:r>
                    <w:t>2#</w:t>
                  </w:r>
                </w:p>
              </w:tc>
              <w:tc>
                <w:tcPr>
                  <w:tcW w:w="741" w:type="pct"/>
                  <w:shd w:val="clear" w:color="auto" w:fill="auto"/>
                  <w:vAlign w:val="center"/>
                </w:tcPr>
                <w:p w14:paraId="3E28AB09">
                  <w:pPr>
                    <w:pStyle w:val="29"/>
                  </w:pPr>
                  <w:r>
                    <w:t>2022.11.13</w:t>
                  </w:r>
                </w:p>
              </w:tc>
              <w:tc>
                <w:tcPr>
                  <w:tcW w:w="532" w:type="pct"/>
                  <w:vAlign w:val="center"/>
                </w:tcPr>
                <w:p w14:paraId="393646F2">
                  <w:pPr>
                    <w:pStyle w:val="29"/>
                  </w:pPr>
                  <w:r>
                    <w:t>7.4</w:t>
                  </w:r>
                </w:p>
              </w:tc>
              <w:tc>
                <w:tcPr>
                  <w:tcW w:w="532" w:type="pct"/>
                  <w:vAlign w:val="center"/>
                </w:tcPr>
                <w:p w14:paraId="724C811C">
                  <w:pPr>
                    <w:pStyle w:val="29"/>
                  </w:pPr>
                  <w:r>
                    <w:t>3.3</w:t>
                  </w:r>
                </w:p>
              </w:tc>
              <w:tc>
                <w:tcPr>
                  <w:tcW w:w="532" w:type="pct"/>
                  <w:vAlign w:val="center"/>
                </w:tcPr>
                <w:p w14:paraId="7C020F25">
                  <w:pPr>
                    <w:pStyle w:val="29"/>
                  </w:pPr>
                  <w:r>
                    <w:t>17</w:t>
                  </w:r>
                </w:p>
              </w:tc>
              <w:tc>
                <w:tcPr>
                  <w:tcW w:w="532" w:type="pct"/>
                  <w:vAlign w:val="center"/>
                </w:tcPr>
                <w:p w14:paraId="760C07EF">
                  <w:pPr>
                    <w:pStyle w:val="29"/>
                  </w:pPr>
                  <w:r>
                    <w:t>0.423</w:t>
                  </w:r>
                </w:p>
              </w:tc>
              <w:tc>
                <w:tcPr>
                  <w:tcW w:w="532" w:type="pct"/>
                  <w:vAlign w:val="center"/>
                </w:tcPr>
                <w:p w14:paraId="469941A7">
                  <w:pPr>
                    <w:pStyle w:val="29"/>
                  </w:pPr>
                  <w:r>
                    <w:t>0.66</w:t>
                  </w:r>
                </w:p>
              </w:tc>
              <w:tc>
                <w:tcPr>
                  <w:tcW w:w="533" w:type="pct"/>
                  <w:vAlign w:val="center"/>
                </w:tcPr>
                <w:p w14:paraId="007877D1">
                  <w:pPr>
                    <w:pStyle w:val="29"/>
                  </w:pPr>
                  <w:r>
                    <w:t>0.1</w:t>
                  </w:r>
                </w:p>
              </w:tc>
              <w:tc>
                <w:tcPr>
                  <w:tcW w:w="533" w:type="pct"/>
                  <w:vAlign w:val="center"/>
                </w:tcPr>
                <w:p w14:paraId="28993FBB">
                  <w:pPr>
                    <w:spacing w:line="240" w:lineRule="auto"/>
                    <w:ind w:firstLine="0" w:firstLineChars="0"/>
                    <w:jc w:val="center"/>
                    <w:rPr>
                      <w:sz w:val="21"/>
                      <w:szCs w:val="21"/>
                    </w:rPr>
                  </w:pPr>
                  <w:r>
                    <w:rPr>
                      <w:sz w:val="21"/>
                      <w:szCs w:val="21"/>
                    </w:rPr>
                    <w:t>＜0.01</w:t>
                  </w:r>
                </w:p>
              </w:tc>
            </w:tr>
            <w:tr w14:paraId="1BB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0A137B3C">
                  <w:pPr>
                    <w:pStyle w:val="29"/>
                  </w:pPr>
                </w:p>
              </w:tc>
              <w:tc>
                <w:tcPr>
                  <w:tcW w:w="741" w:type="pct"/>
                  <w:shd w:val="clear" w:color="auto" w:fill="auto"/>
                  <w:vAlign w:val="center"/>
                </w:tcPr>
                <w:p w14:paraId="286B5FF0">
                  <w:pPr>
                    <w:pStyle w:val="29"/>
                  </w:pPr>
                  <w:r>
                    <w:t>2022.11.14</w:t>
                  </w:r>
                </w:p>
              </w:tc>
              <w:tc>
                <w:tcPr>
                  <w:tcW w:w="532" w:type="pct"/>
                  <w:vAlign w:val="center"/>
                </w:tcPr>
                <w:p w14:paraId="3A4C3FAF">
                  <w:pPr>
                    <w:pStyle w:val="29"/>
                  </w:pPr>
                  <w:r>
                    <w:t>7.1</w:t>
                  </w:r>
                </w:p>
              </w:tc>
              <w:tc>
                <w:tcPr>
                  <w:tcW w:w="532" w:type="pct"/>
                  <w:vAlign w:val="center"/>
                </w:tcPr>
                <w:p w14:paraId="1A33F554">
                  <w:pPr>
                    <w:pStyle w:val="29"/>
                  </w:pPr>
                  <w:r>
                    <w:t>3.2</w:t>
                  </w:r>
                </w:p>
              </w:tc>
              <w:tc>
                <w:tcPr>
                  <w:tcW w:w="532" w:type="pct"/>
                  <w:vAlign w:val="center"/>
                </w:tcPr>
                <w:p w14:paraId="56576417">
                  <w:pPr>
                    <w:pStyle w:val="29"/>
                  </w:pPr>
                  <w:r>
                    <w:t>18</w:t>
                  </w:r>
                </w:p>
              </w:tc>
              <w:tc>
                <w:tcPr>
                  <w:tcW w:w="532" w:type="pct"/>
                  <w:vAlign w:val="center"/>
                </w:tcPr>
                <w:p w14:paraId="71A7B89E">
                  <w:pPr>
                    <w:pStyle w:val="29"/>
                  </w:pPr>
                  <w:r>
                    <w:t>0.446</w:t>
                  </w:r>
                </w:p>
              </w:tc>
              <w:tc>
                <w:tcPr>
                  <w:tcW w:w="532" w:type="pct"/>
                  <w:vAlign w:val="center"/>
                </w:tcPr>
                <w:p w14:paraId="4A6285AD">
                  <w:pPr>
                    <w:pStyle w:val="29"/>
                  </w:pPr>
                  <w:r>
                    <w:t>0.73</w:t>
                  </w:r>
                </w:p>
              </w:tc>
              <w:tc>
                <w:tcPr>
                  <w:tcW w:w="533" w:type="pct"/>
                  <w:vAlign w:val="center"/>
                </w:tcPr>
                <w:p w14:paraId="40AF167D">
                  <w:pPr>
                    <w:pStyle w:val="29"/>
                  </w:pPr>
                  <w:r>
                    <w:t>0.09</w:t>
                  </w:r>
                </w:p>
              </w:tc>
              <w:tc>
                <w:tcPr>
                  <w:tcW w:w="533" w:type="pct"/>
                  <w:vAlign w:val="center"/>
                </w:tcPr>
                <w:p w14:paraId="17FE8EAE">
                  <w:pPr>
                    <w:spacing w:line="240" w:lineRule="auto"/>
                    <w:ind w:firstLine="0" w:firstLineChars="0"/>
                    <w:jc w:val="center"/>
                    <w:rPr>
                      <w:sz w:val="21"/>
                      <w:szCs w:val="21"/>
                    </w:rPr>
                  </w:pPr>
                  <w:r>
                    <w:rPr>
                      <w:sz w:val="21"/>
                      <w:szCs w:val="21"/>
                    </w:rPr>
                    <w:t>＜0.01</w:t>
                  </w:r>
                </w:p>
              </w:tc>
            </w:tr>
            <w:tr w14:paraId="7FC9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75652ECA">
                  <w:pPr>
                    <w:pStyle w:val="29"/>
                  </w:pPr>
                </w:p>
              </w:tc>
              <w:tc>
                <w:tcPr>
                  <w:tcW w:w="741" w:type="pct"/>
                  <w:shd w:val="clear" w:color="auto" w:fill="auto"/>
                  <w:vAlign w:val="center"/>
                </w:tcPr>
                <w:p w14:paraId="45C0FF7B">
                  <w:pPr>
                    <w:pStyle w:val="29"/>
                  </w:pPr>
                  <w:r>
                    <w:t>2022.11.15</w:t>
                  </w:r>
                </w:p>
              </w:tc>
              <w:tc>
                <w:tcPr>
                  <w:tcW w:w="532" w:type="pct"/>
                  <w:vAlign w:val="center"/>
                </w:tcPr>
                <w:p w14:paraId="1815F484">
                  <w:pPr>
                    <w:pStyle w:val="29"/>
                  </w:pPr>
                  <w:r>
                    <w:t>7.5</w:t>
                  </w:r>
                </w:p>
              </w:tc>
              <w:tc>
                <w:tcPr>
                  <w:tcW w:w="532" w:type="pct"/>
                  <w:vAlign w:val="center"/>
                </w:tcPr>
                <w:p w14:paraId="1D5235D6">
                  <w:pPr>
                    <w:pStyle w:val="29"/>
                  </w:pPr>
                  <w:r>
                    <w:t>3.4</w:t>
                  </w:r>
                </w:p>
              </w:tc>
              <w:tc>
                <w:tcPr>
                  <w:tcW w:w="532" w:type="pct"/>
                  <w:vAlign w:val="center"/>
                </w:tcPr>
                <w:p w14:paraId="75E809F6">
                  <w:pPr>
                    <w:pStyle w:val="29"/>
                  </w:pPr>
                  <w:r>
                    <w:t>19</w:t>
                  </w:r>
                </w:p>
              </w:tc>
              <w:tc>
                <w:tcPr>
                  <w:tcW w:w="532" w:type="pct"/>
                  <w:vAlign w:val="center"/>
                </w:tcPr>
                <w:p w14:paraId="61D31D8C">
                  <w:pPr>
                    <w:pStyle w:val="29"/>
                  </w:pPr>
                  <w:r>
                    <w:t>0.411</w:t>
                  </w:r>
                </w:p>
              </w:tc>
              <w:tc>
                <w:tcPr>
                  <w:tcW w:w="532" w:type="pct"/>
                  <w:vAlign w:val="center"/>
                </w:tcPr>
                <w:p w14:paraId="7B21755F">
                  <w:pPr>
                    <w:pStyle w:val="29"/>
                  </w:pPr>
                  <w:r>
                    <w:t>0.69</w:t>
                  </w:r>
                </w:p>
              </w:tc>
              <w:tc>
                <w:tcPr>
                  <w:tcW w:w="533" w:type="pct"/>
                  <w:vAlign w:val="center"/>
                </w:tcPr>
                <w:p w14:paraId="4DA0C4D5">
                  <w:pPr>
                    <w:pStyle w:val="29"/>
                  </w:pPr>
                  <w:r>
                    <w:t>0.12</w:t>
                  </w:r>
                </w:p>
              </w:tc>
              <w:tc>
                <w:tcPr>
                  <w:tcW w:w="533" w:type="pct"/>
                  <w:vAlign w:val="center"/>
                </w:tcPr>
                <w:p w14:paraId="2BABFB05">
                  <w:pPr>
                    <w:spacing w:line="240" w:lineRule="auto"/>
                    <w:ind w:firstLine="0" w:firstLineChars="0"/>
                    <w:jc w:val="center"/>
                    <w:rPr>
                      <w:sz w:val="21"/>
                      <w:szCs w:val="21"/>
                    </w:rPr>
                  </w:pPr>
                  <w:r>
                    <w:rPr>
                      <w:sz w:val="21"/>
                      <w:szCs w:val="21"/>
                    </w:rPr>
                    <w:t>＜0.01</w:t>
                  </w:r>
                </w:p>
              </w:tc>
            </w:tr>
            <w:tr w14:paraId="0463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vAlign w:val="center"/>
                </w:tcPr>
                <w:p w14:paraId="763B7F37">
                  <w:pPr>
                    <w:pStyle w:val="29"/>
                  </w:pPr>
                  <w:r>
                    <w:t>3#</w:t>
                  </w:r>
                </w:p>
              </w:tc>
              <w:tc>
                <w:tcPr>
                  <w:tcW w:w="741" w:type="pct"/>
                  <w:shd w:val="clear" w:color="auto" w:fill="auto"/>
                  <w:vAlign w:val="center"/>
                </w:tcPr>
                <w:p w14:paraId="638C5EA2">
                  <w:pPr>
                    <w:pStyle w:val="29"/>
                  </w:pPr>
                  <w:r>
                    <w:t>2022.11.13</w:t>
                  </w:r>
                </w:p>
              </w:tc>
              <w:tc>
                <w:tcPr>
                  <w:tcW w:w="532" w:type="pct"/>
                  <w:vAlign w:val="center"/>
                </w:tcPr>
                <w:p w14:paraId="1B175E38">
                  <w:pPr>
                    <w:pStyle w:val="29"/>
                  </w:pPr>
                  <w:r>
                    <w:t>7.5</w:t>
                  </w:r>
                </w:p>
              </w:tc>
              <w:tc>
                <w:tcPr>
                  <w:tcW w:w="532" w:type="pct"/>
                  <w:vAlign w:val="center"/>
                </w:tcPr>
                <w:p w14:paraId="6A865D5D">
                  <w:pPr>
                    <w:pStyle w:val="29"/>
                  </w:pPr>
                  <w:r>
                    <w:t>3.2</w:t>
                  </w:r>
                </w:p>
              </w:tc>
              <w:tc>
                <w:tcPr>
                  <w:tcW w:w="532" w:type="pct"/>
                  <w:vAlign w:val="center"/>
                </w:tcPr>
                <w:p w14:paraId="3FB89C84">
                  <w:pPr>
                    <w:pStyle w:val="29"/>
                  </w:pPr>
                  <w:r>
                    <w:t>16</w:t>
                  </w:r>
                </w:p>
              </w:tc>
              <w:tc>
                <w:tcPr>
                  <w:tcW w:w="532" w:type="pct"/>
                  <w:vAlign w:val="center"/>
                </w:tcPr>
                <w:p w14:paraId="285944BA">
                  <w:pPr>
                    <w:pStyle w:val="29"/>
                  </w:pPr>
                  <w:r>
                    <w:t>0.282</w:t>
                  </w:r>
                </w:p>
              </w:tc>
              <w:tc>
                <w:tcPr>
                  <w:tcW w:w="532" w:type="pct"/>
                  <w:vAlign w:val="center"/>
                </w:tcPr>
                <w:p w14:paraId="03AE6612">
                  <w:pPr>
                    <w:pStyle w:val="29"/>
                  </w:pPr>
                  <w:r>
                    <w:t>0.41</w:t>
                  </w:r>
                </w:p>
              </w:tc>
              <w:tc>
                <w:tcPr>
                  <w:tcW w:w="533" w:type="pct"/>
                  <w:vAlign w:val="center"/>
                </w:tcPr>
                <w:p w14:paraId="548E737D">
                  <w:pPr>
                    <w:pStyle w:val="29"/>
                  </w:pPr>
                  <w:r>
                    <w:t>0.07</w:t>
                  </w:r>
                </w:p>
              </w:tc>
              <w:tc>
                <w:tcPr>
                  <w:tcW w:w="533" w:type="pct"/>
                  <w:vAlign w:val="center"/>
                </w:tcPr>
                <w:p w14:paraId="77F17007">
                  <w:pPr>
                    <w:spacing w:line="240" w:lineRule="auto"/>
                    <w:ind w:firstLine="0" w:firstLineChars="0"/>
                    <w:jc w:val="center"/>
                    <w:rPr>
                      <w:sz w:val="21"/>
                      <w:szCs w:val="21"/>
                    </w:rPr>
                  </w:pPr>
                  <w:r>
                    <w:rPr>
                      <w:sz w:val="21"/>
                      <w:szCs w:val="21"/>
                    </w:rPr>
                    <w:t>＜0.01</w:t>
                  </w:r>
                </w:p>
              </w:tc>
            </w:tr>
            <w:tr w14:paraId="632B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7FCE6E68">
                  <w:pPr>
                    <w:pStyle w:val="29"/>
                  </w:pPr>
                </w:p>
              </w:tc>
              <w:tc>
                <w:tcPr>
                  <w:tcW w:w="741" w:type="pct"/>
                  <w:shd w:val="clear" w:color="auto" w:fill="auto"/>
                  <w:vAlign w:val="center"/>
                </w:tcPr>
                <w:p w14:paraId="2D6E7E20">
                  <w:pPr>
                    <w:pStyle w:val="29"/>
                  </w:pPr>
                  <w:r>
                    <w:t>2022.11.14</w:t>
                  </w:r>
                </w:p>
              </w:tc>
              <w:tc>
                <w:tcPr>
                  <w:tcW w:w="532" w:type="pct"/>
                  <w:vAlign w:val="center"/>
                </w:tcPr>
                <w:p w14:paraId="02E94C4C">
                  <w:pPr>
                    <w:pStyle w:val="29"/>
                  </w:pPr>
                  <w:r>
                    <w:t>7.6</w:t>
                  </w:r>
                </w:p>
              </w:tc>
              <w:tc>
                <w:tcPr>
                  <w:tcW w:w="532" w:type="pct"/>
                  <w:vAlign w:val="center"/>
                </w:tcPr>
                <w:p w14:paraId="4B20BBB4">
                  <w:pPr>
                    <w:pStyle w:val="29"/>
                  </w:pPr>
                  <w:r>
                    <w:t>3.1</w:t>
                  </w:r>
                </w:p>
              </w:tc>
              <w:tc>
                <w:tcPr>
                  <w:tcW w:w="532" w:type="pct"/>
                  <w:vAlign w:val="center"/>
                </w:tcPr>
                <w:p w14:paraId="41CDB5CB">
                  <w:pPr>
                    <w:pStyle w:val="29"/>
                  </w:pPr>
                  <w:r>
                    <w:t>16</w:t>
                  </w:r>
                </w:p>
              </w:tc>
              <w:tc>
                <w:tcPr>
                  <w:tcW w:w="532" w:type="pct"/>
                  <w:vAlign w:val="center"/>
                </w:tcPr>
                <w:p w14:paraId="0BC40F94">
                  <w:pPr>
                    <w:pStyle w:val="29"/>
                  </w:pPr>
                  <w:r>
                    <w:t>0.305</w:t>
                  </w:r>
                </w:p>
              </w:tc>
              <w:tc>
                <w:tcPr>
                  <w:tcW w:w="532" w:type="pct"/>
                  <w:vAlign w:val="center"/>
                </w:tcPr>
                <w:p w14:paraId="7B966AA4">
                  <w:pPr>
                    <w:pStyle w:val="29"/>
                  </w:pPr>
                  <w:r>
                    <w:t>0.38</w:t>
                  </w:r>
                </w:p>
              </w:tc>
              <w:tc>
                <w:tcPr>
                  <w:tcW w:w="533" w:type="pct"/>
                  <w:vAlign w:val="center"/>
                </w:tcPr>
                <w:p w14:paraId="54861987">
                  <w:pPr>
                    <w:pStyle w:val="29"/>
                  </w:pPr>
                  <w:r>
                    <w:t>0.06</w:t>
                  </w:r>
                </w:p>
              </w:tc>
              <w:tc>
                <w:tcPr>
                  <w:tcW w:w="533" w:type="pct"/>
                  <w:vAlign w:val="center"/>
                </w:tcPr>
                <w:p w14:paraId="378E24F0">
                  <w:pPr>
                    <w:spacing w:line="240" w:lineRule="auto"/>
                    <w:ind w:firstLine="0" w:firstLineChars="0"/>
                    <w:jc w:val="center"/>
                    <w:rPr>
                      <w:sz w:val="21"/>
                      <w:szCs w:val="21"/>
                    </w:rPr>
                  </w:pPr>
                  <w:r>
                    <w:rPr>
                      <w:sz w:val="21"/>
                      <w:szCs w:val="21"/>
                    </w:rPr>
                    <w:t>＜0.01</w:t>
                  </w:r>
                </w:p>
              </w:tc>
            </w:tr>
            <w:tr w14:paraId="6B89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24D5FC8A">
                  <w:pPr>
                    <w:pStyle w:val="29"/>
                  </w:pPr>
                </w:p>
              </w:tc>
              <w:tc>
                <w:tcPr>
                  <w:tcW w:w="741" w:type="pct"/>
                  <w:shd w:val="clear" w:color="auto" w:fill="auto"/>
                  <w:vAlign w:val="center"/>
                </w:tcPr>
                <w:p w14:paraId="4045EFA2">
                  <w:pPr>
                    <w:pStyle w:val="29"/>
                  </w:pPr>
                  <w:r>
                    <w:t>2022.11.15</w:t>
                  </w:r>
                </w:p>
              </w:tc>
              <w:tc>
                <w:tcPr>
                  <w:tcW w:w="532" w:type="pct"/>
                  <w:vAlign w:val="center"/>
                </w:tcPr>
                <w:p w14:paraId="5606E7DA">
                  <w:pPr>
                    <w:pStyle w:val="29"/>
                  </w:pPr>
                  <w:r>
                    <w:t>7.1</w:t>
                  </w:r>
                </w:p>
              </w:tc>
              <w:tc>
                <w:tcPr>
                  <w:tcW w:w="532" w:type="pct"/>
                  <w:vAlign w:val="center"/>
                </w:tcPr>
                <w:p w14:paraId="61F97368">
                  <w:pPr>
                    <w:pStyle w:val="29"/>
                  </w:pPr>
                  <w:r>
                    <w:t>3.4</w:t>
                  </w:r>
                </w:p>
              </w:tc>
              <w:tc>
                <w:tcPr>
                  <w:tcW w:w="532" w:type="pct"/>
                  <w:vAlign w:val="center"/>
                </w:tcPr>
                <w:p w14:paraId="39CD351F">
                  <w:pPr>
                    <w:pStyle w:val="29"/>
                  </w:pPr>
                  <w:r>
                    <w:t>18</w:t>
                  </w:r>
                </w:p>
              </w:tc>
              <w:tc>
                <w:tcPr>
                  <w:tcW w:w="532" w:type="pct"/>
                  <w:vAlign w:val="center"/>
                </w:tcPr>
                <w:p w14:paraId="107BC606">
                  <w:pPr>
                    <w:pStyle w:val="29"/>
                  </w:pPr>
                  <w:r>
                    <w:t>0.299</w:t>
                  </w:r>
                </w:p>
              </w:tc>
              <w:tc>
                <w:tcPr>
                  <w:tcW w:w="532" w:type="pct"/>
                  <w:vAlign w:val="center"/>
                </w:tcPr>
                <w:p w14:paraId="77688CE6">
                  <w:pPr>
                    <w:pStyle w:val="29"/>
                  </w:pPr>
                  <w:r>
                    <w:t>0.44</w:t>
                  </w:r>
                </w:p>
              </w:tc>
              <w:tc>
                <w:tcPr>
                  <w:tcW w:w="533" w:type="pct"/>
                  <w:vAlign w:val="center"/>
                </w:tcPr>
                <w:p w14:paraId="00F240A8">
                  <w:pPr>
                    <w:pStyle w:val="29"/>
                  </w:pPr>
                  <w:r>
                    <w:t>0.05</w:t>
                  </w:r>
                </w:p>
              </w:tc>
              <w:tc>
                <w:tcPr>
                  <w:tcW w:w="533" w:type="pct"/>
                  <w:vAlign w:val="center"/>
                </w:tcPr>
                <w:p w14:paraId="68A70C20">
                  <w:pPr>
                    <w:spacing w:line="240" w:lineRule="auto"/>
                    <w:ind w:firstLine="0" w:firstLineChars="0"/>
                    <w:jc w:val="center"/>
                    <w:rPr>
                      <w:sz w:val="21"/>
                      <w:szCs w:val="21"/>
                    </w:rPr>
                  </w:pPr>
                  <w:r>
                    <w:rPr>
                      <w:sz w:val="21"/>
                      <w:szCs w:val="21"/>
                    </w:rPr>
                    <w:t>＜0.01</w:t>
                  </w:r>
                </w:p>
              </w:tc>
            </w:tr>
            <w:tr w14:paraId="6F14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vAlign w:val="center"/>
                </w:tcPr>
                <w:p w14:paraId="043A9627">
                  <w:pPr>
                    <w:pStyle w:val="29"/>
                  </w:pPr>
                  <w:r>
                    <w:t>4#</w:t>
                  </w:r>
                </w:p>
              </w:tc>
              <w:tc>
                <w:tcPr>
                  <w:tcW w:w="741" w:type="pct"/>
                  <w:shd w:val="clear" w:color="auto" w:fill="auto"/>
                  <w:vAlign w:val="center"/>
                </w:tcPr>
                <w:p w14:paraId="569F0359">
                  <w:pPr>
                    <w:pStyle w:val="29"/>
                  </w:pPr>
                  <w:r>
                    <w:t>2022.11.13</w:t>
                  </w:r>
                </w:p>
              </w:tc>
              <w:tc>
                <w:tcPr>
                  <w:tcW w:w="532" w:type="pct"/>
                  <w:vAlign w:val="center"/>
                </w:tcPr>
                <w:p w14:paraId="2D505B7A">
                  <w:pPr>
                    <w:pStyle w:val="29"/>
                  </w:pPr>
                  <w:r>
                    <w:t>7.1</w:t>
                  </w:r>
                </w:p>
              </w:tc>
              <w:tc>
                <w:tcPr>
                  <w:tcW w:w="532" w:type="pct"/>
                  <w:vAlign w:val="center"/>
                </w:tcPr>
                <w:p w14:paraId="7ED2319B">
                  <w:pPr>
                    <w:pStyle w:val="29"/>
                  </w:pPr>
                  <w:r>
                    <w:t>3.3</w:t>
                  </w:r>
                </w:p>
              </w:tc>
              <w:tc>
                <w:tcPr>
                  <w:tcW w:w="532" w:type="pct"/>
                  <w:vAlign w:val="center"/>
                </w:tcPr>
                <w:p w14:paraId="60C602CA">
                  <w:pPr>
                    <w:pStyle w:val="29"/>
                  </w:pPr>
                  <w:r>
                    <w:t>18</w:t>
                  </w:r>
                </w:p>
              </w:tc>
              <w:tc>
                <w:tcPr>
                  <w:tcW w:w="532" w:type="pct"/>
                  <w:vAlign w:val="center"/>
                </w:tcPr>
                <w:p w14:paraId="2765E669">
                  <w:pPr>
                    <w:pStyle w:val="29"/>
                  </w:pPr>
                  <w:r>
                    <w:t>0.499</w:t>
                  </w:r>
                </w:p>
              </w:tc>
              <w:tc>
                <w:tcPr>
                  <w:tcW w:w="532" w:type="pct"/>
                  <w:vAlign w:val="center"/>
                </w:tcPr>
                <w:p w14:paraId="0B451A9F">
                  <w:pPr>
                    <w:pStyle w:val="29"/>
                  </w:pPr>
                  <w:r>
                    <w:t>0.59</w:t>
                  </w:r>
                </w:p>
              </w:tc>
              <w:tc>
                <w:tcPr>
                  <w:tcW w:w="533" w:type="pct"/>
                  <w:vAlign w:val="center"/>
                </w:tcPr>
                <w:p w14:paraId="751AFC62">
                  <w:pPr>
                    <w:pStyle w:val="29"/>
                  </w:pPr>
                  <w:r>
                    <w:t>0.06</w:t>
                  </w:r>
                </w:p>
              </w:tc>
              <w:tc>
                <w:tcPr>
                  <w:tcW w:w="533" w:type="pct"/>
                  <w:vAlign w:val="center"/>
                </w:tcPr>
                <w:p w14:paraId="27512567">
                  <w:pPr>
                    <w:spacing w:line="240" w:lineRule="auto"/>
                    <w:ind w:firstLine="0" w:firstLineChars="0"/>
                    <w:jc w:val="center"/>
                    <w:rPr>
                      <w:sz w:val="21"/>
                      <w:szCs w:val="21"/>
                    </w:rPr>
                  </w:pPr>
                  <w:r>
                    <w:rPr>
                      <w:sz w:val="21"/>
                      <w:szCs w:val="21"/>
                    </w:rPr>
                    <w:t>＜0.01</w:t>
                  </w:r>
                </w:p>
              </w:tc>
            </w:tr>
            <w:tr w14:paraId="31D0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0637EA50">
                  <w:pPr>
                    <w:pStyle w:val="29"/>
                  </w:pPr>
                </w:p>
              </w:tc>
              <w:tc>
                <w:tcPr>
                  <w:tcW w:w="741" w:type="pct"/>
                  <w:shd w:val="clear" w:color="auto" w:fill="auto"/>
                  <w:vAlign w:val="center"/>
                </w:tcPr>
                <w:p w14:paraId="2A24AA26">
                  <w:pPr>
                    <w:pStyle w:val="29"/>
                  </w:pPr>
                  <w:r>
                    <w:t>2022.11.14</w:t>
                  </w:r>
                </w:p>
              </w:tc>
              <w:tc>
                <w:tcPr>
                  <w:tcW w:w="532" w:type="pct"/>
                  <w:vAlign w:val="center"/>
                </w:tcPr>
                <w:p w14:paraId="5BA0384A">
                  <w:pPr>
                    <w:pStyle w:val="29"/>
                  </w:pPr>
                  <w:r>
                    <w:t>7.5</w:t>
                  </w:r>
                </w:p>
              </w:tc>
              <w:tc>
                <w:tcPr>
                  <w:tcW w:w="532" w:type="pct"/>
                  <w:vAlign w:val="center"/>
                </w:tcPr>
                <w:p w14:paraId="2C9C4979">
                  <w:pPr>
                    <w:pStyle w:val="29"/>
                  </w:pPr>
                  <w:r>
                    <w:t>3.2</w:t>
                  </w:r>
                </w:p>
              </w:tc>
              <w:tc>
                <w:tcPr>
                  <w:tcW w:w="532" w:type="pct"/>
                  <w:vAlign w:val="center"/>
                </w:tcPr>
                <w:p w14:paraId="02BB7197">
                  <w:pPr>
                    <w:pStyle w:val="29"/>
                  </w:pPr>
                  <w:r>
                    <w:t>18</w:t>
                  </w:r>
                </w:p>
              </w:tc>
              <w:tc>
                <w:tcPr>
                  <w:tcW w:w="532" w:type="pct"/>
                  <w:vAlign w:val="center"/>
                </w:tcPr>
                <w:p w14:paraId="6C015E08">
                  <w:pPr>
                    <w:pStyle w:val="29"/>
                  </w:pPr>
                  <w:r>
                    <w:t>0.552</w:t>
                  </w:r>
                </w:p>
              </w:tc>
              <w:tc>
                <w:tcPr>
                  <w:tcW w:w="532" w:type="pct"/>
                  <w:vAlign w:val="center"/>
                </w:tcPr>
                <w:p w14:paraId="0B81513F">
                  <w:pPr>
                    <w:pStyle w:val="29"/>
                  </w:pPr>
                  <w:r>
                    <w:t>0.63</w:t>
                  </w:r>
                </w:p>
              </w:tc>
              <w:tc>
                <w:tcPr>
                  <w:tcW w:w="533" w:type="pct"/>
                  <w:vAlign w:val="center"/>
                </w:tcPr>
                <w:p w14:paraId="7B169D7F">
                  <w:pPr>
                    <w:pStyle w:val="29"/>
                  </w:pPr>
                  <w:r>
                    <w:t>0.1</w:t>
                  </w:r>
                </w:p>
              </w:tc>
              <w:tc>
                <w:tcPr>
                  <w:tcW w:w="533" w:type="pct"/>
                  <w:vAlign w:val="center"/>
                </w:tcPr>
                <w:p w14:paraId="2DA51982">
                  <w:pPr>
                    <w:spacing w:line="240" w:lineRule="auto"/>
                    <w:ind w:firstLine="0" w:firstLineChars="0"/>
                    <w:jc w:val="center"/>
                    <w:rPr>
                      <w:sz w:val="21"/>
                      <w:szCs w:val="21"/>
                    </w:rPr>
                  </w:pPr>
                  <w:r>
                    <w:rPr>
                      <w:sz w:val="21"/>
                      <w:szCs w:val="21"/>
                    </w:rPr>
                    <w:t>＜0.01</w:t>
                  </w:r>
                </w:p>
              </w:tc>
            </w:tr>
            <w:tr w14:paraId="4DAB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21207B44">
                  <w:pPr>
                    <w:pStyle w:val="29"/>
                  </w:pPr>
                </w:p>
              </w:tc>
              <w:tc>
                <w:tcPr>
                  <w:tcW w:w="741" w:type="pct"/>
                  <w:shd w:val="clear" w:color="auto" w:fill="auto"/>
                  <w:vAlign w:val="center"/>
                </w:tcPr>
                <w:p w14:paraId="7625B066">
                  <w:pPr>
                    <w:pStyle w:val="29"/>
                  </w:pPr>
                  <w:r>
                    <w:t>2022.11.15</w:t>
                  </w:r>
                </w:p>
              </w:tc>
              <w:tc>
                <w:tcPr>
                  <w:tcW w:w="532" w:type="pct"/>
                  <w:vAlign w:val="center"/>
                </w:tcPr>
                <w:p w14:paraId="1EED2AF3">
                  <w:pPr>
                    <w:pStyle w:val="29"/>
                  </w:pPr>
                  <w:r>
                    <w:t>7.1</w:t>
                  </w:r>
                </w:p>
              </w:tc>
              <w:tc>
                <w:tcPr>
                  <w:tcW w:w="532" w:type="pct"/>
                  <w:vAlign w:val="center"/>
                </w:tcPr>
                <w:p w14:paraId="0B95635A">
                  <w:pPr>
                    <w:pStyle w:val="29"/>
                  </w:pPr>
                  <w:r>
                    <w:t>3.4</w:t>
                  </w:r>
                </w:p>
              </w:tc>
              <w:tc>
                <w:tcPr>
                  <w:tcW w:w="532" w:type="pct"/>
                  <w:vAlign w:val="center"/>
                </w:tcPr>
                <w:p w14:paraId="7D113A93">
                  <w:pPr>
                    <w:pStyle w:val="29"/>
                  </w:pPr>
                  <w:r>
                    <w:t>17</w:t>
                  </w:r>
                </w:p>
              </w:tc>
              <w:tc>
                <w:tcPr>
                  <w:tcW w:w="532" w:type="pct"/>
                  <w:vAlign w:val="center"/>
                </w:tcPr>
                <w:p w14:paraId="1901132A">
                  <w:pPr>
                    <w:pStyle w:val="29"/>
                  </w:pPr>
                  <w:r>
                    <w:t>0.511</w:t>
                  </w:r>
                </w:p>
              </w:tc>
              <w:tc>
                <w:tcPr>
                  <w:tcW w:w="532" w:type="pct"/>
                  <w:vAlign w:val="center"/>
                </w:tcPr>
                <w:p w14:paraId="5948EC2D">
                  <w:pPr>
                    <w:pStyle w:val="29"/>
                  </w:pPr>
                  <w:r>
                    <w:t>0.66</w:t>
                  </w:r>
                </w:p>
              </w:tc>
              <w:tc>
                <w:tcPr>
                  <w:tcW w:w="533" w:type="pct"/>
                  <w:vAlign w:val="center"/>
                </w:tcPr>
                <w:p w14:paraId="5D9963D8">
                  <w:pPr>
                    <w:pStyle w:val="29"/>
                  </w:pPr>
                  <w:r>
                    <w:t>0.07</w:t>
                  </w:r>
                </w:p>
              </w:tc>
              <w:tc>
                <w:tcPr>
                  <w:tcW w:w="533" w:type="pct"/>
                  <w:vAlign w:val="center"/>
                </w:tcPr>
                <w:p w14:paraId="60984C14">
                  <w:pPr>
                    <w:spacing w:line="240" w:lineRule="auto"/>
                    <w:ind w:firstLine="0" w:firstLineChars="0"/>
                    <w:jc w:val="center"/>
                    <w:rPr>
                      <w:sz w:val="21"/>
                      <w:szCs w:val="21"/>
                    </w:rPr>
                  </w:pPr>
                  <w:r>
                    <w:rPr>
                      <w:sz w:val="21"/>
                      <w:szCs w:val="21"/>
                    </w:rPr>
                    <w:t>＜0.01</w:t>
                  </w:r>
                </w:p>
              </w:tc>
            </w:tr>
            <w:tr w14:paraId="694F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restart"/>
                  <w:vAlign w:val="center"/>
                </w:tcPr>
                <w:p w14:paraId="48CEDAEA">
                  <w:pPr>
                    <w:pStyle w:val="29"/>
                  </w:pPr>
                  <w:r>
                    <w:t>5#</w:t>
                  </w:r>
                </w:p>
              </w:tc>
              <w:tc>
                <w:tcPr>
                  <w:tcW w:w="741" w:type="pct"/>
                  <w:shd w:val="clear" w:color="auto" w:fill="auto"/>
                  <w:vAlign w:val="center"/>
                </w:tcPr>
                <w:p w14:paraId="42B12E01">
                  <w:pPr>
                    <w:pStyle w:val="29"/>
                  </w:pPr>
                  <w:r>
                    <w:t>2022.11.13</w:t>
                  </w:r>
                </w:p>
              </w:tc>
              <w:tc>
                <w:tcPr>
                  <w:tcW w:w="532" w:type="pct"/>
                  <w:vAlign w:val="center"/>
                </w:tcPr>
                <w:p w14:paraId="223EC4E4">
                  <w:pPr>
                    <w:pStyle w:val="29"/>
                  </w:pPr>
                  <w:r>
                    <w:t>7.1</w:t>
                  </w:r>
                </w:p>
              </w:tc>
              <w:tc>
                <w:tcPr>
                  <w:tcW w:w="532" w:type="pct"/>
                  <w:vAlign w:val="center"/>
                </w:tcPr>
                <w:p w14:paraId="5D142137">
                  <w:pPr>
                    <w:pStyle w:val="29"/>
                  </w:pPr>
                  <w:r>
                    <w:t>3.3</w:t>
                  </w:r>
                </w:p>
              </w:tc>
              <w:tc>
                <w:tcPr>
                  <w:tcW w:w="532" w:type="pct"/>
                  <w:vAlign w:val="center"/>
                </w:tcPr>
                <w:p w14:paraId="684B1245">
                  <w:pPr>
                    <w:pStyle w:val="29"/>
                  </w:pPr>
                  <w:r>
                    <w:t>17</w:t>
                  </w:r>
                </w:p>
              </w:tc>
              <w:tc>
                <w:tcPr>
                  <w:tcW w:w="532" w:type="pct"/>
                  <w:vAlign w:val="center"/>
                </w:tcPr>
                <w:p w14:paraId="2308D25C">
                  <w:pPr>
                    <w:pStyle w:val="29"/>
                  </w:pPr>
                  <w:r>
                    <w:t>0.382</w:t>
                  </w:r>
                </w:p>
              </w:tc>
              <w:tc>
                <w:tcPr>
                  <w:tcW w:w="532" w:type="pct"/>
                  <w:vAlign w:val="center"/>
                </w:tcPr>
                <w:p w14:paraId="247ADF7A">
                  <w:pPr>
                    <w:pStyle w:val="29"/>
                  </w:pPr>
                  <w:r>
                    <w:t>0.53</w:t>
                  </w:r>
                </w:p>
              </w:tc>
              <w:tc>
                <w:tcPr>
                  <w:tcW w:w="533" w:type="pct"/>
                  <w:vAlign w:val="center"/>
                </w:tcPr>
                <w:p w14:paraId="18DC0CCF">
                  <w:pPr>
                    <w:pStyle w:val="29"/>
                  </w:pPr>
                  <w:r>
                    <w:t>0.09</w:t>
                  </w:r>
                </w:p>
              </w:tc>
              <w:tc>
                <w:tcPr>
                  <w:tcW w:w="533" w:type="pct"/>
                  <w:vAlign w:val="center"/>
                </w:tcPr>
                <w:p w14:paraId="4CE43199">
                  <w:pPr>
                    <w:spacing w:line="240" w:lineRule="auto"/>
                    <w:ind w:firstLine="0" w:firstLineChars="0"/>
                    <w:jc w:val="center"/>
                    <w:rPr>
                      <w:sz w:val="21"/>
                      <w:szCs w:val="21"/>
                    </w:rPr>
                  </w:pPr>
                  <w:r>
                    <w:rPr>
                      <w:sz w:val="21"/>
                      <w:szCs w:val="21"/>
                    </w:rPr>
                    <w:t>＜0.01</w:t>
                  </w:r>
                </w:p>
              </w:tc>
            </w:tr>
            <w:tr w14:paraId="1D0E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2C6B2B81">
                  <w:pPr>
                    <w:pStyle w:val="29"/>
                  </w:pPr>
                </w:p>
              </w:tc>
              <w:tc>
                <w:tcPr>
                  <w:tcW w:w="741" w:type="pct"/>
                  <w:shd w:val="clear" w:color="auto" w:fill="auto"/>
                  <w:vAlign w:val="center"/>
                </w:tcPr>
                <w:p w14:paraId="2670B940">
                  <w:pPr>
                    <w:pStyle w:val="29"/>
                  </w:pPr>
                  <w:r>
                    <w:t>2022.11.14</w:t>
                  </w:r>
                </w:p>
              </w:tc>
              <w:tc>
                <w:tcPr>
                  <w:tcW w:w="532" w:type="pct"/>
                  <w:vAlign w:val="center"/>
                </w:tcPr>
                <w:p w14:paraId="4D7F875E">
                  <w:pPr>
                    <w:pStyle w:val="29"/>
                  </w:pPr>
                  <w:r>
                    <w:t>7.4</w:t>
                  </w:r>
                </w:p>
              </w:tc>
              <w:tc>
                <w:tcPr>
                  <w:tcW w:w="532" w:type="pct"/>
                  <w:vAlign w:val="center"/>
                </w:tcPr>
                <w:p w14:paraId="3079070D">
                  <w:pPr>
                    <w:pStyle w:val="29"/>
                  </w:pPr>
                  <w:r>
                    <w:t>3.2</w:t>
                  </w:r>
                </w:p>
              </w:tc>
              <w:tc>
                <w:tcPr>
                  <w:tcW w:w="532" w:type="pct"/>
                  <w:vAlign w:val="center"/>
                </w:tcPr>
                <w:p w14:paraId="2E1058C3">
                  <w:pPr>
                    <w:pStyle w:val="29"/>
                  </w:pPr>
                  <w:r>
                    <w:t>17</w:t>
                  </w:r>
                </w:p>
              </w:tc>
              <w:tc>
                <w:tcPr>
                  <w:tcW w:w="532" w:type="pct"/>
                  <w:vAlign w:val="center"/>
                </w:tcPr>
                <w:p w14:paraId="4429FEEA">
                  <w:pPr>
                    <w:pStyle w:val="29"/>
                  </w:pPr>
                  <w:r>
                    <w:t>0.382</w:t>
                  </w:r>
                </w:p>
              </w:tc>
              <w:tc>
                <w:tcPr>
                  <w:tcW w:w="532" w:type="pct"/>
                  <w:vAlign w:val="center"/>
                </w:tcPr>
                <w:p w14:paraId="1A253B31">
                  <w:pPr>
                    <w:pStyle w:val="29"/>
                  </w:pPr>
                  <w:r>
                    <w:t>0.49</w:t>
                  </w:r>
                </w:p>
              </w:tc>
              <w:tc>
                <w:tcPr>
                  <w:tcW w:w="533" w:type="pct"/>
                  <w:vAlign w:val="center"/>
                </w:tcPr>
                <w:p w14:paraId="215C74A9">
                  <w:pPr>
                    <w:pStyle w:val="29"/>
                  </w:pPr>
                  <w:r>
                    <w:t>0.06</w:t>
                  </w:r>
                </w:p>
              </w:tc>
              <w:tc>
                <w:tcPr>
                  <w:tcW w:w="533" w:type="pct"/>
                  <w:vAlign w:val="center"/>
                </w:tcPr>
                <w:p w14:paraId="72F43129">
                  <w:pPr>
                    <w:spacing w:line="240" w:lineRule="auto"/>
                    <w:ind w:firstLine="0" w:firstLineChars="0"/>
                    <w:jc w:val="center"/>
                    <w:rPr>
                      <w:sz w:val="21"/>
                      <w:szCs w:val="21"/>
                    </w:rPr>
                  </w:pPr>
                  <w:r>
                    <w:rPr>
                      <w:sz w:val="21"/>
                      <w:szCs w:val="21"/>
                    </w:rPr>
                    <w:t>＜0.01</w:t>
                  </w:r>
                </w:p>
              </w:tc>
            </w:tr>
            <w:tr w14:paraId="5105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vMerge w:val="continue"/>
                  <w:vAlign w:val="center"/>
                </w:tcPr>
                <w:p w14:paraId="61AC97ED">
                  <w:pPr>
                    <w:pStyle w:val="29"/>
                  </w:pPr>
                </w:p>
              </w:tc>
              <w:tc>
                <w:tcPr>
                  <w:tcW w:w="741" w:type="pct"/>
                  <w:shd w:val="clear" w:color="auto" w:fill="auto"/>
                  <w:vAlign w:val="center"/>
                </w:tcPr>
                <w:p w14:paraId="354D5ABB">
                  <w:pPr>
                    <w:pStyle w:val="29"/>
                  </w:pPr>
                  <w:r>
                    <w:t>2022.11.15</w:t>
                  </w:r>
                </w:p>
              </w:tc>
              <w:tc>
                <w:tcPr>
                  <w:tcW w:w="532" w:type="pct"/>
                  <w:vAlign w:val="center"/>
                </w:tcPr>
                <w:p w14:paraId="739E8688">
                  <w:pPr>
                    <w:pStyle w:val="29"/>
                  </w:pPr>
                  <w:r>
                    <w:t>7.4</w:t>
                  </w:r>
                </w:p>
              </w:tc>
              <w:tc>
                <w:tcPr>
                  <w:tcW w:w="532" w:type="pct"/>
                  <w:vAlign w:val="center"/>
                </w:tcPr>
                <w:p w14:paraId="239BFE01">
                  <w:pPr>
                    <w:pStyle w:val="29"/>
                  </w:pPr>
                  <w:r>
                    <w:t>3.3</w:t>
                  </w:r>
                </w:p>
              </w:tc>
              <w:tc>
                <w:tcPr>
                  <w:tcW w:w="532" w:type="pct"/>
                  <w:vAlign w:val="center"/>
                </w:tcPr>
                <w:p w14:paraId="326C23BD">
                  <w:pPr>
                    <w:pStyle w:val="29"/>
                  </w:pPr>
                  <w:r>
                    <w:t>15</w:t>
                  </w:r>
                </w:p>
              </w:tc>
              <w:tc>
                <w:tcPr>
                  <w:tcW w:w="532" w:type="pct"/>
                  <w:vAlign w:val="center"/>
                </w:tcPr>
                <w:p w14:paraId="79A3C60D">
                  <w:pPr>
                    <w:pStyle w:val="29"/>
                  </w:pPr>
                  <w:r>
                    <w:t>0.423</w:t>
                  </w:r>
                </w:p>
              </w:tc>
              <w:tc>
                <w:tcPr>
                  <w:tcW w:w="532" w:type="pct"/>
                  <w:vAlign w:val="center"/>
                </w:tcPr>
                <w:p w14:paraId="1AF1CA00">
                  <w:pPr>
                    <w:pStyle w:val="29"/>
                  </w:pPr>
                  <w:r>
                    <w:t>0.56</w:t>
                  </w:r>
                </w:p>
              </w:tc>
              <w:tc>
                <w:tcPr>
                  <w:tcW w:w="533" w:type="pct"/>
                  <w:vAlign w:val="center"/>
                </w:tcPr>
                <w:p w14:paraId="48DF1D6B">
                  <w:pPr>
                    <w:pStyle w:val="29"/>
                  </w:pPr>
                  <w:r>
                    <w:t>0.08</w:t>
                  </w:r>
                </w:p>
              </w:tc>
              <w:tc>
                <w:tcPr>
                  <w:tcW w:w="533" w:type="pct"/>
                  <w:vAlign w:val="center"/>
                </w:tcPr>
                <w:p w14:paraId="32786D49">
                  <w:pPr>
                    <w:spacing w:line="240" w:lineRule="auto"/>
                    <w:ind w:firstLine="0" w:firstLineChars="0"/>
                    <w:jc w:val="center"/>
                    <w:rPr>
                      <w:sz w:val="21"/>
                      <w:szCs w:val="21"/>
                    </w:rPr>
                  </w:pPr>
                  <w:r>
                    <w:rPr>
                      <w:sz w:val="21"/>
                      <w:szCs w:val="21"/>
                    </w:rPr>
                    <w:t>＜0.01</w:t>
                  </w:r>
                </w:p>
              </w:tc>
            </w:tr>
          </w:tbl>
          <w:p w14:paraId="54772C7A">
            <w:r>
              <w:t>由监测结果可知：老濉河的各项监测指标均能满足《地表水环境质量标准》</w:t>
            </w:r>
            <w:r>
              <w:rPr>
                <w:rFonts w:hint="eastAsia"/>
              </w:rPr>
              <w:t>（</w:t>
            </w:r>
            <w:r>
              <w:t>GB3838-2002</w:t>
            </w:r>
            <w:r>
              <w:rPr>
                <w:rFonts w:hint="eastAsia"/>
              </w:rPr>
              <w:t>）</w:t>
            </w:r>
            <w:r>
              <w:t>中的</w:t>
            </w:r>
            <w:r>
              <w:rPr>
                <w:rFonts w:hint="eastAsia"/>
              </w:rPr>
              <w:t>Ⅳ类</w:t>
            </w:r>
            <w:r>
              <w:t>水标准要求。</w:t>
            </w:r>
          </w:p>
          <w:p w14:paraId="7AF21A69">
            <w:pPr>
              <w:ind w:firstLine="482"/>
              <w:rPr>
                <w:b/>
                <w:bCs/>
              </w:rPr>
            </w:pPr>
            <w:r>
              <w:rPr>
                <w:rFonts w:hint="eastAsia"/>
                <w:b/>
                <w:bCs/>
              </w:rPr>
              <w:t>3、声环境质量现状</w:t>
            </w:r>
          </w:p>
          <w:p w14:paraId="34EC2309">
            <w:r>
              <w:t>项目位于</w:t>
            </w:r>
            <w:r>
              <w:rPr>
                <w:rFonts w:hint="eastAsia"/>
              </w:rPr>
              <w:t>安徽淮北相山经济开发区凤冠路3号</w:t>
            </w:r>
            <w:r>
              <w:t>，周边50m范围内无敏感保护目标，无需开展噪声现状监测</w:t>
            </w:r>
            <w:r>
              <w:rPr>
                <w:rFonts w:hint="eastAsia"/>
              </w:rPr>
              <w:t>。</w:t>
            </w:r>
          </w:p>
          <w:p w14:paraId="6208D188">
            <w:pPr>
              <w:ind w:firstLine="482"/>
              <w:rPr>
                <w:b/>
                <w:bCs/>
              </w:rPr>
            </w:pPr>
            <w:r>
              <w:rPr>
                <w:rFonts w:hint="eastAsia"/>
                <w:b/>
                <w:bCs/>
              </w:rPr>
              <w:t>4</w:t>
            </w:r>
            <w:r>
              <w:rPr>
                <w:b/>
                <w:bCs/>
              </w:rPr>
              <w:t>、</w:t>
            </w:r>
            <w:r>
              <w:rPr>
                <w:rFonts w:hint="eastAsia"/>
                <w:b/>
                <w:bCs/>
              </w:rPr>
              <w:t>生态环境</w:t>
            </w:r>
          </w:p>
          <w:p w14:paraId="075B3044">
            <w:r>
              <w:rPr>
                <w:rFonts w:hint="eastAsia"/>
              </w:rPr>
              <w:t>本项目为园区内建设项目，周边无生态环境保护目标，无需进行生态现状调查。</w:t>
            </w:r>
          </w:p>
          <w:p w14:paraId="50575CB8">
            <w:pPr>
              <w:ind w:firstLine="482"/>
              <w:rPr>
                <w:b/>
                <w:bCs/>
              </w:rPr>
            </w:pPr>
            <w:r>
              <w:rPr>
                <w:rFonts w:hint="eastAsia"/>
                <w:b/>
                <w:bCs/>
              </w:rPr>
              <w:t>5、电磁辐射</w:t>
            </w:r>
          </w:p>
          <w:p w14:paraId="428CEBA4">
            <w:r>
              <w:rPr>
                <w:rFonts w:hint="eastAsia"/>
              </w:rPr>
              <w:t>本项目不涉及电磁辐射，不属于电磁辐射类项目，无需根据相关技术导则对项目电磁辐射现状开展监测与评价。</w:t>
            </w:r>
          </w:p>
          <w:p w14:paraId="3338C287">
            <w:pPr>
              <w:ind w:firstLine="482"/>
              <w:rPr>
                <w:b/>
                <w:bCs/>
              </w:rPr>
            </w:pPr>
            <w:r>
              <w:rPr>
                <w:rFonts w:hint="eastAsia"/>
                <w:b/>
                <w:bCs/>
              </w:rPr>
              <w:t>6、地下水、土壤环境</w:t>
            </w:r>
          </w:p>
          <w:p w14:paraId="238B879E">
            <w:r>
              <w:rPr>
                <w:rFonts w:hint="eastAsia"/>
              </w:rPr>
              <w:t>本项目对土壤、地下水环境污染较小，原则上不开展环境质量现状调查。</w:t>
            </w:r>
            <w:r>
              <w:rPr>
                <w:rFonts w:hint="eastAsia"/>
              </w:rPr>
              <w:tab/>
            </w:r>
          </w:p>
        </w:tc>
      </w:tr>
      <w:tr w14:paraId="4C22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9" w:hRule="atLeast"/>
          <w:jc w:val="center"/>
        </w:trPr>
        <w:tc>
          <w:tcPr>
            <w:tcW w:w="800" w:type="dxa"/>
            <w:vAlign w:val="center"/>
          </w:tcPr>
          <w:p w14:paraId="02D476EE">
            <w:pPr>
              <w:adjustRightInd w:val="0"/>
              <w:snapToGrid w:val="0"/>
              <w:ind w:firstLine="0" w:firstLineChars="0"/>
              <w:jc w:val="center"/>
              <w:rPr>
                <w:rFonts w:hint="eastAsia" w:ascii="宋体" w:hAnsi="宋体" w:cs="宋体"/>
              </w:rPr>
            </w:pPr>
            <w:r>
              <w:rPr>
                <w:rFonts w:hint="eastAsia" w:ascii="宋体" w:hAnsi="宋体" w:cs="宋体"/>
              </w:rPr>
              <w:t>环境</w:t>
            </w:r>
          </w:p>
          <w:p w14:paraId="2BE33259">
            <w:pPr>
              <w:adjustRightInd w:val="0"/>
              <w:snapToGrid w:val="0"/>
              <w:ind w:firstLine="0" w:firstLineChars="0"/>
              <w:jc w:val="center"/>
              <w:rPr>
                <w:rFonts w:hint="eastAsia" w:ascii="宋体" w:hAnsi="宋体" w:cs="宋体"/>
              </w:rPr>
            </w:pPr>
            <w:r>
              <w:rPr>
                <w:rFonts w:hint="eastAsia" w:ascii="宋体" w:hAnsi="宋体" w:cs="宋体"/>
              </w:rPr>
              <w:t>保护</w:t>
            </w:r>
          </w:p>
          <w:p w14:paraId="460F486A">
            <w:pPr>
              <w:adjustRightInd w:val="0"/>
              <w:snapToGrid w:val="0"/>
              <w:ind w:firstLine="0" w:firstLineChars="0"/>
              <w:rPr>
                <w:rFonts w:hint="eastAsia" w:ascii="宋体" w:hAnsi="宋体" w:cs="宋体"/>
                <w:szCs w:val="21"/>
              </w:rPr>
            </w:pPr>
            <w:r>
              <w:rPr>
                <w:rFonts w:hint="eastAsia" w:ascii="宋体" w:hAnsi="宋体" w:cs="宋体"/>
              </w:rPr>
              <w:t>目标</w:t>
            </w:r>
          </w:p>
        </w:tc>
        <w:tc>
          <w:tcPr>
            <w:tcW w:w="8190" w:type="dxa"/>
            <w:vAlign w:val="center"/>
          </w:tcPr>
          <w:p w14:paraId="5359F14F">
            <w:pPr>
              <w:ind w:firstLine="482"/>
              <w:rPr>
                <w:b/>
                <w:bCs/>
              </w:rPr>
            </w:pPr>
            <w:r>
              <w:rPr>
                <w:rFonts w:hint="eastAsia"/>
                <w:b/>
                <w:bCs/>
              </w:rPr>
              <w:t>1、大气环境保护目标</w:t>
            </w:r>
          </w:p>
          <w:p w14:paraId="3C8B45A2">
            <w:r>
              <w:t>本项目厂界500m范围内保护目标为</w:t>
            </w:r>
            <w:r>
              <w:rPr>
                <w:rFonts w:hint="eastAsia"/>
              </w:rPr>
              <w:t>前黄村</w:t>
            </w:r>
            <w:r>
              <w:t>，距离为</w:t>
            </w:r>
            <w:r>
              <w:rPr>
                <w:rFonts w:hint="eastAsia"/>
              </w:rPr>
              <w:t>445m</w:t>
            </w:r>
            <w:r>
              <w:t>。</w:t>
            </w:r>
          </w:p>
          <w:p w14:paraId="45FB1AD6">
            <w:pPr>
              <w:ind w:firstLine="482"/>
              <w:rPr>
                <w:b/>
                <w:bCs/>
              </w:rPr>
            </w:pPr>
            <w:r>
              <w:rPr>
                <w:rFonts w:hint="eastAsia"/>
                <w:b/>
                <w:bCs/>
              </w:rPr>
              <w:t>2、声环境保护目标</w:t>
            </w:r>
          </w:p>
          <w:p w14:paraId="4D416C6B">
            <w:r>
              <w:rPr>
                <w:rFonts w:hint="eastAsia"/>
              </w:rPr>
              <w:t>项目5</w:t>
            </w:r>
            <w:r>
              <w:t>0m</w:t>
            </w:r>
            <w:r>
              <w:rPr>
                <w:rFonts w:hint="eastAsia"/>
              </w:rPr>
              <w:t>范围内无声环境保护目标。</w:t>
            </w:r>
          </w:p>
          <w:p w14:paraId="61E91531">
            <w:pPr>
              <w:ind w:firstLine="482"/>
              <w:rPr>
                <w:b/>
                <w:bCs/>
              </w:rPr>
            </w:pPr>
            <w:r>
              <w:rPr>
                <w:b/>
                <w:bCs/>
              </w:rPr>
              <w:t>3</w:t>
            </w:r>
            <w:r>
              <w:rPr>
                <w:rFonts w:hint="eastAsia"/>
                <w:b/>
                <w:bCs/>
              </w:rPr>
              <w:t>、生态环境保护目标</w:t>
            </w:r>
          </w:p>
          <w:p w14:paraId="45DEEE37">
            <w:r>
              <w:rPr>
                <w:rFonts w:hint="eastAsia"/>
              </w:rPr>
              <w:t>项目不涉及特殊生态敏感区和重要生态敏感区。</w:t>
            </w:r>
          </w:p>
          <w:p w14:paraId="14657FA9">
            <w:pPr>
              <w:ind w:firstLine="482"/>
              <w:rPr>
                <w:b/>
                <w:bCs/>
              </w:rPr>
            </w:pPr>
            <w:r>
              <w:rPr>
                <w:b/>
                <w:bCs/>
              </w:rPr>
              <w:t>4、</w:t>
            </w:r>
            <w:r>
              <w:rPr>
                <w:rFonts w:hint="eastAsia"/>
                <w:b/>
                <w:bCs/>
              </w:rPr>
              <w:t>地下水环境敏感目标</w:t>
            </w:r>
          </w:p>
          <w:p w14:paraId="14DF3B68">
            <w:r>
              <w:rPr>
                <w:rFonts w:hint="eastAsia"/>
              </w:rPr>
              <w:t>项目厂界外500米范围内无地下水集中式饮用水水源和热水、矿泉水、温泉等特殊地下水资源。</w:t>
            </w:r>
          </w:p>
          <w:p w14:paraId="52F6C36C">
            <w:pPr>
              <w:spacing w:line="240" w:lineRule="auto"/>
              <w:ind w:firstLine="0" w:firstLineChars="0"/>
              <w:jc w:val="center"/>
              <w:rPr>
                <w:b/>
              </w:rPr>
            </w:pPr>
            <w:r>
              <w:rPr>
                <w:b/>
              </w:rPr>
              <w:t>表3-</w:t>
            </w:r>
            <w:r>
              <w:rPr>
                <w:rFonts w:hint="eastAsia"/>
                <w:b/>
              </w:rPr>
              <w:t>4</w:t>
            </w:r>
            <w:r>
              <w:rPr>
                <w:b/>
              </w:rPr>
              <w:t xml:space="preserve">  环境</w:t>
            </w:r>
            <w:r>
              <w:rPr>
                <w:rFonts w:hint="eastAsia"/>
                <w:b/>
              </w:rPr>
              <w:t>空气</w:t>
            </w:r>
            <w:r>
              <w:rPr>
                <w:b/>
              </w:rPr>
              <w:t>保护目标分布表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03"/>
              <w:gridCol w:w="641"/>
              <w:gridCol w:w="725"/>
              <w:gridCol w:w="711"/>
              <w:gridCol w:w="882"/>
              <w:gridCol w:w="1897"/>
              <w:gridCol w:w="746"/>
              <w:gridCol w:w="666"/>
            </w:tblGrid>
            <w:tr w14:paraId="37CE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vMerge w:val="restart"/>
                  <w:tcBorders>
                    <w:top w:val="single" w:color="auto" w:sz="4" w:space="0"/>
                    <w:left w:val="single" w:color="auto" w:sz="4" w:space="0"/>
                    <w:right w:val="single" w:color="auto" w:sz="4" w:space="0"/>
                  </w:tcBorders>
                  <w:vAlign w:val="center"/>
                </w:tcPr>
                <w:p w14:paraId="5FB3DA61">
                  <w:pPr>
                    <w:spacing w:line="240" w:lineRule="auto"/>
                    <w:ind w:firstLine="0" w:firstLineChars="0"/>
                    <w:jc w:val="center"/>
                    <w:rPr>
                      <w:sz w:val="21"/>
                      <w:szCs w:val="21"/>
                      <w:lang w:bidi="ar"/>
                    </w:rPr>
                  </w:pPr>
                  <w:r>
                    <w:rPr>
                      <w:rFonts w:hint="eastAsia"/>
                      <w:sz w:val="21"/>
                      <w:szCs w:val="21"/>
                    </w:rPr>
                    <w:t>环境要素</w:t>
                  </w:r>
                </w:p>
              </w:tc>
              <w:tc>
                <w:tcPr>
                  <w:tcW w:w="823" w:type="pct"/>
                  <w:gridSpan w:val="2"/>
                  <w:tcBorders>
                    <w:top w:val="single" w:color="auto" w:sz="4" w:space="0"/>
                    <w:left w:val="single" w:color="auto" w:sz="4" w:space="0"/>
                    <w:bottom w:val="single" w:color="auto" w:sz="4" w:space="0"/>
                    <w:right w:val="single" w:color="auto" w:sz="4" w:space="0"/>
                  </w:tcBorders>
                  <w:vAlign w:val="center"/>
                </w:tcPr>
                <w:p w14:paraId="11CD9468">
                  <w:pPr>
                    <w:spacing w:line="240" w:lineRule="auto"/>
                    <w:ind w:firstLine="0" w:firstLineChars="0"/>
                    <w:jc w:val="center"/>
                    <w:rPr>
                      <w:sz w:val="21"/>
                      <w:szCs w:val="21"/>
                      <w:lang w:bidi="ar"/>
                    </w:rPr>
                  </w:pPr>
                  <w:r>
                    <w:rPr>
                      <w:sz w:val="21"/>
                      <w:szCs w:val="21"/>
                      <w:lang w:bidi="ar"/>
                    </w:rPr>
                    <w:t>坐标</w:t>
                  </w:r>
                  <w:r>
                    <w:rPr>
                      <w:rFonts w:hint="eastAsia"/>
                      <w:sz w:val="21"/>
                      <w:szCs w:val="21"/>
                      <w:lang w:bidi="ar"/>
                    </w:rPr>
                    <w:t>/m</w:t>
                  </w:r>
                </w:p>
              </w:tc>
              <w:tc>
                <w:tcPr>
                  <w:tcW w:w="479" w:type="pct"/>
                  <w:vMerge w:val="restart"/>
                  <w:tcBorders>
                    <w:top w:val="single" w:color="auto" w:sz="4" w:space="0"/>
                    <w:left w:val="single" w:color="auto" w:sz="4" w:space="0"/>
                    <w:bottom w:val="single" w:color="auto" w:sz="4" w:space="0"/>
                    <w:right w:val="single" w:color="auto" w:sz="4" w:space="0"/>
                  </w:tcBorders>
                  <w:vAlign w:val="center"/>
                </w:tcPr>
                <w:p w14:paraId="16C3131B">
                  <w:pPr>
                    <w:spacing w:line="240" w:lineRule="auto"/>
                    <w:ind w:firstLine="0" w:firstLineChars="0"/>
                    <w:jc w:val="center"/>
                    <w:rPr>
                      <w:sz w:val="21"/>
                      <w:szCs w:val="21"/>
                      <w:lang w:bidi="ar"/>
                    </w:rPr>
                  </w:pPr>
                  <w:r>
                    <w:rPr>
                      <w:sz w:val="21"/>
                      <w:szCs w:val="21"/>
                      <w:lang w:bidi="ar"/>
                    </w:rPr>
                    <w:t>保护对象</w:t>
                  </w:r>
                </w:p>
              </w:tc>
              <w:tc>
                <w:tcPr>
                  <w:tcW w:w="470" w:type="pct"/>
                  <w:vMerge w:val="restart"/>
                  <w:tcBorders>
                    <w:top w:val="single" w:color="auto" w:sz="4" w:space="0"/>
                    <w:left w:val="single" w:color="auto" w:sz="4" w:space="0"/>
                    <w:bottom w:val="single" w:color="auto" w:sz="4" w:space="0"/>
                    <w:right w:val="single" w:color="auto" w:sz="4" w:space="0"/>
                  </w:tcBorders>
                  <w:vAlign w:val="center"/>
                </w:tcPr>
                <w:p w14:paraId="54C0A48F">
                  <w:pPr>
                    <w:spacing w:line="240" w:lineRule="auto"/>
                    <w:ind w:firstLine="0" w:firstLineChars="0"/>
                    <w:jc w:val="center"/>
                    <w:rPr>
                      <w:sz w:val="21"/>
                      <w:szCs w:val="21"/>
                      <w:lang w:bidi="ar"/>
                    </w:rPr>
                  </w:pPr>
                  <w:r>
                    <w:rPr>
                      <w:sz w:val="21"/>
                      <w:szCs w:val="21"/>
                      <w:lang w:bidi="ar"/>
                    </w:rPr>
                    <w:t>保护内容</w:t>
                  </w:r>
                </w:p>
              </w:tc>
              <w:tc>
                <w:tcPr>
                  <w:tcW w:w="583" w:type="pct"/>
                  <w:vMerge w:val="restart"/>
                  <w:tcBorders>
                    <w:top w:val="single" w:color="auto" w:sz="4" w:space="0"/>
                    <w:left w:val="single" w:color="auto" w:sz="4" w:space="0"/>
                    <w:right w:val="single" w:color="auto" w:sz="4" w:space="0"/>
                  </w:tcBorders>
                  <w:vAlign w:val="center"/>
                </w:tcPr>
                <w:p w14:paraId="7D75F32A">
                  <w:pPr>
                    <w:spacing w:line="240" w:lineRule="auto"/>
                    <w:ind w:firstLine="0" w:firstLineChars="0"/>
                    <w:jc w:val="center"/>
                    <w:rPr>
                      <w:sz w:val="21"/>
                      <w:szCs w:val="21"/>
                      <w:lang w:bidi="ar"/>
                    </w:rPr>
                  </w:pPr>
                  <w:r>
                    <w:rPr>
                      <w:rFonts w:hint="eastAsia"/>
                      <w:sz w:val="21"/>
                      <w:szCs w:val="21"/>
                      <w:lang w:bidi="ar"/>
                    </w:rPr>
                    <w:t>规模</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14:paraId="30FE7DB5">
                  <w:pPr>
                    <w:spacing w:line="240" w:lineRule="auto"/>
                    <w:ind w:firstLine="0" w:firstLineChars="0"/>
                    <w:jc w:val="center"/>
                    <w:rPr>
                      <w:sz w:val="21"/>
                      <w:szCs w:val="21"/>
                      <w:lang w:bidi="ar"/>
                    </w:rPr>
                  </w:pPr>
                  <w:r>
                    <w:rPr>
                      <w:sz w:val="21"/>
                      <w:szCs w:val="21"/>
                      <w:lang w:bidi="ar"/>
                    </w:rPr>
                    <w:t>环境功能区</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14:paraId="2E294E83">
                  <w:pPr>
                    <w:spacing w:line="240" w:lineRule="auto"/>
                    <w:ind w:firstLine="0" w:firstLineChars="0"/>
                    <w:jc w:val="center"/>
                    <w:rPr>
                      <w:sz w:val="21"/>
                      <w:szCs w:val="21"/>
                      <w:lang w:bidi="ar"/>
                    </w:rPr>
                  </w:pPr>
                  <w:r>
                    <w:rPr>
                      <w:sz w:val="21"/>
                      <w:szCs w:val="21"/>
                      <w:lang w:bidi="ar"/>
                    </w:rPr>
                    <w:t>相对厂址方位</w:t>
                  </w:r>
                </w:p>
              </w:tc>
              <w:tc>
                <w:tcPr>
                  <w:tcW w:w="438" w:type="pct"/>
                  <w:vMerge w:val="restart"/>
                  <w:tcBorders>
                    <w:top w:val="single" w:color="auto" w:sz="4" w:space="0"/>
                    <w:left w:val="single" w:color="auto" w:sz="4" w:space="0"/>
                    <w:bottom w:val="single" w:color="auto" w:sz="4" w:space="0"/>
                    <w:right w:val="single" w:color="auto" w:sz="4" w:space="0"/>
                  </w:tcBorders>
                  <w:vAlign w:val="center"/>
                </w:tcPr>
                <w:p w14:paraId="01B5D58E">
                  <w:pPr>
                    <w:spacing w:line="240" w:lineRule="auto"/>
                    <w:ind w:firstLine="0" w:firstLineChars="0"/>
                    <w:jc w:val="center"/>
                    <w:rPr>
                      <w:sz w:val="21"/>
                      <w:szCs w:val="21"/>
                      <w:lang w:bidi="ar"/>
                    </w:rPr>
                  </w:pPr>
                  <w:r>
                    <w:rPr>
                      <w:sz w:val="21"/>
                      <w:szCs w:val="21"/>
                      <w:lang w:bidi="ar"/>
                    </w:rPr>
                    <w:t>相对</w:t>
                  </w:r>
                  <w:r>
                    <w:rPr>
                      <w:rFonts w:hint="eastAsia"/>
                      <w:sz w:val="21"/>
                      <w:szCs w:val="21"/>
                      <w:lang w:bidi="ar"/>
                    </w:rPr>
                    <w:t>厂界</w:t>
                  </w:r>
                  <w:r>
                    <w:rPr>
                      <w:sz w:val="21"/>
                      <w:szCs w:val="21"/>
                      <w:lang w:bidi="ar"/>
                    </w:rPr>
                    <w:t>距离/m</w:t>
                  </w:r>
                </w:p>
              </w:tc>
            </w:tr>
            <w:tr w14:paraId="1067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vMerge w:val="continue"/>
                  <w:tcBorders>
                    <w:left w:val="single" w:color="auto" w:sz="4" w:space="0"/>
                    <w:right w:val="single" w:color="auto" w:sz="4" w:space="0"/>
                  </w:tcBorders>
                  <w:vAlign w:val="center"/>
                </w:tcPr>
                <w:p w14:paraId="0166F23C">
                  <w:pPr>
                    <w:spacing w:line="240" w:lineRule="auto"/>
                    <w:ind w:firstLine="0" w:firstLineChars="0"/>
                    <w:jc w:val="center"/>
                    <w:rPr>
                      <w:sz w:val="21"/>
                      <w:szCs w:val="21"/>
                      <w:lang w:bidi="ar"/>
                    </w:rPr>
                  </w:pPr>
                </w:p>
              </w:tc>
              <w:tc>
                <w:tcPr>
                  <w:tcW w:w="399" w:type="pct"/>
                  <w:tcBorders>
                    <w:top w:val="single" w:color="auto" w:sz="4" w:space="0"/>
                    <w:left w:val="single" w:color="auto" w:sz="4" w:space="0"/>
                    <w:bottom w:val="single" w:color="auto" w:sz="4" w:space="0"/>
                    <w:right w:val="single" w:color="auto" w:sz="4" w:space="0"/>
                  </w:tcBorders>
                  <w:vAlign w:val="center"/>
                </w:tcPr>
                <w:p w14:paraId="656794E7">
                  <w:pPr>
                    <w:spacing w:line="240" w:lineRule="auto"/>
                    <w:ind w:firstLine="0" w:firstLineChars="0"/>
                    <w:jc w:val="center"/>
                    <w:rPr>
                      <w:sz w:val="21"/>
                      <w:szCs w:val="21"/>
                      <w:lang w:bidi="ar"/>
                    </w:rPr>
                  </w:pPr>
                  <w:r>
                    <w:rPr>
                      <w:rFonts w:hint="eastAsia"/>
                      <w:sz w:val="21"/>
                      <w:szCs w:val="21"/>
                      <w:lang w:bidi="ar"/>
                    </w:rPr>
                    <w:t>X</w:t>
                  </w:r>
                </w:p>
              </w:tc>
              <w:tc>
                <w:tcPr>
                  <w:tcW w:w="423" w:type="pct"/>
                  <w:tcBorders>
                    <w:top w:val="single" w:color="auto" w:sz="4" w:space="0"/>
                    <w:left w:val="single" w:color="auto" w:sz="4" w:space="0"/>
                    <w:bottom w:val="single" w:color="auto" w:sz="4" w:space="0"/>
                    <w:right w:val="single" w:color="auto" w:sz="4" w:space="0"/>
                  </w:tcBorders>
                  <w:vAlign w:val="center"/>
                </w:tcPr>
                <w:p w14:paraId="51C84918">
                  <w:pPr>
                    <w:spacing w:line="240" w:lineRule="auto"/>
                    <w:ind w:firstLine="0" w:firstLineChars="0"/>
                    <w:jc w:val="center"/>
                    <w:rPr>
                      <w:sz w:val="21"/>
                      <w:szCs w:val="21"/>
                      <w:lang w:bidi="ar"/>
                    </w:rPr>
                  </w:pPr>
                  <w:r>
                    <w:rPr>
                      <w:rFonts w:hint="eastAsia"/>
                      <w:sz w:val="21"/>
                      <w:szCs w:val="21"/>
                      <w:lang w:bidi="ar"/>
                    </w:rPr>
                    <w:t>Y</w:t>
                  </w:r>
                </w:p>
              </w:tc>
              <w:tc>
                <w:tcPr>
                  <w:tcW w:w="479" w:type="pct"/>
                  <w:vMerge w:val="continue"/>
                  <w:tcBorders>
                    <w:top w:val="single" w:color="auto" w:sz="4" w:space="0"/>
                    <w:left w:val="single" w:color="auto" w:sz="4" w:space="0"/>
                    <w:bottom w:val="single" w:color="auto" w:sz="4" w:space="0"/>
                    <w:right w:val="single" w:color="auto" w:sz="4" w:space="0"/>
                  </w:tcBorders>
                  <w:vAlign w:val="center"/>
                </w:tcPr>
                <w:p w14:paraId="0BA90799">
                  <w:pPr>
                    <w:spacing w:line="240" w:lineRule="auto"/>
                    <w:ind w:firstLine="0" w:firstLineChars="0"/>
                    <w:jc w:val="center"/>
                    <w:rPr>
                      <w:sz w:val="21"/>
                      <w:szCs w:val="21"/>
                      <w:lang w:bidi="ar"/>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E951EF1">
                  <w:pPr>
                    <w:spacing w:line="240" w:lineRule="auto"/>
                    <w:ind w:firstLine="0" w:firstLineChars="0"/>
                    <w:jc w:val="center"/>
                    <w:rPr>
                      <w:sz w:val="21"/>
                      <w:szCs w:val="21"/>
                      <w:lang w:bidi="ar"/>
                    </w:rPr>
                  </w:pPr>
                </w:p>
              </w:tc>
              <w:tc>
                <w:tcPr>
                  <w:tcW w:w="583" w:type="pct"/>
                  <w:vMerge w:val="continue"/>
                  <w:tcBorders>
                    <w:left w:val="single" w:color="auto" w:sz="4" w:space="0"/>
                    <w:bottom w:val="single" w:color="auto" w:sz="4" w:space="0"/>
                    <w:right w:val="single" w:color="auto" w:sz="4" w:space="0"/>
                  </w:tcBorders>
                  <w:vAlign w:val="center"/>
                </w:tcPr>
                <w:p w14:paraId="69D103C0">
                  <w:pPr>
                    <w:spacing w:line="240" w:lineRule="auto"/>
                    <w:ind w:firstLine="0" w:firstLineChars="0"/>
                    <w:jc w:val="center"/>
                    <w:rPr>
                      <w:sz w:val="21"/>
                      <w:szCs w:val="21"/>
                      <w:lang w:bidi="ar"/>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14:paraId="1289D4DD">
                  <w:pPr>
                    <w:spacing w:line="240" w:lineRule="auto"/>
                    <w:ind w:firstLine="0" w:firstLineChars="0"/>
                    <w:jc w:val="center"/>
                    <w:rPr>
                      <w:sz w:val="21"/>
                      <w:szCs w:val="21"/>
                      <w:lang w:bidi="ar"/>
                    </w:rPr>
                  </w:pPr>
                </w:p>
              </w:tc>
              <w:tc>
                <w:tcPr>
                  <w:tcW w:w="493" w:type="pct"/>
                  <w:vMerge w:val="continue"/>
                  <w:tcBorders>
                    <w:top w:val="single" w:color="auto" w:sz="4" w:space="0"/>
                    <w:left w:val="single" w:color="auto" w:sz="4" w:space="0"/>
                    <w:bottom w:val="single" w:color="auto" w:sz="4" w:space="0"/>
                    <w:right w:val="single" w:color="auto" w:sz="4" w:space="0"/>
                  </w:tcBorders>
                  <w:vAlign w:val="center"/>
                </w:tcPr>
                <w:p w14:paraId="4CB7DC47">
                  <w:pPr>
                    <w:spacing w:line="240" w:lineRule="auto"/>
                    <w:ind w:firstLine="0" w:firstLineChars="0"/>
                    <w:jc w:val="center"/>
                    <w:rPr>
                      <w:sz w:val="21"/>
                      <w:szCs w:val="21"/>
                      <w:lang w:bidi="ar"/>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14:paraId="448A8043">
                  <w:pPr>
                    <w:spacing w:line="240" w:lineRule="auto"/>
                    <w:ind w:firstLine="0" w:firstLineChars="0"/>
                    <w:jc w:val="center"/>
                    <w:rPr>
                      <w:sz w:val="21"/>
                      <w:szCs w:val="21"/>
                      <w:lang w:bidi="ar"/>
                    </w:rPr>
                  </w:pPr>
                </w:p>
              </w:tc>
            </w:tr>
            <w:tr w14:paraId="079D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left w:val="single" w:color="auto" w:sz="4" w:space="0"/>
                    <w:right w:val="single" w:color="auto" w:sz="4" w:space="0"/>
                  </w:tcBorders>
                  <w:vAlign w:val="center"/>
                </w:tcPr>
                <w:p w14:paraId="676D020C">
                  <w:pPr>
                    <w:spacing w:line="240" w:lineRule="auto"/>
                    <w:ind w:firstLine="0" w:firstLineChars="0"/>
                    <w:jc w:val="center"/>
                    <w:rPr>
                      <w:sz w:val="21"/>
                      <w:szCs w:val="21"/>
                      <w:lang w:bidi="ar"/>
                    </w:rPr>
                  </w:pPr>
                  <w:r>
                    <w:rPr>
                      <w:rFonts w:hint="eastAsia"/>
                      <w:sz w:val="21"/>
                      <w:szCs w:val="21"/>
                    </w:rPr>
                    <w:t>大气环境</w:t>
                  </w:r>
                </w:p>
              </w:tc>
              <w:tc>
                <w:tcPr>
                  <w:tcW w:w="399" w:type="pct"/>
                  <w:tcBorders>
                    <w:top w:val="single" w:color="auto" w:sz="4" w:space="0"/>
                    <w:left w:val="single" w:color="auto" w:sz="4" w:space="0"/>
                    <w:bottom w:val="single" w:color="auto" w:sz="4" w:space="0"/>
                    <w:right w:val="single" w:color="auto" w:sz="4" w:space="0"/>
                  </w:tcBorders>
                  <w:vAlign w:val="center"/>
                </w:tcPr>
                <w:p w14:paraId="5BF47900">
                  <w:pPr>
                    <w:spacing w:line="240" w:lineRule="auto"/>
                    <w:ind w:firstLine="0" w:firstLineChars="0"/>
                    <w:jc w:val="center"/>
                    <w:rPr>
                      <w:sz w:val="21"/>
                      <w:szCs w:val="21"/>
                      <w:lang w:bidi="ar"/>
                    </w:rPr>
                  </w:pPr>
                  <w:r>
                    <w:rPr>
                      <w:rFonts w:hint="eastAsia"/>
                      <w:sz w:val="21"/>
                      <w:szCs w:val="21"/>
                      <w:lang w:bidi="ar"/>
                    </w:rPr>
                    <w:t>393</w:t>
                  </w:r>
                </w:p>
              </w:tc>
              <w:tc>
                <w:tcPr>
                  <w:tcW w:w="423" w:type="pct"/>
                  <w:tcBorders>
                    <w:top w:val="single" w:color="auto" w:sz="4" w:space="0"/>
                    <w:left w:val="single" w:color="auto" w:sz="4" w:space="0"/>
                    <w:bottom w:val="single" w:color="auto" w:sz="4" w:space="0"/>
                    <w:right w:val="single" w:color="auto" w:sz="4" w:space="0"/>
                  </w:tcBorders>
                  <w:vAlign w:val="center"/>
                </w:tcPr>
                <w:p w14:paraId="4CD2CB64">
                  <w:pPr>
                    <w:spacing w:line="240" w:lineRule="auto"/>
                    <w:ind w:firstLine="0" w:firstLineChars="0"/>
                    <w:jc w:val="center"/>
                    <w:rPr>
                      <w:sz w:val="21"/>
                      <w:szCs w:val="21"/>
                      <w:lang w:bidi="ar"/>
                    </w:rPr>
                  </w:pPr>
                  <w:r>
                    <w:rPr>
                      <w:rFonts w:hint="eastAsia"/>
                      <w:sz w:val="21"/>
                      <w:szCs w:val="21"/>
                      <w:lang w:bidi="ar"/>
                    </w:rPr>
                    <w:t>-177</w:t>
                  </w:r>
                </w:p>
              </w:tc>
              <w:tc>
                <w:tcPr>
                  <w:tcW w:w="479" w:type="pct"/>
                  <w:tcBorders>
                    <w:top w:val="single" w:color="auto" w:sz="4" w:space="0"/>
                    <w:left w:val="single" w:color="auto" w:sz="4" w:space="0"/>
                    <w:bottom w:val="single" w:color="auto" w:sz="4" w:space="0"/>
                    <w:right w:val="single" w:color="auto" w:sz="4" w:space="0"/>
                  </w:tcBorders>
                  <w:vAlign w:val="center"/>
                </w:tcPr>
                <w:p w14:paraId="4DD1A5BA">
                  <w:pPr>
                    <w:spacing w:line="240" w:lineRule="auto"/>
                    <w:ind w:firstLine="0" w:firstLineChars="0"/>
                    <w:jc w:val="center"/>
                    <w:rPr>
                      <w:sz w:val="21"/>
                      <w:szCs w:val="21"/>
                      <w:lang w:bidi="ar"/>
                    </w:rPr>
                  </w:pPr>
                  <w:r>
                    <w:rPr>
                      <w:rFonts w:hint="eastAsia"/>
                      <w:sz w:val="21"/>
                      <w:szCs w:val="21"/>
                      <w:lang w:bidi="ar"/>
                    </w:rPr>
                    <w:t>居民</w:t>
                  </w:r>
                </w:p>
              </w:tc>
              <w:tc>
                <w:tcPr>
                  <w:tcW w:w="470" w:type="pct"/>
                  <w:tcBorders>
                    <w:top w:val="single" w:color="auto" w:sz="4" w:space="0"/>
                    <w:left w:val="single" w:color="auto" w:sz="4" w:space="0"/>
                    <w:bottom w:val="single" w:color="auto" w:sz="4" w:space="0"/>
                    <w:right w:val="single" w:color="auto" w:sz="4" w:space="0"/>
                  </w:tcBorders>
                  <w:vAlign w:val="center"/>
                </w:tcPr>
                <w:p w14:paraId="7ECFA7B5">
                  <w:pPr>
                    <w:spacing w:line="240" w:lineRule="auto"/>
                    <w:ind w:firstLine="0" w:firstLineChars="0"/>
                    <w:jc w:val="center"/>
                    <w:rPr>
                      <w:sz w:val="21"/>
                      <w:szCs w:val="21"/>
                      <w:lang w:bidi="ar"/>
                    </w:rPr>
                  </w:pPr>
                  <w:r>
                    <w:rPr>
                      <w:rFonts w:hint="eastAsia"/>
                      <w:sz w:val="21"/>
                      <w:szCs w:val="21"/>
                      <w:lang w:bidi="ar"/>
                    </w:rPr>
                    <w:t>前黄村</w:t>
                  </w:r>
                </w:p>
              </w:tc>
              <w:tc>
                <w:tcPr>
                  <w:tcW w:w="583" w:type="pct"/>
                  <w:tcBorders>
                    <w:top w:val="single" w:color="auto" w:sz="4" w:space="0"/>
                    <w:left w:val="single" w:color="auto" w:sz="4" w:space="0"/>
                    <w:right w:val="single" w:color="auto" w:sz="4" w:space="0"/>
                  </w:tcBorders>
                  <w:vAlign w:val="center"/>
                </w:tcPr>
                <w:p w14:paraId="7F61D478">
                  <w:pPr>
                    <w:spacing w:line="240" w:lineRule="auto"/>
                    <w:ind w:firstLine="0" w:firstLineChars="0"/>
                    <w:jc w:val="center"/>
                    <w:rPr>
                      <w:sz w:val="21"/>
                      <w:szCs w:val="21"/>
                      <w:lang w:bidi="ar"/>
                    </w:rPr>
                  </w:pPr>
                  <w:r>
                    <w:rPr>
                      <w:rFonts w:hint="eastAsia"/>
                      <w:sz w:val="21"/>
                      <w:szCs w:val="21"/>
                      <w:lang w:bidi="ar"/>
                    </w:rPr>
                    <w:t>350户，1400人</w:t>
                  </w:r>
                </w:p>
              </w:tc>
              <w:tc>
                <w:tcPr>
                  <w:tcW w:w="1254" w:type="pct"/>
                  <w:tcBorders>
                    <w:top w:val="single" w:color="auto" w:sz="4" w:space="0"/>
                    <w:left w:val="single" w:color="auto" w:sz="4" w:space="0"/>
                    <w:right w:val="single" w:color="auto" w:sz="4" w:space="0"/>
                  </w:tcBorders>
                  <w:vAlign w:val="center"/>
                </w:tcPr>
                <w:p w14:paraId="6720FA66">
                  <w:pPr>
                    <w:spacing w:line="240" w:lineRule="auto"/>
                    <w:ind w:firstLine="0" w:firstLineChars="0"/>
                    <w:jc w:val="center"/>
                    <w:rPr>
                      <w:sz w:val="21"/>
                      <w:szCs w:val="21"/>
                      <w:lang w:bidi="ar"/>
                    </w:rPr>
                  </w:pPr>
                  <w:r>
                    <w:rPr>
                      <w:sz w:val="21"/>
                      <w:szCs w:val="21"/>
                    </w:rPr>
                    <w:t>《环境空气质量标准》</w:t>
                  </w:r>
                  <w:r>
                    <w:rPr>
                      <w:rFonts w:hint="eastAsia"/>
                      <w:sz w:val="21"/>
                      <w:szCs w:val="21"/>
                    </w:rPr>
                    <w:t>（</w:t>
                  </w:r>
                  <w:r>
                    <w:rPr>
                      <w:sz w:val="21"/>
                      <w:szCs w:val="21"/>
                    </w:rPr>
                    <w:t>GB3095-2012</w:t>
                  </w:r>
                  <w:r>
                    <w:rPr>
                      <w:rFonts w:hint="eastAsia"/>
                      <w:sz w:val="21"/>
                      <w:szCs w:val="21"/>
                    </w:rPr>
                    <w:t>）</w:t>
                  </w:r>
                  <w:r>
                    <w:rPr>
                      <w:sz w:val="21"/>
                      <w:szCs w:val="21"/>
                    </w:rPr>
                    <w:t>中二类功能区</w:t>
                  </w:r>
                </w:p>
              </w:tc>
              <w:tc>
                <w:tcPr>
                  <w:tcW w:w="493" w:type="pct"/>
                  <w:tcBorders>
                    <w:top w:val="single" w:color="auto" w:sz="4" w:space="0"/>
                    <w:left w:val="single" w:color="auto" w:sz="4" w:space="0"/>
                    <w:bottom w:val="single" w:color="auto" w:sz="4" w:space="0"/>
                    <w:right w:val="single" w:color="auto" w:sz="4" w:space="0"/>
                  </w:tcBorders>
                  <w:vAlign w:val="center"/>
                </w:tcPr>
                <w:p w14:paraId="7733102A">
                  <w:pPr>
                    <w:spacing w:line="240" w:lineRule="auto"/>
                    <w:ind w:firstLine="0" w:firstLineChars="0"/>
                    <w:jc w:val="center"/>
                    <w:rPr>
                      <w:sz w:val="21"/>
                      <w:szCs w:val="21"/>
                      <w:lang w:bidi="ar"/>
                    </w:rPr>
                  </w:pPr>
                  <w:r>
                    <w:rPr>
                      <w:rFonts w:hint="eastAsia"/>
                      <w:sz w:val="21"/>
                      <w:szCs w:val="21"/>
                      <w:lang w:bidi="ar"/>
                    </w:rPr>
                    <w:t>SE</w:t>
                  </w:r>
                </w:p>
              </w:tc>
              <w:tc>
                <w:tcPr>
                  <w:tcW w:w="438" w:type="pct"/>
                  <w:tcBorders>
                    <w:top w:val="single" w:color="auto" w:sz="4" w:space="0"/>
                    <w:left w:val="single" w:color="auto" w:sz="4" w:space="0"/>
                    <w:bottom w:val="single" w:color="auto" w:sz="4" w:space="0"/>
                    <w:right w:val="single" w:color="auto" w:sz="4" w:space="0"/>
                  </w:tcBorders>
                  <w:vAlign w:val="center"/>
                </w:tcPr>
                <w:p w14:paraId="7D0017C9">
                  <w:pPr>
                    <w:spacing w:line="240" w:lineRule="auto"/>
                    <w:ind w:firstLine="0" w:firstLineChars="0"/>
                    <w:jc w:val="center"/>
                    <w:rPr>
                      <w:sz w:val="21"/>
                      <w:szCs w:val="21"/>
                      <w:lang w:bidi="ar"/>
                    </w:rPr>
                  </w:pPr>
                  <w:r>
                    <w:rPr>
                      <w:rFonts w:hint="eastAsia"/>
                      <w:sz w:val="21"/>
                      <w:szCs w:val="21"/>
                      <w:lang w:bidi="ar"/>
                    </w:rPr>
                    <w:t>445</w:t>
                  </w:r>
                </w:p>
              </w:tc>
            </w:tr>
            <w:tr w14:paraId="5F57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left w:val="single" w:color="auto" w:sz="4" w:space="0"/>
                    <w:right w:val="single" w:color="auto" w:sz="4" w:space="0"/>
                  </w:tcBorders>
                  <w:shd w:val="clear" w:color="auto" w:fill="auto"/>
                  <w:vAlign w:val="center"/>
                </w:tcPr>
                <w:p w14:paraId="3EC5B5B2">
                  <w:pPr>
                    <w:spacing w:line="240" w:lineRule="auto"/>
                    <w:ind w:firstLine="0" w:firstLineChars="0"/>
                    <w:jc w:val="center"/>
                    <w:rPr>
                      <w:color w:val="0000FF"/>
                      <w:sz w:val="21"/>
                      <w:szCs w:val="21"/>
                      <w:lang w:bidi="ar"/>
                    </w:rPr>
                  </w:pPr>
                  <w:r>
                    <w:rPr>
                      <w:color w:val="0000FF"/>
                      <w:sz w:val="21"/>
                      <w:szCs w:val="21"/>
                      <w:lang w:bidi="ar"/>
                    </w:rPr>
                    <w:t>地表水</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14:paraId="41D84E9F">
                  <w:pPr>
                    <w:spacing w:line="240" w:lineRule="auto"/>
                    <w:ind w:firstLine="0" w:firstLineChars="0"/>
                    <w:jc w:val="center"/>
                    <w:rPr>
                      <w:color w:val="0000FF"/>
                      <w:sz w:val="21"/>
                      <w:szCs w:val="21"/>
                      <w:lang w:bidi="ar"/>
                    </w:rPr>
                  </w:pPr>
                  <w:r>
                    <w:rPr>
                      <w:rFonts w:hint="eastAsia"/>
                      <w:color w:val="0000FF"/>
                      <w:sz w:val="21"/>
                      <w:szCs w:val="21"/>
                      <w:lang w:bidi="ar"/>
                    </w:rPr>
                    <w:t>/</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224D0540">
                  <w:pPr>
                    <w:spacing w:line="240" w:lineRule="auto"/>
                    <w:ind w:firstLine="0" w:firstLineChars="0"/>
                    <w:jc w:val="center"/>
                    <w:rPr>
                      <w:color w:val="0000FF"/>
                      <w:sz w:val="21"/>
                      <w:szCs w:val="21"/>
                      <w:lang w:bidi="ar"/>
                    </w:rPr>
                  </w:pPr>
                  <w:r>
                    <w:rPr>
                      <w:rFonts w:hint="eastAsia"/>
                      <w:color w:val="0000FF"/>
                      <w:sz w:val="21"/>
                      <w:szCs w:val="21"/>
                      <w:lang w:bidi="ar"/>
                    </w:rPr>
                    <w:t>/</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7FCF39C5">
                  <w:pPr>
                    <w:spacing w:line="240" w:lineRule="auto"/>
                    <w:ind w:firstLine="0" w:firstLineChars="0"/>
                    <w:jc w:val="center"/>
                    <w:rPr>
                      <w:color w:val="0000FF"/>
                      <w:sz w:val="21"/>
                      <w:szCs w:val="21"/>
                      <w:lang w:bidi="ar"/>
                    </w:rPr>
                  </w:pPr>
                  <w:r>
                    <w:rPr>
                      <w:color w:val="0000FF"/>
                      <w:sz w:val="21"/>
                      <w:szCs w:val="21"/>
                      <w:lang w:bidi="ar"/>
                    </w:rPr>
                    <w:t>河流</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4BE82C62">
                  <w:pPr>
                    <w:spacing w:line="240" w:lineRule="auto"/>
                    <w:ind w:firstLine="0" w:firstLineChars="0"/>
                    <w:jc w:val="center"/>
                    <w:rPr>
                      <w:color w:val="0000FF"/>
                      <w:sz w:val="21"/>
                      <w:szCs w:val="21"/>
                      <w:lang w:bidi="ar"/>
                    </w:rPr>
                  </w:pPr>
                  <w:r>
                    <w:rPr>
                      <w:rFonts w:hint="eastAsia"/>
                      <w:color w:val="0000FF"/>
                      <w:sz w:val="21"/>
                      <w:szCs w:val="21"/>
                      <w:lang w:bidi="ar"/>
                    </w:rPr>
                    <w:t>萧濉新河</w:t>
                  </w:r>
                </w:p>
              </w:tc>
              <w:tc>
                <w:tcPr>
                  <w:tcW w:w="583" w:type="pct"/>
                  <w:tcBorders>
                    <w:top w:val="single" w:color="auto" w:sz="4" w:space="0"/>
                    <w:left w:val="single" w:color="auto" w:sz="4" w:space="0"/>
                    <w:right w:val="single" w:color="auto" w:sz="4" w:space="0"/>
                  </w:tcBorders>
                  <w:shd w:val="clear" w:color="auto" w:fill="auto"/>
                  <w:vAlign w:val="center"/>
                </w:tcPr>
                <w:p w14:paraId="24FB8225">
                  <w:pPr>
                    <w:spacing w:line="240" w:lineRule="auto"/>
                    <w:ind w:firstLine="0" w:firstLineChars="0"/>
                    <w:jc w:val="center"/>
                    <w:rPr>
                      <w:color w:val="0000FF"/>
                      <w:sz w:val="21"/>
                      <w:szCs w:val="21"/>
                      <w:lang w:bidi="ar"/>
                    </w:rPr>
                  </w:pPr>
                  <w:r>
                    <w:rPr>
                      <w:color w:val="0000FF"/>
                      <w:sz w:val="21"/>
                      <w:szCs w:val="21"/>
                      <w:lang w:bidi="ar"/>
                    </w:rPr>
                    <w:t>小型</w:t>
                  </w:r>
                </w:p>
              </w:tc>
              <w:tc>
                <w:tcPr>
                  <w:tcW w:w="1254" w:type="pct"/>
                  <w:tcBorders>
                    <w:top w:val="single" w:color="auto" w:sz="4" w:space="0"/>
                    <w:left w:val="single" w:color="auto" w:sz="4" w:space="0"/>
                    <w:right w:val="single" w:color="auto" w:sz="4" w:space="0"/>
                  </w:tcBorders>
                  <w:shd w:val="clear" w:color="auto" w:fill="auto"/>
                  <w:vAlign w:val="center"/>
                </w:tcPr>
                <w:p w14:paraId="5FBC9769">
                  <w:pPr>
                    <w:spacing w:line="240" w:lineRule="auto"/>
                    <w:ind w:firstLine="0" w:firstLineChars="0"/>
                    <w:jc w:val="center"/>
                    <w:rPr>
                      <w:color w:val="0000FF"/>
                      <w:sz w:val="21"/>
                      <w:szCs w:val="21"/>
                    </w:rPr>
                  </w:pPr>
                  <w:r>
                    <w:rPr>
                      <w:color w:val="0000FF"/>
                      <w:sz w:val="21"/>
                      <w:szCs w:val="21"/>
                    </w:rPr>
                    <w:t>GB3838-2002中Ⅳ类水体</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14:paraId="61098C68">
                  <w:pPr>
                    <w:spacing w:line="240" w:lineRule="auto"/>
                    <w:ind w:firstLine="0" w:firstLineChars="0"/>
                    <w:jc w:val="center"/>
                    <w:rPr>
                      <w:color w:val="0000FF"/>
                      <w:sz w:val="21"/>
                      <w:szCs w:val="21"/>
                      <w:lang w:bidi="ar"/>
                    </w:rPr>
                  </w:pPr>
                  <w:r>
                    <w:rPr>
                      <w:color w:val="0000FF"/>
                      <w:sz w:val="21"/>
                      <w:szCs w:val="21"/>
                      <w:lang w:bidi="ar"/>
                    </w:rPr>
                    <w:t>S</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465C55E3">
                  <w:pPr>
                    <w:spacing w:line="240" w:lineRule="auto"/>
                    <w:ind w:firstLine="0" w:firstLineChars="0"/>
                    <w:jc w:val="center"/>
                    <w:rPr>
                      <w:color w:val="0000FF"/>
                      <w:sz w:val="21"/>
                      <w:szCs w:val="21"/>
                      <w:lang w:bidi="ar"/>
                    </w:rPr>
                  </w:pPr>
                  <w:r>
                    <w:rPr>
                      <w:rFonts w:hint="eastAsia"/>
                      <w:color w:val="0000FF"/>
                      <w:sz w:val="21"/>
                      <w:szCs w:val="21"/>
                      <w:lang w:bidi="ar"/>
                    </w:rPr>
                    <w:t>265</w:t>
                  </w:r>
                </w:p>
              </w:tc>
            </w:tr>
            <w:tr w14:paraId="5CF2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Borders>
                    <w:left w:val="single" w:color="auto" w:sz="4" w:space="0"/>
                    <w:right w:val="single" w:color="auto" w:sz="4" w:space="0"/>
                  </w:tcBorders>
                  <w:vAlign w:val="center"/>
                </w:tcPr>
                <w:p w14:paraId="426FFABC">
                  <w:pPr>
                    <w:spacing w:line="240" w:lineRule="auto"/>
                    <w:ind w:firstLine="0" w:firstLineChars="0"/>
                    <w:jc w:val="center"/>
                    <w:rPr>
                      <w:color w:val="0000FF"/>
                      <w:sz w:val="21"/>
                      <w:szCs w:val="21"/>
                      <w:lang w:bidi="ar"/>
                    </w:rPr>
                  </w:pPr>
                  <w:r>
                    <w:rPr>
                      <w:rFonts w:hint="eastAsia"/>
                      <w:sz w:val="21"/>
                      <w:szCs w:val="21"/>
                      <w:lang w:bidi="ar"/>
                    </w:rPr>
                    <w:t>注：以本项目对角线交叉点作为坐标原点。</w:t>
                  </w:r>
                </w:p>
              </w:tc>
            </w:tr>
          </w:tbl>
          <w:p w14:paraId="6B8E460E">
            <w:pPr>
              <w:pStyle w:val="28"/>
              <w:ind w:firstLine="0" w:firstLineChars="0"/>
            </w:pPr>
          </w:p>
        </w:tc>
      </w:tr>
      <w:tr w14:paraId="7436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Mar>
              <w:left w:w="28" w:type="dxa"/>
              <w:right w:w="28" w:type="dxa"/>
            </w:tcMar>
            <w:vAlign w:val="center"/>
          </w:tcPr>
          <w:p w14:paraId="63FD7002">
            <w:pPr>
              <w:adjustRightInd w:val="0"/>
              <w:snapToGrid w:val="0"/>
              <w:ind w:firstLine="0" w:firstLineChars="0"/>
              <w:jc w:val="center"/>
              <w:rPr>
                <w:rFonts w:hint="eastAsia" w:ascii="宋体" w:hAnsi="宋体" w:cs="宋体"/>
                <w:szCs w:val="21"/>
              </w:rPr>
            </w:pPr>
            <w:r>
              <w:rPr>
                <w:rFonts w:hint="eastAsia" w:ascii="宋体" w:hAnsi="宋体" w:cs="宋体"/>
              </w:rPr>
              <w:t>污染物排放控制标准</w:t>
            </w:r>
          </w:p>
        </w:tc>
        <w:tc>
          <w:tcPr>
            <w:tcW w:w="8190" w:type="dxa"/>
            <w:vAlign w:val="center"/>
          </w:tcPr>
          <w:p w14:paraId="0CBEDCCA">
            <w:pPr>
              <w:ind w:firstLine="482"/>
              <w:rPr>
                <w:b/>
                <w:bCs/>
              </w:rPr>
            </w:pPr>
            <w:r>
              <w:rPr>
                <w:rFonts w:hint="eastAsia"/>
                <w:b/>
                <w:bCs/>
              </w:rPr>
              <w:t>1、废气</w:t>
            </w:r>
          </w:p>
          <w:p w14:paraId="1128DF9E">
            <w:r>
              <w:rPr>
                <w:rFonts w:hint="eastAsia"/>
                <w:color w:val="000000"/>
              </w:rPr>
              <w:t>本</w:t>
            </w:r>
            <w:r>
              <w:rPr>
                <w:color w:val="000000"/>
              </w:rPr>
              <w:t>项目</w:t>
            </w:r>
            <w:r>
              <w:rPr>
                <w:rFonts w:hint="eastAsia"/>
              </w:rPr>
              <w:t>液化石油气蒸汽发生器燃烧废气</w:t>
            </w:r>
            <w:r>
              <w:t>排放参照执行《锅炉大气污染物排放标准》（GB13271-2014）表</w:t>
            </w:r>
            <w:r>
              <w:rPr>
                <w:rFonts w:hint="eastAsia"/>
              </w:rPr>
              <w:t>3</w:t>
            </w:r>
            <w:r>
              <w:t>中</w:t>
            </w:r>
            <w:r>
              <w:rPr>
                <w:rFonts w:hint="eastAsia"/>
              </w:rPr>
              <w:t>大气污染物特别</w:t>
            </w:r>
            <w:r>
              <w:t>排放限值</w:t>
            </w:r>
            <w:r>
              <w:rPr>
                <w:rFonts w:hint="eastAsia"/>
              </w:rPr>
              <w:t>中燃气</w:t>
            </w:r>
            <w:r>
              <w:t>锅炉</w:t>
            </w:r>
            <w:r>
              <w:rPr>
                <w:rFonts w:hint="eastAsia"/>
              </w:rPr>
              <w:t>相应排放限值要求</w:t>
            </w:r>
            <w:r>
              <w:rPr>
                <w:rFonts w:hint="eastAsia"/>
                <w:bCs/>
              </w:rPr>
              <w:t>；</w:t>
            </w:r>
            <w:r>
              <w:rPr>
                <w:rFonts w:hint="eastAsia"/>
                <w:bCs/>
                <w:color w:val="0000FF"/>
              </w:rPr>
              <w:t>氮氧化物执行</w:t>
            </w:r>
            <w:r>
              <w:rPr>
                <w:color w:val="0000FF"/>
              </w:rPr>
              <w:t>安徽省大气办关于印发《安徽省 2020年大气污染防治重点工作任务》的通知</w:t>
            </w:r>
            <w:r>
              <w:rPr>
                <w:rFonts w:hint="eastAsia"/>
                <w:color w:val="0000FF"/>
              </w:rPr>
              <w:t>皖大气办〔2020〕2号中浓度限值要求</w:t>
            </w:r>
            <w:r>
              <w:rPr>
                <w:rFonts w:hint="eastAsia"/>
              </w:rPr>
              <w:t>；</w:t>
            </w:r>
            <w:r>
              <w:t>恶臭污染物执行《恶臭污染物排放标准》（GB14554-93）表2中二级标准</w:t>
            </w:r>
            <w:r>
              <w:rPr>
                <w:rFonts w:hint="eastAsia"/>
              </w:rPr>
              <w:t>；项目油烟废气</w:t>
            </w:r>
            <w:r>
              <w:t>排放执行《</w:t>
            </w:r>
            <w:r>
              <w:rPr>
                <w:rFonts w:hint="eastAsia"/>
              </w:rPr>
              <w:t>饮食业油烟排放标准（试行）</w:t>
            </w:r>
            <w:r>
              <w:t>》（GB</w:t>
            </w:r>
            <w:r>
              <w:rPr>
                <w:rFonts w:hint="eastAsia"/>
              </w:rPr>
              <w:t>18483-2001</w:t>
            </w:r>
            <w:r>
              <w:t>）表2中排放标准限值</w:t>
            </w:r>
            <w:r>
              <w:rPr>
                <w:rFonts w:hint="eastAsia"/>
              </w:rPr>
              <w:t>。具体标准见下表。</w:t>
            </w:r>
          </w:p>
          <w:p w14:paraId="681766A5">
            <w:pPr>
              <w:widowControl/>
              <w:spacing w:line="240" w:lineRule="auto"/>
              <w:ind w:firstLine="482"/>
              <w:jc w:val="center"/>
              <w:rPr>
                <w:b/>
              </w:rPr>
            </w:pPr>
            <w:r>
              <w:rPr>
                <w:b/>
              </w:rPr>
              <w:t>表</w:t>
            </w:r>
            <w:r>
              <w:rPr>
                <w:rFonts w:hint="eastAsia"/>
                <w:b/>
              </w:rPr>
              <w:t xml:space="preserve">3-5  锅炉大气污染物排放标准 </w:t>
            </w:r>
            <w:r>
              <w:rPr>
                <w:b/>
              </w:rPr>
              <w:t>单位：mg/m³</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520"/>
              <w:gridCol w:w="2515"/>
            </w:tblGrid>
            <w:tr w14:paraId="65DB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Merge w:val="restart"/>
                  <w:vAlign w:val="center"/>
                </w:tcPr>
                <w:p w14:paraId="64C9B543">
                  <w:pPr>
                    <w:pStyle w:val="31"/>
                    <w:spacing w:line="240" w:lineRule="auto"/>
                    <w:ind w:left="0"/>
                    <w:rPr>
                      <w:szCs w:val="21"/>
                    </w:rPr>
                  </w:pPr>
                  <w:r>
                    <w:rPr>
                      <w:szCs w:val="21"/>
                    </w:rPr>
                    <w:t>污染物项目</w:t>
                  </w:r>
                </w:p>
              </w:tc>
              <w:tc>
                <w:tcPr>
                  <w:tcW w:w="2732" w:type="dxa"/>
                  <w:vAlign w:val="center"/>
                </w:tcPr>
                <w:p w14:paraId="293BA5B5">
                  <w:pPr>
                    <w:spacing w:line="240" w:lineRule="auto"/>
                    <w:ind w:firstLine="0" w:firstLineChars="0"/>
                    <w:jc w:val="center"/>
                    <w:rPr>
                      <w:sz w:val="21"/>
                      <w:szCs w:val="21"/>
                    </w:rPr>
                  </w:pPr>
                  <w:r>
                    <w:rPr>
                      <w:sz w:val="21"/>
                      <w:szCs w:val="21"/>
                    </w:rPr>
                    <w:t>限值</w:t>
                  </w:r>
                </w:p>
              </w:tc>
              <w:tc>
                <w:tcPr>
                  <w:tcW w:w="2727" w:type="dxa"/>
                  <w:vMerge w:val="restart"/>
                  <w:vAlign w:val="center"/>
                </w:tcPr>
                <w:p w14:paraId="7050C67A">
                  <w:pPr>
                    <w:spacing w:line="240" w:lineRule="auto"/>
                    <w:ind w:firstLine="0" w:firstLineChars="0"/>
                    <w:jc w:val="center"/>
                    <w:rPr>
                      <w:sz w:val="21"/>
                      <w:szCs w:val="21"/>
                    </w:rPr>
                  </w:pPr>
                  <w:r>
                    <w:rPr>
                      <w:sz w:val="21"/>
                      <w:szCs w:val="21"/>
                    </w:rPr>
                    <w:t>污染物排放监控位置</w:t>
                  </w:r>
                </w:p>
              </w:tc>
            </w:tr>
            <w:tr w14:paraId="7F52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Merge w:val="continue"/>
                  <w:vAlign w:val="center"/>
                </w:tcPr>
                <w:p w14:paraId="216396EC">
                  <w:pPr>
                    <w:spacing w:line="240" w:lineRule="auto"/>
                    <w:ind w:firstLine="0" w:firstLineChars="0"/>
                    <w:jc w:val="center"/>
                    <w:rPr>
                      <w:sz w:val="21"/>
                      <w:szCs w:val="21"/>
                    </w:rPr>
                  </w:pPr>
                </w:p>
              </w:tc>
              <w:tc>
                <w:tcPr>
                  <w:tcW w:w="2732" w:type="dxa"/>
                  <w:vAlign w:val="center"/>
                </w:tcPr>
                <w:p w14:paraId="04A18ED7">
                  <w:pPr>
                    <w:spacing w:line="240" w:lineRule="auto"/>
                    <w:ind w:firstLine="0" w:firstLineChars="0"/>
                    <w:jc w:val="center"/>
                    <w:rPr>
                      <w:sz w:val="21"/>
                      <w:szCs w:val="21"/>
                    </w:rPr>
                  </w:pPr>
                  <w:r>
                    <w:rPr>
                      <w:sz w:val="21"/>
                      <w:szCs w:val="21"/>
                    </w:rPr>
                    <w:t>燃气锅炉</w:t>
                  </w:r>
                </w:p>
              </w:tc>
              <w:tc>
                <w:tcPr>
                  <w:tcW w:w="2727" w:type="dxa"/>
                  <w:vMerge w:val="continue"/>
                  <w:vAlign w:val="center"/>
                </w:tcPr>
                <w:p w14:paraId="44F17CF0">
                  <w:pPr>
                    <w:spacing w:line="240" w:lineRule="auto"/>
                    <w:ind w:firstLine="0" w:firstLineChars="0"/>
                    <w:jc w:val="center"/>
                    <w:rPr>
                      <w:sz w:val="21"/>
                      <w:szCs w:val="21"/>
                    </w:rPr>
                  </w:pPr>
                </w:p>
              </w:tc>
            </w:tr>
            <w:tr w14:paraId="59E2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Align w:val="center"/>
                </w:tcPr>
                <w:p w14:paraId="263BA6A5">
                  <w:pPr>
                    <w:pStyle w:val="31"/>
                    <w:spacing w:line="240" w:lineRule="auto"/>
                    <w:ind w:left="0"/>
                    <w:rPr>
                      <w:szCs w:val="21"/>
                    </w:rPr>
                  </w:pPr>
                  <w:r>
                    <w:rPr>
                      <w:szCs w:val="21"/>
                    </w:rPr>
                    <w:t>颗粒物</w:t>
                  </w:r>
                </w:p>
              </w:tc>
              <w:tc>
                <w:tcPr>
                  <w:tcW w:w="2732" w:type="dxa"/>
                  <w:vAlign w:val="center"/>
                </w:tcPr>
                <w:p w14:paraId="5974BF03">
                  <w:pPr>
                    <w:pStyle w:val="31"/>
                    <w:spacing w:line="240" w:lineRule="auto"/>
                    <w:ind w:left="0"/>
                    <w:rPr>
                      <w:szCs w:val="21"/>
                    </w:rPr>
                  </w:pPr>
                  <w:r>
                    <w:rPr>
                      <w:szCs w:val="21"/>
                    </w:rPr>
                    <w:t>20</w:t>
                  </w:r>
                </w:p>
              </w:tc>
              <w:tc>
                <w:tcPr>
                  <w:tcW w:w="2727" w:type="dxa"/>
                  <w:vMerge w:val="restart"/>
                  <w:vAlign w:val="center"/>
                </w:tcPr>
                <w:p w14:paraId="6ED0C355">
                  <w:pPr>
                    <w:spacing w:line="240" w:lineRule="auto"/>
                    <w:ind w:firstLine="0" w:firstLineChars="0"/>
                    <w:jc w:val="center"/>
                    <w:rPr>
                      <w:sz w:val="21"/>
                      <w:szCs w:val="21"/>
                    </w:rPr>
                  </w:pPr>
                  <w:r>
                    <w:rPr>
                      <w:sz w:val="21"/>
                      <w:szCs w:val="21"/>
                    </w:rPr>
                    <w:t>烟囱或烟道</w:t>
                  </w:r>
                </w:p>
              </w:tc>
            </w:tr>
            <w:tr w14:paraId="7A47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Align w:val="center"/>
                </w:tcPr>
                <w:p w14:paraId="6360867F">
                  <w:pPr>
                    <w:pStyle w:val="31"/>
                    <w:spacing w:line="240" w:lineRule="auto"/>
                    <w:ind w:left="0"/>
                    <w:rPr>
                      <w:szCs w:val="21"/>
                    </w:rPr>
                  </w:pPr>
                  <w:r>
                    <w:rPr>
                      <w:szCs w:val="21"/>
                    </w:rPr>
                    <w:t>二氧化硫</w:t>
                  </w:r>
                </w:p>
              </w:tc>
              <w:tc>
                <w:tcPr>
                  <w:tcW w:w="2732" w:type="dxa"/>
                  <w:vAlign w:val="center"/>
                </w:tcPr>
                <w:p w14:paraId="09149FA4">
                  <w:pPr>
                    <w:pStyle w:val="31"/>
                    <w:spacing w:line="240" w:lineRule="auto"/>
                    <w:ind w:left="0"/>
                    <w:rPr>
                      <w:szCs w:val="21"/>
                    </w:rPr>
                  </w:pPr>
                  <w:r>
                    <w:rPr>
                      <w:szCs w:val="21"/>
                    </w:rPr>
                    <w:t>50</w:t>
                  </w:r>
                </w:p>
              </w:tc>
              <w:tc>
                <w:tcPr>
                  <w:tcW w:w="2727" w:type="dxa"/>
                  <w:vMerge w:val="continue"/>
                  <w:vAlign w:val="center"/>
                </w:tcPr>
                <w:p w14:paraId="773D0076">
                  <w:pPr>
                    <w:spacing w:line="240" w:lineRule="auto"/>
                    <w:ind w:firstLine="0" w:firstLineChars="0"/>
                    <w:jc w:val="center"/>
                    <w:rPr>
                      <w:sz w:val="21"/>
                      <w:szCs w:val="21"/>
                    </w:rPr>
                  </w:pPr>
                </w:p>
              </w:tc>
            </w:tr>
            <w:tr w14:paraId="3982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Align w:val="center"/>
                </w:tcPr>
                <w:p w14:paraId="286AD603">
                  <w:pPr>
                    <w:pStyle w:val="31"/>
                    <w:spacing w:line="240" w:lineRule="auto"/>
                    <w:ind w:left="0"/>
                    <w:rPr>
                      <w:color w:val="0000FF"/>
                      <w:szCs w:val="21"/>
                    </w:rPr>
                  </w:pPr>
                  <w:r>
                    <w:rPr>
                      <w:color w:val="0000FF"/>
                      <w:szCs w:val="21"/>
                    </w:rPr>
                    <w:t>氮氧化物</w:t>
                  </w:r>
                </w:p>
              </w:tc>
              <w:tc>
                <w:tcPr>
                  <w:tcW w:w="2732" w:type="dxa"/>
                  <w:vAlign w:val="center"/>
                </w:tcPr>
                <w:p w14:paraId="25A103BD">
                  <w:pPr>
                    <w:pStyle w:val="31"/>
                    <w:spacing w:line="240" w:lineRule="auto"/>
                    <w:ind w:left="0"/>
                    <w:rPr>
                      <w:color w:val="0000FF"/>
                      <w:szCs w:val="21"/>
                    </w:rPr>
                  </w:pPr>
                  <w:r>
                    <w:rPr>
                      <w:color w:val="0000FF"/>
                      <w:szCs w:val="21"/>
                    </w:rPr>
                    <w:t>50</w:t>
                  </w:r>
                </w:p>
              </w:tc>
              <w:tc>
                <w:tcPr>
                  <w:tcW w:w="2727" w:type="dxa"/>
                  <w:vMerge w:val="continue"/>
                  <w:vAlign w:val="center"/>
                </w:tcPr>
                <w:p w14:paraId="2D192A8D">
                  <w:pPr>
                    <w:spacing w:line="240" w:lineRule="auto"/>
                    <w:ind w:firstLine="0" w:firstLineChars="0"/>
                    <w:jc w:val="center"/>
                    <w:rPr>
                      <w:sz w:val="21"/>
                      <w:szCs w:val="21"/>
                    </w:rPr>
                  </w:pPr>
                </w:p>
              </w:tc>
            </w:tr>
            <w:tr w14:paraId="5F4C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Align w:val="center"/>
                </w:tcPr>
                <w:p w14:paraId="50684EC8">
                  <w:pPr>
                    <w:pStyle w:val="31"/>
                    <w:spacing w:line="240" w:lineRule="auto"/>
                    <w:ind w:left="0"/>
                    <w:rPr>
                      <w:szCs w:val="21"/>
                    </w:rPr>
                  </w:pPr>
                  <w:r>
                    <w:rPr>
                      <w:szCs w:val="21"/>
                    </w:rPr>
                    <w:t>汞及其化合物</w:t>
                  </w:r>
                </w:p>
              </w:tc>
              <w:tc>
                <w:tcPr>
                  <w:tcW w:w="2732" w:type="dxa"/>
                  <w:vAlign w:val="center"/>
                </w:tcPr>
                <w:p w14:paraId="4CA33994">
                  <w:pPr>
                    <w:pStyle w:val="31"/>
                    <w:spacing w:line="240" w:lineRule="auto"/>
                    <w:ind w:left="0"/>
                    <w:rPr>
                      <w:szCs w:val="21"/>
                    </w:rPr>
                  </w:pPr>
                  <w:r>
                    <w:rPr>
                      <w:szCs w:val="21"/>
                    </w:rPr>
                    <w:t>—</w:t>
                  </w:r>
                </w:p>
              </w:tc>
              <w:tc>
                <w:tcPr>
                  <w:tcW w:w="2727" w:type="dxa"/>
                  <w:vMerge w:val="continue"/>
                  <w:vAlign w:val="center"/>
                </w:tcPr>
                <w:p w14:paraId="2CE4C453">
                  <w:pPr>
                    <w:spacing w:line="240" w:lineRule="auto"/>
                    <w:ind w:firstLine="0" w:firstLineChars="0"/>
                    <w:jc w:val="center"/>
                    <w:rPr>
                      <w:sz w:val="21"/>
                      <w:szCs w:val="21"/>
                    </w:rPr>
                  </w:pPr>
                </w:p>
              </w:tc>
            </w:tr>
            <w:tr w14:paraId="151F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45" w:type="dxa"/>
                  <w:vAlign w:val="center"/>
                </w:tcPr>
                <w:p w14:paraId="11A4AC51">
                  <w:pPr>
                    <w:pStyle w:val="31"/>
                    <w:spacing w:line="240" w:lineRule="auto"/>
                    <w:ind w:left="0"/>
                    <w:rPr>
                      <w:szCs w:val="21"/>
                    </w:rPr>
                  </w:pPr>
                  <w:r>
                    <w:rPr>
                      <w:szCs w:val="21"/>
                    </w:rPr>
                    <w:t>烟气黑度</w:t>
                  </w:r>
                </w:p>
              </w:tc>
              <w:tc>
                <w:tcPr>
                  <w:tcW w:w="2732" w:type="dxa"/>
                  <w:vAlign w:val="center"/>
                </w:tcPr>
                <w:p w14:paraId="75734782">
                  <w:pPr>
                    <w:pStyle w:val="31"/>
                    <w:spacing w:line="240" w:lineRule="auto"/>
                    <w:ind w:left="0"/>
                    <w:rPr>
                      <w:szCs w:val="21"/>
                    </w:rPr>
                  </w:pPr>
                  <w:r>
                    <w:rPr>
                      <w:szCs w:val="21"/>
                    </w:rPr>
                    <w:t>≤1</w:t>
                  </w:r>
                </w:p>
              </w:tc>
              <w:tc>
                <w:tcPr>
                  <w:tcW w:w="2727" w:type="dxa"/>
                  <w:vAlign w:val="center"/>
                </w:tcPr>
                <w:p w14:paraId="628B4D3F">
                  <w:pPr>
                    <w:spacing w:line="240" w:lineRule="auto"/>
                    <w:ind w:firstLine="0" w:firstLineChars="0"/>
                    <w:jc w:val="center"/>
                    <w:rPr>
                      <w:sz w:val="21"/>
                      <w:szCs w:val="21"/>
                    </w:rPr>
                  </w:pPr>
                  <w:r>
                    <w:rPr>
                      <w:sz w:val="21"/>
                      <w:szCs w:val="21"/>
                    </w:rPr>
                    <w:t>烟囱排放口</w:t>
                  </w:r>
                </w:p>
              </w:tc>
            </w:tr>
          </w:tbl>
          <w:p w14:paraId="6D4D7308">
            <w:pPr>
              <w:snapToGrid w:val="0"/>
              <w:spacing w:line="240" w:lineRule="auto"/>
              <w:ind w:firstLine="0" w:firstLineChars="0"/>
              <w:jc w:val="center"/>
              <w:rPr>
                <w:b/>
                <w:bCs/>
              </w:rPr>
            </w:pPr>
            <w:r>
              <w:rPr>
                <w:b/>
                <w:bCs/>
              </w:rPr>
              <w:t>表</w:t>
            </w:r>
            <w:r>
              <w:rPr>
                <w:rFonts w:hint="eastAsia"/>
                <w:b/>
                <w:bCs/>
              </w:rPr>
              <w:t xml:space="preserve">3-6  </w:t>
            </w:r>
            <w:r>
              <w:rPr>
                <w:b/>
                <w:bCs/>
              </w:rPr>
              <w:t>恶臭污染物</w:t>
            </w:r>
            <w:r>
              <w:rPr>
                <w:rFonts w:hint="eastAsia"/>
                <w:b/>
                <w:bCs/>
              </w:rPr>
              <w:t>排放标准</w:t>
            </w:r>
            <w:r>
              <w:rPr>
                <w:b/>
              </w:rPr>
              <w:t xml:space="preserve"> 单位：mg/m³</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4"/>
              <w:gridCol w:w="3195"/>
              <w:gridCol w:w="2654"/>
            </w:tblGrid>
            <w:tr w14:paraId="6721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133" w:type="pct"/>
                  <w:tcBorders>
                    <w:tl2br w:val="nil"/>
                    <w:tr2bl w:val="nil"/>
                  </w:tcBorders>
                  <w:vAlign w:val="center"/>
                </w:tcPr>
                <w:p w14:paraId="4F42E1FB">
                  <w:pPr>
                    <w:snapToGrid w:val="0"/>
                    <w:spacing w:line="240" w:lineRule="auto"/>
                    <w:ind w:firstLine="0" w:firstLineChars="0"/>
                    <w:jc w:val="center"/>
                    <w:rPr>
                      <w:sz w:val="21"/>
                      <w:szCs w:val="21"/>
                    </w:rPr>
                  </w:pPr>
                  <w:r>
                    <w:rPr>
                      <w:rFonts w:hint="eastAsia"/>
                      <w:sz w:val="21"/>
                      <w:szCs w:val="21"/>
                    </w:rPr>
                    <w:t>控制项目</w:t>
                  </w:r>
                </w:p>
              </w:tc>
              <w:tc>
                <w:tcPr>
                  <w:tcW w:w="2112" w:type="pct"/>
                  <w:tcBorders>
                    <w:tl2br w:val="nil"/>
                    <w:tr2bl w:val="nil"/>
                  </w:tcBorders>
                  <w:vAlign w:val="center"/>
                </w:tcPr>
                <w:p w14:paraId="53E43F90">
                  <w:pPr>
                    <w:snapToGrid w:val="0"/>
                    <w:spacing w:line="240" w:lineRule="auto"/>
                    <w:ind w:firstLine="0" w:firstLineChars="0"/>
                    <w:jc w:val="center"/>
                    <w:rPr>
                      <w:sz w:val="21"/>
                      <w:szCs w:val="21"/>
                    </w:rPr>
                  </w:pPr>
                  <w:r>
                    <w:rPr>
                      <w:rFonts w:hint="eastAsia"/>
                      <w:sz w:val="21"/>
                      <w:szCs w:val="21"/>
                    </w:rPr>
                    <w:t>厂界标准值</w:t>
                  </w:r>
                </w:p>
                <w:p w14:paraId="766747EF">
                  <w:pPr>
                    <w:snapToGrid w:val="0"/>
                    <w:spacing w:line="240" w:lineRule="auto"/>
                    <w:ind w:firstLine="0" w:firstLineChars="0"/>
                    <w:jc w:val="center"/>
                    <w:rPr>
                      <w:sz w:val="21"/>
                      <w:szCs w:val="21"/>
                    </w:rPr>
                  </w:pPr>
                  <w:r>
                    <w:rPr>
                      <w:bCs/>
                      <w:sz w:val="21"/>
                      <w:szCs w:val="21"/>
                    </w:rPr>
                    <w:t>mg/m³</w:t>
                  </w:r>
                </w:p>
              </w:tc>
              <w:tc>
                <w:tcPr>
                  <w:tcW w:w="1754" w:type="pct"/>
                  <w:vMerge w:val="restart"/>
                  <w:tcBorders>
                    <w:tl2br w:val="nil"/>
                    <w:tr2bl w:val="nil"/>
                  </w:tcBorders>
                  <w:vAlign w:val="center"/>
                </w:tcPr>
                <w:p w14:paraId="733F86BE">
                  <w:pPr>
                    <w:snapToGrid w:val="0"/>
                    <w:spacing w:line="240" w:lineRule="auto"/>
                    <w:ind w:firstLine="0" w:firstLineChars="0"/>
                    <w:jc w:val="center"/>
                    <w:rPr>
                      <w:sz w:val="21"/>
                      <w:szCs w:val="21"/>
                    </w:rPr>
                  </w:pPr>
                  <w:r>
                    <w:rPr>
                      <w:sz w:val="21"/>
                      <w:szCs w:val="21"/>
                    </w:rPr>
                    <w:t>标准来源</w:t>
                  </w:r>
                </w:p>
              </w:tc>
            </w:tr>
            <w:tr w14:paraId="521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133" w:type="pct"/>
                  <w:tcBorders>
                    <w:tl2br w:val="nil"/>
                    <w:tr2bl w:val="nil"/>
                  </w:tcBorders>
                  <w:vAlign w:val="center"/>
                </w:tcPr>
                <w:p w14:paraId="7F15A05D">
                  <w:pPr>
                    <w:snapToGrid w:val="0"/>
                    <w:spacing w:line="240" w:lineRule="auto"/>
                    <w:ind w:firstLine="0" w:firstLineChars="0"/>
                    <w:jc w:val="center"/>
                    <w:rPr>
                      <w:sz w:val="21"/>
                      <w:szCs w:val="21"/>
                    </w:rPr>
                  </w:pPr>
                  <w:r>
                    <w:rPr>
                      <w:sz w:val="21"/>
                      <w:szCs w:val="21"/>
                    </w:rPr>
                    <w:t>氨</w:t>
                  </w:r>
                </w:p>
              </w:tc>
              <w:tc>
                <w:tcPr>
                  <w:tcW w:w="2112" w:type="pct"/>
                  <w:tcBorders>
                    <w:tl2br w:val="nil"/>
                    <w:tr2bl w:val="nil"/>
                  </w:tcBorders>
                  <w:vAlign w:val="center"/>
                </w:tcPr>
                <w:p w14:paraId="7BB60FE9">
                  <w:pPr>
                    <w:snapToGrid w:val="0"/>
                    <w:spacing w:line="240" w:lineRule="auto"/>
                    <w:ind w:firstLine="0" w:firstLineChars="0"/>
                    <w:jc w:val="center"/>
                    <w:rPr>
                      <w:sz w:val="21"/>
                      <w:szCs w:val="21"/>
                    </w:rPr>
                  </w:pPr>
                  <w:r>
                    <w:rPr>
                      <w:rFonts w:hint="eastAsia"/>
                      <w:sz w:val="21"/>
                      <w:szCs w:val="21"/>
                    </w:rPr>
                    <w:t>1.5</w:t>
                  </w:r>
                </w:p>
              </w:tc>
              <w:tc>
                <w:tcPr>
                  <w:tcW w:w="1754" w:type="pct"/>
                  <w:vMerge w:val="restart"/>
                  <w:tcBorders>
                    <w:tl2br w:val="nil"/>
                    <w:tr2bl w:val="nil"/>
                  </w:tcBorders>
                  <w:vAlign w:val="center"/>
                </w:tcPr>
                <w:p w14:paraId="128D4EDD">
                  <w:pPr>
                    <w:snapToGrid w:val="0"/>
                    <w:spacing w:line="240" w:lineRule="auto"/>
                    <w:ind w:firstLine="0" w:firstLineChars="0"/>
                    <w:jc w:val="center"/>
                    <w:rPr>
                      <w:sz w:val="21"/>
                      <w:szCs w:val="21"/>
                    </w:rPr>
                  </w:pPr>
                  <w:r>
                    <w:rPr>
                      <w:sz w:val="21"/>
                      <w:szCs w:val="21"/>
                    </w:rPr>
                    <w:t>《恶臭污染物排放标准》（GB14554-93）</w:t>
                  </w:r>
                  <w:r>
                    <w:rPr>
                      <w:rFonts w:hint="eastAsia"/>
                      <w:sz w:val="21"/>
                      <w:szCs w:val="21"/>
                    </w:rPr>
                    <w:t>表2中二级标准</w:t>
                  </w:r>
                </w:p>
              </w:tc>
            </w:tr>
            <w:tr w14:paraId="3461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133" w:type="pct"/>
                  <w:tcBorders>
                    <w:tl2br w:val="nil"/>
                    <w:tr2bl w:val="nil"/>
                  </w:tcBorders>
                  <w:vAlign w:val="center"/>
                </w:tcPr>
                <w:p w14:paraId="600396FD">
                  <w:pPr>
                    <w:snapToGrid w:val="0"/>
                    <w:spacing w:line="240" w:lineRule="auto"/>
                    <w:ind w:firstLine="0" w:firstLineChars="0"/>
                    <w:jc w:val="center"/>
                    <w:rPr>
                      <w:sz w:val="21"/>
                      <w:szCs w:val="21"/>
                    </w:rPr>
                  </w:pPr>
                  <w:r>
                    <w:rPr>
                      <w:sz w:val="21"/>
                      <w:szCs w:val="21"/>
                    </w:rPr>
                    <w:t>硫化氢</w:t>
                  </w:r>
                </w:p>
              </w:tc>
              <w:tc>
                <w:tcPr>
                  <w:tcW w:w="2112" w:type="pct"/>
                  <w:tcBorders>
                    <w:tl2br w:val="nil"/>
                    <w:tr2bl w:val="nil"/>
                  </w:tcBorders>
                  <w:vAlign w:val="center"/>
                </w:tcPr>
                <w:p w14:paraId="04C45A2E">
                  <w:pPr>
                    <w:snapToGrid w:val="0"/>
                    <w:spacing w:line="240" w:lineRule="auto"/>
                    <w:ind w:firstLine="0" w:firstLineChars="0"/>
                    <w:jc w:val="center"/>
                    <w:rPr>
                      <w:sz w:val="21"/>
                      <w:szCs w:val="21"/>
                    </w:rPr>
                  </w:pPr>
                  <w:r>
                    <w:rPr>
                      <w:rFonts w:hint="eastAsia"/>
                      <w:sz w:val="21"/>
                      <w:szCs w:val="21"/>
                    </w:rPr>
                    <w:t>0.06</w:t>
                  </w:r>
                </w:p>
              </w:tc>
              <w:tc>
                <w:tcPr>
                  <w:tcW w:w="1754" w:type="pct"/>
                  <w:vMerge w:val="continue"/>
                  <w:tcBorders>
                    <w:tl2br w:val="nil"/>
                    <w:tr2bl w:val="nil"/>
                  </w:tcBorders>
                  <w:vAlign w:val="center"/>
                </w:tcPr>
                <w:p w14:paraId="7BC44A42">
                  <w:pPr>
                    <w:snapToGrid w:val="0"/>
                    <w:spacing w:line="240" w:lineRule="auto"/>
                    <w:ind w:firstLine="0" w:firstLineChars="0"/>
                    <w:jc w:val="center"/>
                    <w:rPr>
                      <w:sz w:val="21"/>
                      <w:szCs w:val="21"/>
                    </w:rPr>
                  </w:pPr>
                </w:p>
              </w:tc>
            </w:tr>
            <w:tr w14:paraId="00E2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133" w:type="pct"/>
                  <w:tcBorders>
                    <w:tl2br w:val="nil"/>
                    <w:tr2bl w:val="nil"/>
                  </w:tcBorders>
                  <w:vAlign w:val="center"/>
                </w:tcPr>
                <w:p w14:paraId="25CEA687">
                  <w:pPr>
                    <w:snapToGrid w:val="0"/>
                    <w:spacing w:line="240" w:lineRule="auto"/>
                    <w:ind w:firstLine="0" w:firstLineChars="0"/>
                    <w:jc w:val="center"/>
                    <w:rPr>
                      <w:sz w:val="21"/>
                      <w:szCs w:val="21"/>
                    </w:rPr>
                  </w:pPr>
                  <w:r>
                    <w:rPr>
                      <w:rFonts w:hint="eastAsia"/>
                      <w:sz w:val="21"/>
                      <w:szCs w:val="21"/>
                    </w:rPr>
                    <w:t>臭气浓度</w:t>
                  </w:r>
                </w:p>
              </w:tc>
              <w:tc>
                <w:tcPr>
                  <w:tcW w:w="2112" w:type="pct"/>
                  <w:tcBorders>
                    <w:tl2br w:val="nil"/>
                    <w:tr2bl w:val="nil"/>
                  </w:tcBorders>
                  <w:vAlign w:val="center"/>
                </w:tcPr>
                <w:p w14:paraId="03D75E9D">
                  <w:pPr>
                    <w:snapToGrid w:val="0"/>
                    <w:spacing w:line="240" w:lineRule="auto"/>
                    <w:ind w:firstLine="0" w:firstLineChars="0"/>
                    <w:jc w:val="center"/>
                    <w:rPr>
                      <w:sz w:val="21"/>
                      <w:szCs w:val="21"/>
                    </w:rPr>
                  </w:pPr>
                  <w:r>
                    <w:rPr>
                      <w:rFonts w:hint="eastAsia"/>
                      <w:sz w:val="21"/>
                      <w:szCs w:val="21"/>
                    </w:rPr>
                    <w:t>20（无量纲）</w:t>
                  </w:r>
                </w:p>
              </w:tc>
              <w:tc>
                <w:tcPr>
                  <w:tcW w:w="1754" w:type="pct"/>
                  <w:vMerge w:val="continue"/>
                  <w:tcBorders>
                    <w:tl2br w:val="nil"/>
                    <w:tr2bl w:val="nil"/>
                  </w:tcBorders>
                  <w:vAlign w:val="center"/>
                </w:tcPr>
                <w:p w14:paraId="78557124">
                  <w:pPr>
                    <w:snapToGrid w:val="0"/>
                    <w:spacing w:line="240" w:lineRule="auto"/>
                    <w:ind w:firstLine="0" w:firstLineChars="0"/>
                    <w:jc w:val="center"/>
                    <w:rPr>
                      <w:sz w:val="21"/>
                      <w:szCs w:val="21"/>
                    </w:rPr>
                  </w:pPr>
                </w:p>
              </w:tc>
            </w:tr>
          </w:tbl>
          <w:p w14:paraId="0AEADE76">
            <w:pPr>
              <w:pStyle w:val="32"/>
              <w:rPr>
                <w:rFonts w:hint="default"/>
              </w:rPr>
            </w:pPr>
            <w:r>
              <w:t>表3-7  废气污染物排放标准一览表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5"/>
              <w:gridCol w:w="1677"/>
              <w:gridCol w:w="1502"/>
              <w:gridCol w:w="1342"/>
            </w:tblGrid>
            <w:tr w14:paraId="457D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5" w:type="dxa"/>
                </w:tcPr>
                <w:p w14:paraId="6F65032C">
                  <w:pPr>
                    <w:pStyle w:val="29"/>
                  </w:pPr>
                  <w:r>
                    <w:rPr>
                      <w:rFonts w:hint="eastAsia"/>
                    </w:rPr>
                    <w:t>规模</w:t>
                  </w:r>
                </w:p>
              </w:tc>
              <w:tc>
                <w:tcPr>
                  <w:tcW w:w="1745" w:type="dxa"/>
                  <w:shd w:val="clear" w:color="auto" w:fill="auto"/>
                </w:tcPr>
                <w:p w14:paraId="11379E12">
                  <w:pPr>
                    <w:pStyle w:val="29"/>
                    <w:rPr>
                      <w:color w:val="0000FF"/>
                    </w:rPr>
                  </w:pPr>
                  <w:r>
                    <w:rPr>
                      <w:rFonts w:hint="eastAsia"/>
                      <w:color w:val="0000FF"/>
                    </w:rPr>
                    <w:t>小型</w:t>
                  </w:r>
                </w:p>
              </w:tc>
              <w:tc>
                <w:tcPr>
                  <w:tcW w:w="1560" w:type="dxa"/>
                  <w:shd w:val="clear" w:color="auto" w:fill="D7D7D7" w:themeFill="background1" w:themeFillShade="D8"/>
                </w:tcPr>
                <w:p w14:paraId="1DB7C3C6">
                  <w:pPr>
                    <w:pStyle w:val="29"/>
                    <w:rPr>
                      <w:color w:val="0000FF"/>
                    </w:rPr>
                  </w:pPr>
                  <w:r>
                    <w:rPr>
                      <w:rFonts w:hint="eastAsia"/>
                      <w:color w:val="0000FF"/>
                    </w:rPr>
                    <w:t>中型</w:t>
                  </w:r>
                </w:p>
              </w:tc>
              <w:tc>
                <w:tcPr>
                  <w:tcW w:w="1392" w:type="dxa"/>
                  <w:shd w:val="clear" w:color="auto" w:fill="auto"/>
                </w:tcPr>
                <w:p w14:paraId="2DDE555A">
                  <w:pPr>
                    <w:pStyle w:val="29"/>
                    <w:rPr>
                      <w:color w:val="0000FF"/>
                    </w:rPr>
                  </w:pPr>
                  <w:r>
                    <w:rPr>
                      <w:rFonts w:hint="eastAsia"/>
                      <w:color w:val="0000FF"/>
                    </w:rPr>
                    <w:t>大型</w:t>
                  </w:r>
                </w:p>
              </w:tc>
            </w:tr>
            <w:tr w14:paraId="6D1E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5" w:type="dxa"/>
                </w:tcPr>
                <w:p w14:paraId="6EA8E15F">
                  <w:pPr>
                    <w:pStyle w:val="29"/>
                  </w:pPr>
                  <w:r>
                    <w:rPr>
                      <w:rFonts w:hint="eastAsia"/>
                    </w:rPr>
                    <w:t>最高允许排放浓度（mg/m</w:t>
                  </w:r>
                  <w:r>
                    <w:rPr>
                      <w:rFonts w:hint="eastAsia"/>
                      <w:vertAlign w:val="superscript"/>
                    </w:rPr>
                    <w:t>3</w:t>
                  </w:r>
                  <w:r>
                    <w:rPr>
                      <w:rFonts w:hint="eastAsia"/>
                    </w:rPr>
                    <w:t>）</w:t>
                  </w:r>
                </w:p>
              </w:tc>
              <w:tc>
                <w:tcPr>
                  <w:tcW w:w="4697" w:type="dxa"/>
                  <w:gridSpan w:val="3"/>
                  <w:shd w:val="clear" w:color="auto" w:fill="D7D7D7" w:themeFill="background1" w:themeFillShade="D8"/>
                </w:tcPr>
                <w:p w14:paraId="5FDAEF5F">
                  <w:pPr>
                    <w:pStyle w:val="29"/>
                    <w:rPr>
                      <w:color w:val="0000FF"/>
                    </w:rPr>
                  </w:pPr>
                  <w:r>
                    <w:rPr>
                      <w:rFonts w:hint="eastAsia"/>
                      <w:color w:val="0000FF"/>
                    </w:rPr>
                    <w:t>2.0</w:t>
                  </w:r>
                </w:p>
              </w:tc>
            </w:tr>
            <w:tr w14:paraId="7263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5" w:type="dxa"/>
                </w:tcPr>
                <w:p w14:paraId="33B58385">
                  <w:pPr>
                    <w:pStyle w:val="29"/>
                  </w:pPr>
                  <w:r>
                    <w:rPr>
                      <w:rFonts w:hint="eastAsia"/>
                    </w:rPr>
                    <w:t>净化设施最低去除效率（%）</w:t>
                  </w:r>
                </w:p>
              </w:tc>
              <w:tc>
                <w:tcPr>
                  <w:tcW w:w="1745" w:type="dxa"/>
                  <w:shd w:val="clear" w:color="auto" w:fill="auto"/>
                </w:tcPr>
                <w:p w14:paraId="55834215">
                  <w:pPr>
                    <w:pStyle w:val="29"/>
                    <w:rPr>
                      <w:color w:val="0000FF"/>
                    </w:rPr>
                  </w:pPr>
                  <w:r>
                    <w:rPr>
                      <w:rFonts w:hint="eastAsia"/>
                      <w:color w:val="0000FF"/>
                    </w:rPr>
                    <w:t>60</w:t>
                  </w:r>
                </w:p>
              </w:tc>
              <w:tc>
                <w:tcPr>
                  <w:tcW w:w="1560" w:type="dxa"/>
                  <w:shd w:val="clear" w:color="auto" w:fill="D7D7D7" w:themeFill="background1" w:themeFillShade="D8"/>
                </w:tcPr>
                <w:p w14:paraId="278B0562">
                  <w:pPr>
                    <w:pStyle w:val="29"/>
                    <w:rPr>
                      <w:color w:val="0000FF"/>
                    </w:rPr>
                  </w:pPr>
                  <w:r>
                    <w:rPr>
                      <w:rFonts w:hint="eastAsia"/>
                      <w:color w:val="0000FF"/>
                    </w:rPr>
                    <w:t>75</w:t>
                  </w:r>
                </w:p>
              </w:tc>
              <w:tc>
                <w:tcPr>
                  <w:tcW w:w="1392" w:type="dxa"/>
                  <w:shd w:val="clear" w:color="auto" w:fill="auto"/>
                </w:tcPr>
                <w:p w14:paraId="1B5A4DB5">
                  <w:pPr>
                    <w:pStyle w:val="29"/>
                    <w:rPr>
                      <w:color w:val="0000FF"/>
                    </w:rPr>
                  </w:pPr>
                  <w:r>
                    <w:rPr>
                      <w:rFonts w:hint="eastAsia"/>
                      <w:color w:val="0000FF"/>
                    </w:rPr>
                    <w:t>85</w:t>
                  </w:r>
                </w:p>
              </w:tc>
            </w:tr>
          </w:tbl>
          <w:p w14:paraId="7917AB2E">
            <w:pPr>
              <w:ind w:firstLine="482"/>
              <w:rPr>
                <w:b/>
                <w:bCs/>
              </w:rPr>
            </w:pPr>
            <w:r>
              <w:rPr>
                <w:rFonts w:hint="eastAsia"/>
                <w:b/>
                <w:bCs/>
              </w:rPr>
              <w:t>2</w:t>
            </w:r>
            <w:r>
              <w:rPr>
                <w:b/>
                <w:bCs/>
              </w:rPr>
              <w:t>、废水</w:t>
            </w:r>
          </w:p>
          <w:p w14:paraId="1C0F056A">
            <w:r>
              <w:rPr>
                <w:rFonts w:hint="eastAsia"/>
              </w:rPr>
              <w:t>生活污水经化粪池、生产废水经污水处理站预处理后排入园区污水管网，满足《污水综合排放标准》（GB8978-1996）三级标准同时满足安徽淮相科技发展有限公司第二污水处理厂</w:t>
            </w:r>
            <w:r>
              <w:t>接管</w:t>
            </w:r>
            <w:r>
              <w:rPr>
                <w:rFonts w:hint="eastAsia"/>
              </w:rPr>
              <w:t>要求，经安徽淮相科技发展有限公司第二污水处理厂处理达标后尾水排入老濉河，具体内容如下所示</w:t>
            </w:r>
            <w:r>
              <w:t>。</w:t>
            </w:r>
          </w:p>
          <w:p w14:paraId="074F772C">
            <w:pPr>
              <w:pStyle w:val="32"/>
              <w:rPr>
                <w:rFonts w:hint="default"/>
              </w:rPr>
            </w:pPr>
            <w:r>
              <w:t>表3-8  废水污染物排放标准一览表    单位：mg/L</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73"/>
              <w:gridCol w:w="1476"/>
              <w:gridCol w:w="2581"/>
              <w:gridCol w:w="1273"/>
            </w:tblGrid>
            <w:tr w14:paraId="10B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0E9B874A">
                  <w:pPr>
                    <w:pStyle w:val="29"/>
                  </w:pPr>
                  <w:r>
                    <w:t>序号</w:t>
                  </w:r>
                </w:p>
              </w:tc>
              <w:tc>
                <w:tcPr>
                  <w:tcW w:w="1039" w:type="pct"/>
                  <w:vAlign w:val="center"/>
                </w:tcPr>
                <w:p w14:paraId="7FA1CD1D">
                  <w:pPr>
                    <w:pStyle w:val="29"/>
                  </w:pPr>
                  <w:r>
                    <w:t>项目</w:t>
                  </w:r>
                </w:p>
              </w:tc>
              <w:tc>
                <w:tcPr>
                  <w:tcW w:w="975" w:type="pct"/>
                  <w:vAlign w:val="center"/>
                </w:tcPr>
                <w:p w14:paraId="7D46CA51">
                  <w:pPr>
                    <w:pStyle w:val="29"/>
                  </w:pPr>
                  <w:r>
                    <w:t>污水处理厂接管</w:t>
                  </w:r>
                  <w:r>
                    <w:rPr>
                      <w:rFonts w:hint="eastAsia"/>
                    </w:rPr>
                    <w:t>限值</w:t>
                  </w:r>
                </w:p>
              </w:tc>
              <w:tc>
                <w:tcPr>
                  <w:tcW w:w="1705" w:type="pct"/>
                  <w:vAlign w:val="center"/>
                </w:tcPr>
                <w:p w14:paraId="1FCC7E23">
                  <w:pPr>
                    <w:pStyle w:val="29"/>
                  </w:pPr>
                  <w:r>
                    <w:rPr>
                      <w:rFonts w:hint="eastAsia"/>
                    </w:rPr>
                    <w:t>《污水综合排放标准》（GB8978-1996）三级标准</w:t>
                  </w:r>
                </w:p>
              </w:tc>
              <w:tc>
                <w:tcPr>
                  <w:tcW w:w="841" w:type="pct"/>
                  <w:vAlign w:val="center"/>
                </w:tcPr>
                <w:p w14:paraId="030FD02C">
                  <w:pPr>
                    <w:pStyle w:val="29"/>
                  </w:pPr>
                  <w:r>
                    <w:rPr>
                      <w:rFonts w:hint="eastAsia"/>
                    </w:rPr>
                    <w:t>本项目执行</w:t>
                  </w:r>
                </w:p>
              </w:tc>
            </w:tr>
            <w:tr w14:paraId="2C0E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11BBB55D">
                  <w:pPr>
                    <w:pStyle w:val="29"/>
                  </w:pPr>
                  <w:r>
                    <w:t>1</w:t>
                  </w:r>
                </w:p>
              </w:tc>
              <w:tc>
                <w:tcPr>
                  <w:tcW w:w="1039" w:type="pct"/>
                  <w:vAlign w:val="center"/>
                </w:tcPr>
                <w:p w14:paraId="69297471">
                  <w:pPr>
                    <w:pStyle w:val="29"/>
                  </w:pPr>
                  <w:r>
                    <w:t>pH（无量纲）</w:t>
                  </w:r>
                </w:p>
              </w:tc>
              <w:tc>
                <w:tcPr>
                  <w:tcW w:w="975" w:type="pct"/>
                  <w:vAlign w:val="center"/>
                </w:tcPr>
                <w:p w14:paraId="76651413">
                  <w:pPr>
                    <w:pStyle w:val="29"/>
                  </w:pPr>
                  <w:r>
                    <w:t>6～9</w:t>
                  </w:r>
                </w:p>
              </w:tc>
              <w:tc>
                <w:tcPr>
                  <w:tcW w:w="1705" w:type="pct"/>
                  <w:vAlign w:val="center"/>
                </w:tcPr>
                <w:p w14:paraId="1EC014DD">
                  <w:pPr>
                    <w:pStyle w:val="29"/>
                  </w:pPr>
                  <w:r>
                    <w:t>6～9</w:t>
                  </w:r>
                </w:p>
              </w:tc>
              <w:tc>
                <w:tcPr>
                  <w:tcW w:w="841" w:type="pct"/>
                  <w:vAlign w:val="center"/>
                </w:tcPr>
                <w:p w14:paraId="49ED34C8">
                  <w:pPr>
                    <w:pStyle w:val="29"/>
                  </w:pPr>
                  <w:r>
                    <w:t>6～9</w:t>
                  </w:r>
                </w:p>
              </w:tc>
            </w:tr>
            <w:tr w14:paraId="13F3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4B67D8B7">
                  <w:pPr>
                    <w:pStyle w:val="29"/>
                  </w:pPr>
                  <w:r>
                    <w:t>2</w:t>
                  </w:r>
                </w:p>
              </w:tc>
              <w:tc>
                <w:tcPr>
                  <w:tcW w:w="1039" w:type="pct"/>
                  <w:vAlign w:val="center"/>
                </w:tcPr>
                <w:p w14:paraId="69F1B45A">
                  <w:pPr>
                    <w:pStyle w:val="29"/>
                  </w:pPr>
                  <w:r>
                    <w:t>COD</w:t>
                  </w:r>
                </w:p>
              </w:tc>
              <w:tc>
                <w:tcPr>
                  <w:tcW w:w="975" w:type="pct"/>
                  <w:vAlign w:val="center"/>
                </w:tcPr>
                <w:p w14:paraId="78A0D2A8">
                  <w:pPr>
                    <w:pStyle w:val="29"/>
                  </w:pPr>
                  <w:r>
                    <w:t>≤500</w:t>
                  </w:r>
                </w:p>
              </w:tc>
              <w:tc>
                <w:tcPr>
                  <w:tcW w:w="1705" w:type="pct"/>
                  <w:vAlign w:val="center"/>
                </w:tcPr>
                <w:p w14:paraId="4CBE81CC">
                  <w:pPr>
                    <w:pStyle w:val="29"/>
                  </w:pPr>
                  <w:r>
                    <w:t>≤</w:t>
                  </w:r>
                  <w:r>
                    <w:rPr>
                      <w:rFonts w:hint="eastAsia"/>
                    </w:rPr>
                    <w:t>5</w:t>
                  </w:r>
                  <w:r>
                    <w:t>00</w:t>
                  </w:r>
                </w:p>
              </w:tc>
              <w:tc>
                <w:tcPr>
                  <w:tcW w:w="841" w:type="pct"/>
                  <w:vAlign w:val="center"/>
                </w:tcPr>
                <w:p w14:paraId="4386583C">
                  <w:pPr>
                    <w:pStyle w:val="29"/>
                  </w:pPr>
                  <w:r>
                    <w:t>≤</w:t>
                  </w:r>
                  <w:r>
                    <w:rPr>
                      <w:rFonts w:hint="eastAsia"/>
                    </w:rPr>
                    <w:t>5</w:t>
                  </w:r>
                  <w:r>
                    <w:t>00</w:t>
                  </w:r>
                </w:p>
              </w:tc>
            </w:tr>
            <w:tr w14:paraId="097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0A889C5E">
                  <w:pPr>
                    <w:pStyle w:val="29"/>
                  </w:pPr>
                  <w:r>
                    <w:t>3</w:t>
                  </w:r>
                </w:p>
              </w:tc>
              <w:tc>
                <w:tcPr>
                  <w:tcW w:w="1039" w:type="pct"/>
                  <w:vAlign w:val="center"/>
                </w:tcPr>
                <w:p w14:paraId="35E369B6">
                  <w:pPr>
                    <w:pStyle w:val="29"/>
                  </w:pPr>
                  <w:r>
                    <w:t>BOD</w:t>
                  </w:r>
                  <w:r>
                    <w:rPr>
                      <w:vertAlign w:val="subscript"/>
                    </w:rPr>
                    <w:t>5</w:t>
                  </w:r>
                </w:p>
              </w:tc>
              <w:tc>
                <w:tcPr>
                  <w:tcW w:w="975" w:type="pct"/>
                  <w:vAlign w:val="center"/>
                </w:tcPr>
                <w:p w14:paraId="705B415B">
                  <w:pPr>
                    <w:pStyle w:val="29"/>
                  </w:pPr>
                  <w:r>
                    <w:t>≤</w:t>
                  </w:r>
                  <w:r>
                    <w:rPr>
                      <w:rFonts w:hint="eastAsia"/>
                    </w:rPr>
                    <w:t>300</w:t>
                  </w:r>
                </w:p>
              </w:tc>
              <w:tc>
                <w:tcPr>
                  <w:tcW w:w="1705" w:type="pct"/>
                  <w:vAlign w:val="center"/>
                </w:tcPr>
                <w:p w14:paraId="77E742E1">
                  <w:pPr>
                    <w:pStyle w:val="29"/>
                  </w:pPr>
                  <w:r>
                    <w:t>≤300</w:t>
                  </w:r>
                </w:p>
              </w:tc>
              <w:tc>
                <w:tcPr>
                  <w:tcW w:w="841" w:type="pct"/>
                  <w:vAlign w:val="center"/>
                </w:tcPr>
                <w:p w14:paraId="7DFDB7A2">
                  <w:pPr>
                    <w:pStyle w:val="29"/>
                  </w:pPr>
                  <w:r>
                    <w:t>≤300</w:t>
                  </w:r>
                </w:p>
              </w:tc>
            </w:tr>
            <w:tr w14:paraId="174B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431D7FBC">
                  <w:pPr>
                    <w:pStyle w:val="29"/>
                  </w:pPr>
                  <w:r>
                    <w:t>4</w:t>
                  </w:r>
                </w:p>
              </w:tc>
              <w:tc>
                <w:tcPr>
                  <w:tcW w:w="1039" w:type="pct"/>
                  <w:vAlign w:val="center"/>
                </w:tcPr>
                <w:p w14:paraId="5DBA167A">
                  <w:pPr>
                    <w:pStyle w:val="29"/>
                  </w:pPr>
                  <w:r>
                    <w:t>SS</w:t>
                  </w:r>
                </w:p>
              </w:tc>
              <w:tc>
                <w:tcPr>
                  <w:tcW w:w="975" w:type="pct"/>
                  <w:vAlign w:val="center"/>
                </w:tcPr>
                <w:p w14:paraId="46FD3597">
                  <w:pPr>
                    <w:pStyle w:val="29"/>
                  </w:pPr>
                  <w:r>
                    <w:t>≤</w:t>
                  </w:r>
                  <w:r>
                    <w:rPr>
                      <w:rFonts w:hint="eastAsia"/>
                    </w:rPr>
                    <w:t>400</w:t>
                  </w:r>
                </w:p>
              </w:tc>
              <w:tc>
                <w:tcPr>
                  <w:tcW w:w="1705" w:type="pct"/>
                  <w:vAlign w:val="center"/>
                </w:tcPr>
                <w:p w14:paraId="7AFDB193">
                  <w:pPr>
                    <w:pStyle w:val="29"/>
                  </w:pPr>
                  <w:r>
                    <w:t>≤400</w:t>
                  </w:r>
                </w:p>
              </w:tc>
              <w:tc>
                <w:tcPr>
                  <w:tcW w:w="841" w:type="pct"/>
                  <w:vAlign w:val="center"/>
                </w:tcPr>
                <w:p w14:paraId="71925ECB">
                  <w:pPr>
                    <w:pStyle w:val="29"/>
                  </w:pPr>
                  <w:r>
                    <w:t>≤</w:t>
                  </w:r>
                  <w:r>
                    <w:rPr>
                      <w:rFonts w:hint="eastAsia"/>
                    </w:rPr>
                    <w:t>400</w:t>
                  </w:r>
                </w:p>
              </w:tc>
            </w:tr>
            <w:tr w14:paraId="175B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463F8AA6">
                  <w:pPr>
                    <w:pStyle w:val="29"/>
                  </w:pPr>
                  <w:r>
                    <w:t>5</w:t>
                  </w:r>
                </w:p>
              </w:tc>
              <w:tc>
                <w:tcPr>
                  <w:tcW w:w="1039" w:type="pct"/>
                  <w:vAlign w:val="center"/>
                </w:tcPr>
                <w:p w14:paraId="0EB6DFF8">
                  <w:pPr>
                    <w:pStyle w:val="29"/>
                  </w:pPr>
                  <w:r>
                    <w:t>氨氮</w:t>
                  </w:r>
                </w:p>
              </w:tc>
              <w:tc>
                <w:tcPr>
                  <w:tcW w:w="975" w:type="pct"/>
                  <w:vAlign w:val="center"/>
                </w:tcPr>
                <w:p w14:paraId="18BAE285">
                  <w:pPr>
                    <w:pStyle w:val="29"/>
                  </w:pPr>
                  <w:r>
                    <w:t>≤45</w:t>
                  </w:r>
                </w:p>
              </w:tc>
              <w:tc>
                <w:tcPr>
                  <w:tcW w:w="1705" w:type="pct"/>
                  <w:vAlign w:val="center"/>
                </w:tcPr>
                <w:p w14:paraId="5490CF59">
                  <w:pPr>
                    <w:pStyle w:val="29"/>
                  </w:pPr>
                  <w:r>
                    <w:rPr>
                      <w:rFonts w:hint="eastAsia"/>
                    </w:rPr>
                    <w:t>-</w:t>
                  </w:r>
                </w:p>
              </w:tc>
              <w:tc>
                <w:tcPr>
                  <w:tcW w:w="841" w:type="pct"/>
                  <w:vAlign w:val="center"/>
                </w:tcPr>
                <w:p w14:paraId="526F6AAA">
                  <w:pPr>
                    <w:pStyle w:val="29"/>
                  </w:pPr>
                  <w:r>
                    <w:t>≤45</w:t>
                  </w:r>
                </w:p>
              </w:tc>
            </w:tr>
            <w:tr w14:paraId="70D3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38D6437D">
                  <w:pPr>
                    <w:pStyle w:val="29"/>
                  </w:pPr>
                  <w:r>
                    <w:rPr>
                      <w:rFonts w:hint="eastAsia"/>
                    </w:rPr>
                    <w:t>6</w:t>
                  </w:r>
                </w:p>
              </w:tc>
              <w:tc>
                <w:tcPr>
                  <w:tcW w:w="1039" w:type="pct"/>
                  <w:vAlign w:val="center"/>
                </w:tcPr>
                <w:p w14:paraId="0EE7DFBD">
                  <w:pPr>
                    <w:pStyle w:val="29"/>
                  </w:pPr>
                  <w:r>
                    <w:rPr>
                      <w:rFonts w:hint="eastAsia"/>
                    </w:rPr>
                    <w:t>动植物油</w:t>
                  </w:r>
                </w:p>
              </w:tc>
              <w:tc>
                <w:tcPr>
                  <w:tcW w:w="975" w:type="pct"/>
                  <w:vAlign w:val="center"/>
                </w:tcPr>
                <w:p w14:paraId="707F1A84">
                  <w:pPr>
                    <w:pStyle w:val="29"/>
                  </w:pPr>
                  <w:r>
                    <w:rPr>
                      <w:rFonts w:hint="eastAsia"/>
                    </w:rPr>
                    <w:t>100</w:t>
                  </w:r>
                </w:p>
              </w:tc>
              <w:tc>
                <w:tcPr>
                  <w:tcW w:w="1705" w:type="pct"/>
                  <w:vAlign w:val="center"/>
                </w:tcPr>
                <w:p w14:paraId="57293762">
                  <w:pPr>
                    <w:pStyle w:val="29"/>
                  </w:pPr>
                  <w:r>
                    <w:rPr>
                      <w:rFonts w:hint="eastAsia"/>
                    </w:rPr>
                    <w:t>100</w:t>
                  </w:r>
                </w:p>
              </w:tc>
              <w:tc>
                <w:tcPr>
                  <w:tcW w:w="841" w:type="pct"/>
                  <w:vAlign w:val="center"/>
                </w:tcPr>
                <w:p w14:paraId="633E8723">
                  <w:pPr>
                    <w:pStyle w:val="29"/>
                  </w:pPr>
                  <w:r>
                    <w:rPr>
                      <w:rFonts w:hint="eastAsia"/>
                    </w:rPr>
                    <w:t>100</w:t>
                  </w:r>
                </w:p>
              </w:tc>
            </w:tr>
            <w:tr w14:paraId="3291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70E7DAA8">
                  <w:pPr>
                    <w:pStyle w:val="29"/>
                  </w:pPr>
                  <w:r>
                    <w:rPr>
                      <w:rFonts w:hint="eastAsia"/>
                    </w:rPr>
                    <w:t>7</w:t>
                  </w:r>
                </w:p>
              </w:tc>
              <w:tc>
                <w:tcPr>
                  <w:tcW w:w="1039" w:type="pct"/>
                  <w:vAlign w:val="center"/>
                </w:tcPr>
                <w:p w14:paraId="09BC612F">
                  <w:pPr>
                    <w:pStyle w:val="29"/>
                  </w:pPr>
                  <w:r>
                    <w:rPr>
                      <w:rFonts w:hint="eastAsia"/>
                    </w:rPr>
                    <w:t>总磷</w:t>
                  </w:r>
                </w:p>
              </w:tc>
              <w:tc>
                <w:tcPr>
                  <w:tcW w:w="975" w:type="pct"/>
                  <w:vAlign w:val="center"/>
                </w:tcPr>
                <w:p w14:paraId="1AE90F2F">
                  <w:pPr>
                    <w:pStyle w:val="29"/>
                  </w:pPr>
                  <w:r>
                    <w:rPr>
                      <w:rFonts w:hint="eastAsia"/>
                    </w:rPr>
                    <w:t>8</w:t>
                  </w:r>
                </w:p>
              </w:tc>
              <w:tc>
                <w:tcPr>
                  <w:tcW w:w="1705" w:type="pct"/>
                  <w:vAlign w:val="center"/>
                </w:tcPr>
                <w:p w14:paraId="79F84002">
                  <w:pPr>
                    <w:pStyle w:val="29"/>
                  </w:pPr>
                  <w:r>
                    <w:rPr>
                      <w:rFonts w:hint="eastAsia"/>
                    </w:rPr>
                    <w:t>-</w:t>
                  </w:r>
                </w:p>
              </w:tc>
              <w:tc>
                <w:tcPr>
                  <w:tcW w:w="841" w:type="pct"/>
                  <w:vAlign w:val="center"/>
                </w:tcPr>
                <w:p w14:paraId="43BC86EF">
                  <w:pPr>
                    <w:pStyle w:val="29"/>
                  </w:pPr>
                  <w:r>
                    <w:rPr>
                      <w:rFonts w:hint="eastAsia"/>
                    </w:rPr>
                    <w:t>≤8</w:t>
                  </w:r>
                </w:p>
              </w:tc>
            </w:tr>
            <w:tr w14:paraId="3313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14:paraId="0E7EB25D">
                  <w:pPr>
                    <w:pStyle w:val="29"/>
                    <w:rPr>
                      <w:color w:val="0000FF"/>
                    </w:rPr>
                  </w:pPr>
                  <w:r>
                    <w:rPr>
                      <w:rFonts w:hint="eastAsia"/>
                      <w:color w:val="0000FF"/>
                    </w:rPr>
                    <w:t>8</w:t>
                  </w:r>
                </w:p>
              </w:tc>
              <w:tc>
                <w:tcPr>
                  <w:tcW w:w="1039" w:type="pct"/>
                  <w:vAlign w:val="center"/>
                </w:tcPr>
                <w:p w14:paraId="2D8D45EB">
                  <w:pPr>
                    <w:pStyle w:val="29"/>
                    <w:rPr>
                      <w:color w:val="0000FF"/>
                    </w:rPr>
                  </w:pPr>
                  <w:r>
                    <w:rPr>
                      <w:rFonts w:hint="eastAsia"/>
                      <w:color w:val="0000FF"/>
                    </w:rPr>
                    <w:t>LAS</w:t>
                  </w:r>
                </w:p>
              </w:tc>
              <w:tc>
                <w:tcPr>
                  <w:tcW w:w="975" w:type="pct"/>
                  <w:vAlign w:val="center"/>
                </w:tcPr>
                <w:p w14:paraId="1FC021B0">
                  <w:pPr>
                    <w:pStyle w:val="29"/>
                    <w:rPr>
                      <w:color w:val="0000FF"/>
                    </w:rPr>
                  </w:pPr>
                  <w:r>
                    <w:rPr>
                      <w:rFonts w:hint="eastAsia"/>
                      <w:color w:val="0000FF"/>
                    </w:rPr>
                    <w:t>-</w:t>
                  </w:r>
                </w:p>
              </w:tc>
              <w:tc>
                <w:tcPr>
                  <w:tcW w:w="1705" w:type="pct"/>
                  <w:vAlign w:val="center"/>
                </w:tcPr>
                <w:p w14:paraId="28D92432">
                  <w:pPr>
                    <w:pStyle w:val="29"/>
                    <w:rPr>
                      <w:color w:val="0000FF"/>
                    </w:rPr>
                  </w:pPr>
                  <w:r>
                    <w:rPr>
                      <w:rFonts w:hint="eastAsia"/>
                      <w:color w:val="0000FF"/>
                    </w:rPr>
                    <w:t>20</w:t>
                  </w:r>
                </w:p>
              </w:tc>
              <w:tc>
                <w:tcPr>
                  <w:tcW w:w="841" w:type="pct"/>
                  <w:vAlign w:val="center"/>
                </w:tcPr>
                <w:p w14:paraId="2D4E620A">
                  <w:pPr>
                    <w:pStyle w:val="29"/>
                    <w:rPr>
                      <w:color w:val="0000FF"/>
                    </w:rPr>
                  </w:pPr>
                  <w:r>
                    <w:rPr>
                      <w:rFonts w:hint="eastAsia"/>
                      <w:color w:val="0000FF"/>
                    </w:rPr>
                    <w:t>20</w:t>
                  </w:r>
                </w:p>
              </w:tc>
            </w:tr>
          </w:tbl>
          <w:p w14:paraId="1D4E1334">
            <w:pPr>
              <w:ind w:firstLine="482"/>
              <w:rPr>
                <w:b/>
                <w:bCs/>
              </w:rPr>
            </w:pPr>
            <w:r>
              <w:rPr>
                <w:rFonts w:hint="eastAsia"/>
                <w:b/>
                <w:bCs/>
              </w:rPr>
              <w:t>3</w:t>
            </w:r>
            <w:r>
              <w:rPr>
                <w:b/>
                <w:bCs/>
              </w:rPr>
              <w:t>、噪声</w:t>
            </w:r>
          </w:p>
          <w:p w14:paraId="574374A7">
            <w:r>
              <w:rPr>
                <w:rFonts w:hint="eastAsia"/>
              </w:rPr>
              <w:t>运营期厂界噪声执行《工业企业厂界环境噪声排放标准》（GB12348-2008）中</w:t>
            </w:r>
            <w:r>
              <w:t>3</w:t>
            </w:r>
            <w:r>
              <w:rPr>
                <w:rFonts w:hint="eastAsia"/>
              </w:rPr>
              <w:t>类标准，具体标准限值</w:t>
            </w:r>
            <w:r>
              <w:t>见下表。</w:t>
            </w:r>
          </w:p>
          <w:p w14:paraId="51DEFE70">
            <w:pPr>
              <w:pStyle w:val="32"/>
              <w:keepNext/>
              <w:rPr>
                <w:rFonts w:hint="default"/>
              </w:rPr>
            </w:pPr>
            <w:r>
              <w:t>表3-9  工业企业厂界环境噪声排放标准  单位：dB（A）</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2410"/>
              <w:gridCol w:w="2190"/>
            </w:tblGrid>
            <w:tr w14:paraId="1A93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969" w:type="dxa"/>
                  <w:vAlign w:val="center"/>
                </w:tcPr>
                <w:p w14:paraId="72D3EB5F">
                  <w:pPr>
                    <w:pStyle w:val="29"/>
                  </w:pPr>
                  <w:r>
                    <w:t>标准</w:t>
                  </w:r>
                </w:p>
              </w:tc>
              <w:tc>
                <w:tcPr>
                  <w:tcW w:w="2413" w:type="dxa"/>
                  <w:vAlign w:val="center"/>
                </w:tcPr>
                <w:p w14:paraId="46F98FCD">
                  <w:pPr>
                    <w:pStyle w:val="29"/>
                  </w:pPr>
                  <w:r>
                    <w:t>昼间</w:t>
                  </w:r>
                </w:p>
              </w:tc>
              <w:tc>
                <w:tcPr>
                  <w:tcW w:w="2193" w:type="dxa"/>
                  <w:vAlign w:val="center"/>
                </w:tcPr>
                <w:p w14:paraId="6F0E81B6">
                  <w:pPr>
                    <w:pStyle w:val="29"/>
                  </w:pPr>
                  <w:r>
                    <w:t>夜间</w:t>
                  </w:r>
                </w:p>
              </w:tc>
            </w:tr>
            <w:tr w14:paraId="3780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969" w:type="dxa"/>
                  <w:vAlign w:val="center"/>
                </w:tcPr>
                <w:p w14:paraId="1A236E16">
                  <w:pPr>
                    <w:pStyle w:val="29"/>
                  </w:pPr>
                  <w:r>
                    <w:t>GB12348-2008中3类标准</w:t>
                  </w:r>
                </w:p>
              </w:tc>
              <w:tc>
                <w:tcPr>
                  <w:tcW w:w="2413" w:type="dxa"/>
                  <w:vAlign w:val="center"/>
                </w:tcPr>
                <w:p w14:paraId="5C430C2B">
                  <w:pPr>
                    <w:pStyle w:val="29"/>
                  </w:pPr>
                  <w:r>
                    <w:t>65</w:t>
                  </w:r>
                </w:p>
              </w:tc>
              <w:tc>
                <w:tcPr>
                  <w:tcW w:w="2193" w:type="dxa"/>
                  <w:vAlign w:val="center"/>
                </w:tcPr>
                <w:p w14:paraId="1336C715">
                  <w:pPr>
                    <w:pStyle w:val="29"/>
                  </w:pPr>
                  <w:r>
                    <w:t>55</w:t>
                  </w:r>
                </w:p>
              </w:tc>
            </w:tr>
          </w:tbl>
          <w:p w14:paraId="4C7CB462">
            <w:pPr>
              <w:ind w:firstLine="482"/>
              <w:rPr>
                <w:b/>
                <w:bCs/>
              </w:rPr>
            </w:pPr>
            <w:r>
              <w:rPr>
                <w:b/>
                <w:bCs/>
              </w:rPr>
              <w:t>4</w:t>
            </w:r>
            <w:r>
              <w:rPr>
                <w:rFonts w:hint="eastAsia"/>
                <w:b/>
                <w:bCs/>
              </w:rPr>
              <w:t>、</w:t>
            </w:r>
            <w:r>
              <w:rPr>
                <w:b/>
                <w:bCs/>
              </w:rPr>
              <w:t>固体废弃物</w:t>
            </w:r>
          </w:p>
          <w:p w14:paraId="6720E678">
            <w:r>
              <w:t>一般工业固体废物</w:t>
            </w:r>
            <w:r>
              <w:rPr>
                <w:rFonts w:hint="eastAsia"/>
              </w:rPr>
              <w:t>参照</w:t>
            </w:r>
            <w:r>
              <w:t>执行《</w:t>
            </w:r>
            <w:r>
              <w:rPr>
                <w:rFonts w:hint="eastAsia"/>
              </w:rPr>
              <w:t>一般工业固体废物贮存和填埋污染控制标准</w:t>
            </w:r>
            <w:r>
              <w:t>》</w:t>
            </w:r>
            <w:r>
              <w:rPr>
                <w:rFonts w:hint="eastAsia"/>
              </w:rPr>
              <w:t>（GB18599-2020）中的</w:t>
            </w:r>
            <w:r>
              <w:t>有关规定。</w:t>
            </w:r>
          </w:p>
        </w:tc>
      </w:tr>
      <w:tr w14:paraId="2C1C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5" w:hRule="atLeast"/>
          <w:jc w:val="center"/>
        </w:trPr>
        <w:tc>
          <w:tcPr>
            <w:tcW w:w="800" w:type="dxa"/>
            <w:vAlign w:val="center"/>
          </w:tcPr>
          <w:p w14:paraId="6AB5EFC3">
            <w:pPr>
              <w:adjustRightInd w:val="0"/>
              <w:snapToGrid w:val="0"/>
              <w:ind w:firstLine="0" w:firstLineChars="0"/>
              <w:jc w:val="center"/>
              <w:rPr>
                <w:rFonts w:hint="eastAsia" w:ascii="宋体" w:hAnsi="宋体" w:cs="宋体"/>
              </w:rPr>
            </w:pPr>
            <w:r>
              <w:rPr>
                <w:rFonts w:hint="eastAsia" w:ascii="宋体" w:hAnsi="宋体" w:cs="宋体"/>
              </w:rPr>
              <w:t>总量</w:t>
            </w:r>
          </w:p>
          <w:p w14:paraId="60BC03F3">
            <w:pPr>
              <w:adjustRightInd w:val="0"/>
              <w:snapToGrid w:val="0"/>
              <w:ind w:firstLine="0" w:firstLineChars="0"/>
              <w:jc w:val="center"/>
              <w:rPr>
                <w:rFonts w:hint="eastAsia" w:ascii="宋体" w:hAnsi="宋体" w:cs="宋体"/>
              </w:rPr>
            </w:pPr>
            <w:r>
              <w:rPr>
                <w:rFonts w:hint="eastAsia" w:ascii="宋体" w:hAnsi="宋体" w:cs="宋体"/>
              </w:rPr>
              <w:t>控制</w:t>
            </w:r>
          </w:p>
          <w:p w14:paraId="27F061A3">
            <w:pPr>
              <w:adjustRightInd w:val="0"/>
              <w:snapToGrid w:val="0"/>
              <w:ind w:firstLine="0" w:firstLineChars="0"/>
              <w:jc w:val="center"/>
              <w:rPr>
                <w:rFonts w:hint="eastAsia" w:ascii="宋体" w:hAnsi="宋体" w:cs="宋体"/>
                <w:szCs w:val="21"/>
              </w:rPr>
            </w:pPr>
            <w:r>
              <w:rPr>
                <w:rFonts w:hint="eastAsia" w:ascii="宋体" w:hAnsi="宋体" w:cs="宋体"/>
              </w:rPr>
              <w:t>指标</w:t>
            </w:r>
          </w:p>
        </w:tc>
        <w:tc>
          <w:tcPr>
            <w:tcW w:w="8190" w:type="dxa"/>
            <w:vAlign w:val="center"/>
          </w:tcPr>
          <w:p w14:paraId="4BDE7452">
            <w:pPr>
              <w:adjustRightInd w:val="0"/>
              <w:snapToGrid w:val="0"/>
              <w:jc w:val="left"/>
              <w:rPr>
                <w:color w:val="000000" w:themeColor="text1"/>
                <w14:textFill>
                  <w14:solidFill>
                    <w14:schemeClr w14:val="tx1"/>
                  </w14:solidFill>
                </w14:textFill>
              </w:rPr>
            </w:pPr>
            <w:r>
              <w:rPr>
                <w:color w:val="000000" w:themeColor="text1"/>
                <w14:textFill>
                  <w14:solidFill>
                    <w14:schemeClr w14:val="tx1"/>
                  </w14:solidFill>
                </w14:textFill>
              </w:rPr>
              <w:t>《关于进一步加强建设项目新增大气主要污染物总量指标管理工作的通知》（安徽省环保厅（皖环发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19号）：“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如下：</w:t>
            </w:r>
          </w:p>
          <w:p w14:paraId="302139EB">
            <w:pPr>
              <w:adjustRightInd w:val="0"/>
              <w:snapToGrid w:val="0"/>
              <w:rPr>
                <w:highlight w:val="yellow"/>
              </w:rPr>
            </w:pPr>
            <w:r>
              <w:rPr>
                <w:color w:val="000000" w:themeColor="text1"/>
                <w14:textFill>
                  <w14:solidFill>
                    <w14:schemeClr w14:val="tx1"/>
                  </w14:solidFill>
                </w14:textFill>
              </w:rPr>
              <w:t>自2017年04月起，新增大气主要污染物排放的建设项目环境影响评价文件审批前必须取得的总量指标从两项增加为四项。在二氧化硫（SO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）、氮氧化</w:t>
            </w:r>
            <w:r>
              <w:t>物（NO</w:t>
            </w:r>
            <w:r>
              <w:rPr>
                <w:vertAlign w:val="subscript"/>
              </w:rPr>
              <w:t>x</w:t>
            </w:r>
            <w:r>
              <w:t>）的基础上增加烟（粉）尘、挥发性有机物（VOCs）两项指标。</w:t>
            </w:r>
          </w:p>
          <w:p w14:paraId="05B7B4D5">
            <w:r>
              <w:rPr>
                <w:rFonts w:hint="eastAsia"/>
              </w:rPr>
              <w:t>本项目废水主要为生活污水和生产废水，生活污水经化粪池处理后的生活污水与经污水处理站处理的生产废水进入安徽淮相科技发展有限公司第二污水处理厂。水污染物排放总量</w:t>
            </w:r>
            <w:r>
              <w:t>纳入</w:t>
            </w:r>
            <w:r>
              <w:rPr>
                <w:rFonts w:hint="eastAsia"/>
              </w:rPr>
              <w:t>安徽淮相科技发展有限公司第二污水处理厂</w:t>
            </w:r>
            <w:r>
              <w:t>总量指标中，</w:t>
            </w:r>
            <w:r>
              <w:rPr>
                <w:rFonts w:hint="eastAsia"/>
              </w:rPr>
              <w:t>不</w:t>
            </w:r>
            <w:r>
              <w:t>需单独申请总量</w:t>
            </w:r>
            <w:r>
              <w:rPr>
                <w:rFonts w:hint="eastAsia"/>
              </w:rPr>
              <w:t>。</w:t>
            </w:r>
          </w:p>
          <w:p w14:paraId="73A0F54A">
            <w:pPr>
              <w:adjustRightInd w:val="0"/>
              <w:snapToGrid w:val="0"/>
              <w:jc w:val="left"/>
              <w:rPr>
                <w:bCs/>
                <w:color w:val="0000FF"/>
                <w:highlight w:val="yellow"/>
              </w:rPr>
            </w:pPr>
            <w:r>
              <w:t>根据主要环境影响和保护措施分析计算，</w:t>
            </w:r>
            <w:r>
              <w:rPr>
                <w:rFonts w:hint="eastAsia"/>
              </w:rPr>
              <w:t>本</w:t>
            </w:r>
            <w:r>
              <w:t>项目运营期排放的废气污染物</w:t>
            </w:r>
            <w:r>
              <w:rPr>
                <w:rFonts w:hint="eastAsia"/>
                <w:bCs/>
              </w:rPr>
              <w:t>排放量</w:t>
            </w:r>
            <w:r>
              <w:rPr>
                <w:bCs/>
              </w:rPr>
              <w:t>为：</w:t>
            </w:r>
            <w:r>
              <w:rPr>
                <w:rFonts w:hint="eastAsia"/>
                <w:bCs/>
                <w:color w:val="0000FF"/>
              </w:rPr>
              <w:t>颗粒物：0.000436</w:t>
            </w:r>
            <w:r>
              <w:rPr>
                <w:bCs/>
                <w:color w:val="0000FF"/>
              </w:rPr>
              <w:t>t/a</w:t>
            </w:r>
            <w:r>
              <w:rPr>
                <w:rFonts w:hint="eastAsia"/>
                <w:bCs/>
                <w:color w:val="0000FF"/>
              </w:rPr>
              <w:t>；SO</w:t>
            </w:r>
            <w:r>
              <w:rPr>
                <w:rFonts w:hint="eastAsia"/>
                <w:bCs/>
                <w:color w:val="0000FF"/>
                <w:vertAlign w:val="subscript"/>
              </w:rPr>
              <w:t>2</w:t>
            </w:r>
            <w:r>
              <w:rPr>
                <w:bCs/>
                <w:color w:val="0000FF"/>
              </w:rPr>
              <w:t>：</w:t>
            </w:r>
            <w:r>
              <w:rPr>
                <w:rFonts w:hint="eastAsia"/>
                <w:bCs/>
                <w:color w:val="0000FF"/>
              </w:rPr>
              <w:t>0.00126</w:t>
            </w:r>
            <w:r>
              <w:rPr>
                <w:bCs/>
                <w:color w:val="0000FF"/>
              </w:rPr>
              <w:t>t/a</w:t>
            </w:r>
            <w:r>
              <w:rPr>
                <w:rFonts w:hint="eastAsia"/>
                <w:bCs/>
                <w:color w:val="0000FF"/>
              </w:rPr>
              <w:t>、NO</w:t>
            </w:r>
            <w:r>
              <w:rPr>
                <w:rFonts w:hint="eastAsia"/>
                <w:bCs/>
                <w:color w:val="0000FF"/>
                <w:vertAlign w:val="subscript"/>
              </w:rPr>
              <w:t>X</w:t>
            </w:r>
            <w:r>
              <w:rPr>
                <w:rFonts w:hint="eastAsia"/>
                <w:bCs/>
                <w:color w:val="0000FF"/>
              </w:rPr>
              <w:t>：0.00605t/a</w:t>
            </w:r>
            <w:r>
              <w:rPr>
                <w:bCs/>
                <w:color w:val="0000FF"/>
              </w:rPr>
              <w:t>。</w:t>
            </w:r>
          </w:p>
          <w:p w14:paraId="00EF14A5">
            <w:pPr>
              <w:pStyle w:val="11"/>
              <w:ind w:left="480" w:firstLine="480"/>
              <w:rPr>
                <w:bCs/>
                <w:color w:val="FF0000"/>
                <w:highlight w:val="yellow"/>
              </w:rPr>
            </w:pPr>
          </w:p>
          <w:p w14:paraId="6EF79BAF">
            <w:pPr>
              <w:pStyle w:val="11"/>
              <w:ind w:left="0" w:leftChars="0" w:firstLine="0" w:firstLineChars="0"/>
            </w:pPr>
          </w:p>
        </w:tc>
      </w:tr>
    </w:tbl>
    <w:p w14:paraId="5E5BF021">
      <w:r>
        <w:br w:type="page"/>
      </w:r>
    </w:p>
    <w:p w14:paraId="08181BFA">
      <w:pPr>
        <w:ind w:firstLine="0" w:firstLineChars="0"/>
        <w:jc w:val="center"/>
        <w:outlineLvl w:val="0"/>
        <w:rPr>
          <w:rFonts w:hint="eastAsia" w:ascii="黑体" w:hAnsi="黑体" w:eastAsia="黑体"/>
          <w:snapToGrid w:val="0"/>
          <w:sz w:val="30"/>
          <w:szCs w:val="30"/>
        </w:rPr>
      </w:pPr>
      <w:bookmarkStart w:id="23" w:name="_Toc24176"/>
      <w:bookmarkStart w:id="24" w:name="_Toc68109905"/>
      <w:bookmarkStart w:id="25" w:name="_Toc29516"/>
      <w:bookmarkStart w:id="26" w:name="_Toc5340"/>
      <w:bookmarkStart w:id="27" w:name="_Toc20219"/>
      <w:r>
        <w:rPr>
          <w:rFonts w:hint="eastAsia" w:ascii="黑体" w:hAnsi="黑体" w:eastAsia="黑体"/>
          <w:snapToGrid w:val="0"/>
          <w:sz w:val="30"/>
          <w:szCs w:val="30"/>
        </w:rPr>
        <w:t>四、主要环境影响和保护措施</w:t>
      </w:r>
      <w:bookmarkEnd w:id="23"/>
      <w:bookmarkEnd w:id="24"/>
      <w:bookmarkEnd w:id="25"/>
      <w:bookmarkEnd w:id="26"/>
      <w:bookmarkEnd w:id="27"/>
    </w:p>
    <w:tbl>
      <w:tblPr>
        <w:tblStyle w:val="22"/>
        <w:tblW w:w="8639" w:type="dxa"/>
        <w:tblInd w:w="-19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1"/>
        <w:gridCol w:w="8198"/>
      </w:tblGrid>
      <w:tr w14:paraId="75549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2" w:hRule="atLeast"/>
        </w:trPr>
        <w:tc>
          <w:tcPr>
            <w:tcW w:w="441" w:type="dxa"/>
            <w:tcBorders>
              <w:tl2br w:val="nil"/>
              <w:tr2bl w:val="nil"/>
            </w:tcBorders>
            <w:tcMar>
              <w:left w:w="28" w:type="dxa"/>
              <w:right w:w="28" w:type="dxa"/>
            </w:tcMar>
            <w:vAlign w:val="center"/>
          </w:tcPr>
          <w:p w14:paraId="1FF5EE35">
            <w:pPr>
              <w:adjustRightInd w:val="0"/>
              <w:snapToGrid w:val="0"/>
              <w:ind w:firstLine="0" w:firstLineChars="0"/>
              <w:jc w:val="center"/>
              <w:rPr>
                <w:rFonts w:cs="宋体"/>
                <w:bCs/>
                <w:kern w:val="2"/>
              </w:rPr>
            </w:pPr>
            <w:r>
              <w:rPr>
                <w:rFonts w:hint="eastAsia" w:cs="宋体"/>
                <w:kern w:val="2"/>
              </w:rPr>
              <w:t>施工期环境保护措施</w:t>
            </w:r>
          </w:p>
        </w:tc>
        <w:tc>
          <w:tcPr>
            <w:tcW w:w="8198" w:type="dxa"/>
            <w:tcBorders>
              <w:tl2br w:val="nil"/>
              <w:tr2bl w:val="nil"/>
            </w:tcBorders>
            <w:vAlign w:val="center"/>
          </w:tcPr>
          <w:p w14:paraId="38C03D6C">
            <w:pPr>
              <w:pStyle w:val="6"/>
              <w:rPr>
                <w:rFonts w:hint="eastAsia" w:ascii="宋体" w:hAnsi="宋体" w:cs="宋体"/>
              </w:rPr>
            </w:pPr>
            <w:r>
              <w:rPr>
                <w:rFonts w:hint="eastAsia"/>
              </w:rPr>
              <w:t>项目租赁安徽淮北相山经济开发区凤冠路3号已建2#厂房，仅对生产设备进行安装</w:t>
            </w:r>
            <w:r>
              <w:rPr>
                <w:rFonts w:ascii="宋体" w:hAnsi="宋体" w:cs="宋体"/>
              </w:rPr>
              <w:t>。施工期产生的环境影响相对营运期而言属于短期和暂时影响，环境影响随着施工期的结束而消失，但仍需采取相应的环保措施降低对周边环境影响。</w:t>
            </w:r>
          </w:p>
          <w:p w14:paraId="42012DBA">
            <w:pPr>
              <w:pStyle w:val="7"/>
              <w:spacing w:before="0" w:after="0" w:line="360" w:lineRule="auto"/>
              <w:ind w:right="0"/>
              <w:rPr>
                <w:sz w:val="24"/>
                <w:szCs w:val="24"/>
              </w:rPr>
            </w:pPr>
            <w:r>
              <w:rPr>
                <w:sz w:val="24"/>
                <w:szCs w:val="24"/>
              </w:rPr>
              <w:t>1、废气防治措施</w:t>
            </w:r>
          </w:p>
          <w:p w14:paraId="42441C13">
            <w:pPr>
              <w:pStyle w:val="7"/>
              <w:spacing w:before="0" w:after="0" w:line="360" w:lineRule="auto"/>
              <w:ind w:right="0"/>
              <w:rPr>
                <w:sz w:val="24"/>
                <w:szCs w:val="24"/>
              </w:rPr>
            </w:pPr>
            <w:r>
              <w:rPr>
                <w:sz w:val="24"/>
                <w:szCs w:val="24"/>
              </w:rPr>
              <w:t>本项目不涉及土建工程，故施工过程中无施工扬尘，仅在施工过程中，施工机械会因为燃料的燃烧而产生一定的施工机械废气。一般施工机械燃料多为柴油，产生的废气中含有CO、NO、SO</w:t>
            </w:r>
            <w:r>
              <w:rPr>
                <w:sz w:val="24"/>
                <w:szCs w:val="24"/>
                <w:vertAlign w:val="subscript"/>
              </w:rPr>
              <w:t>2</w:t>
            </w:r>
            <w:r>
              <w:rPr>
                <w:sz w:val="24"/>
                <w:szCs w:val="24"/>
              </w:rPr>
              <w:t>等。该部分废气产生量极少，且产生时间有限。通过设备选型，控制燃料类型，选用清洁能源等方面，可有效减少施工机械废气产生。</w:t>
            </w:r>
          </w:p>
          <w:p w14:paraId="49F5E722">
            <w:pPr>
              <w:pStyle w:val="7"/>
              <w:spacing w:before="0" w:after="0" w:line="360" w:lineRule="auto"/>
              <w:ind w:right="0"/>
              <w:rPr>
                <w:sz w:val="24"/>
                <w:szCs w:val="24"/>
              </w:rPr>
            </w:pPr>
            <w:r>
              <w:rPr>
                <w:sz w:val="24"/>
                <w:szCs w:val="24"/>
              </w:rPr>
              <w:t>2、废水防治措施</w:t>
            </w:r>
          </w:p>
          <w:p w14:paraId="79B0E235">
            <w:pPr>
              <w:pStyle w:val="7"/>
              <w:spacing w:before="0" w:after="0" w:line="360" w:lineRule="auto"/>
              <w:ind w:right="0"/>
              <w:rPr>
                <w:sz w:val="24"/>
                <w:szCs w:val="24"/>
              </w:rPr>
            </w:pPr>
            <w:r>
              <w:rPr>
                <w:sz w:val="24"/>
                <w:szCs w:val="24"/>
              </w:rPr>
              <w:t>因涉及设备安装，故在施工期间，会产生施工人员生活污水。本项目施工期间，施工人数最多</w:t>
            </w:r>
            <w:r>
              <w:rPr>
                <w:rFonts w:hint="eastAsia"/>
                <w:sz w:val="24"/>
                <w:szCs w:val="24"/>
              </w:rPr>
              <w:t>8</w:t>
            </w:r>
            <w:r>
              <w:rPr>
                <w:sz w:val="24"/>
                <w:szCs w:val="24"/>
              </w:rPr>
              <w:t>人，根据《建筑施工计算手册》中施工现场生活用水定额为20~60L/人·d，本项目取生活用水定额为40L/人·d，故施工期间生活用水量为0.</w:t>
            </w:r>
            <w:r>
              <w:rPr>
                <w:rFonts w:hint="eastAsia"/>
                <w:sz w:val="24"/>
                <w:szCs w:val="24"/>
              </w:rPr>
              <w:t>32</w:t>
            </w:r>
            <w:r>
              <w:rPr>
                <w:sz w:val="24"/>
                <w:szCs w:val="24"/>
              </w:rPr>
              <w:t>m</w:t>
            </w:r>
            <w:r>
              <w:rPr>
                <w:rFonts w:hint="eastAsia"/>
                <w:sz w:val="24"/>
                <w:szCs w:val="24"/>
                <w:vertAlign w:val="superscript"/>
              </w:rPr>
              <w:t>3</w:t>
            </w:r>
            <w:r>
              <w:rPr>
                <w:sz w:val="24"/>
                <w:szCs w:val="24"/>
              </w:rPr>
              <w:t>/d，根据《给排水设计手册》，生活污水产生量按用水量的80%计，故施工过程中生活污水产生量为</w:t>
            </w:r>
            <w:r>
              <w:rPr>
                <w:rFonts w:hint="eastAsia"/>
                <w:sz w:val="24"/>
                <w:szCs w:val="24"/>
              </w:rPr>
              <w:t>0.256</w:t>
            </w:r>
            <w:r>
              <w:rPr>
                <w:sz w:val="24"/>
                <w:szCs w:val="24"/>
              </w:rPr>
              <w:t>m</w:t>
            </w:r>
            <w:r>
              <w:rPr>
                <w:sz w:val="24"/>
                <w:szCs w:val="24"/>
                <w:vertAlign w:val="superscript"/>
              </w:rPr>
              <w:t>3</w:t>
            </w:r>
            <w:r>
              <w:rPr>
                <w:sz w:val="24"/>
                <w:szCs w:val="24"/>
              </w:rPr>
              <w:t>/d，经化粪池处理后</w:t>
            </w:r>
            <w:r>
              <w:rPr>
                <w:rFonts w:hint="eastAsia"/>
                <w:sz w:val="24"/>
                <w:szCs w:val="24"/>
              </w:rPr>
              <w:t>进入市政管网</w:t>
            </w:r>
            <w:r>
              <w:rPr>
                <w:sz w:val="24"/>
                <w:szCs w:val="24"/>
              </w:rPr>
              <w:t>。</w:t>
            </w:r>
          </w:p>
          <w:p w14:paraId="11E309D0">
            <w:pPr>
              <w:pStyle w:val="7"/>
              <w:spacing w:before="0" w:after="0" w:line="360" w:lineRule="auto"/>
              <w:ind w:right="0"/>
              <w:rPr>
                <w:sz w:val="24"/>
                <w:szCs w:val="24"/>
              </w:rPr>
            </w:pPr>
            <w:r>
              <w:rPr>
                <w:sz w:val="24"/>
                <w:szCs w:val="24"/>
              </w:rPr>
              <w:t>3、噪声防治措施</w:t>
            </w:r>
          </w:p>
          <w:p w14:paraId="4DFC1C18">
            <w:pPr>
              <w:pStyle w:val="7"/>
              <w:spacing w:before="0" w:after="0" w:line="360" w:lineRule="auto"/>
              <w:ind w:right="0"/>
              <w:rPr>
                <w:sz w:val="24"/>
                <w:szCs w:val="24"/>
              </w:rPr>
            </w:pPr>
            <w:r>
              <w:rPr>
                <w:sz w:val="24"/>
                <w:szCs w:val="24"/>
              </w:rPr>
              <w:t>本项目施工期不涉及基建项目，仅为简单的设备安装，故施工过程中的噪声为点焊接、吊车等，设备噪声源强较小，施工期场界噪声对周边影响较小。</w:t>
            </w:r>
          </w:p>
          <w:p w14:paraId="5BCEB303">
            <w:pPr>
              <w:pStyle w:val="7"/>
              <w:spacing w:before="0" w:after="0" w:line="360" w:lineRule="auto"/>
              <w:ind w:right="0"/>
              <w:rPr>
                <w:sz w:val="24"/>
                <w:szCs w:val="24"/>
              </w:rPr>
            </w:pPr>
            <w:r>
              <w:rPr>
                <w:sz w:val="24"/>
                <w:szCs w:val="24"/>
              </w:rPr>
              <w:t>4、固体废物防治措施</w:t>
            </w:r>
          </w:p>
          <w:p w14:paraId="23B66251">
            <w:pPr>
              <w:adjustRightInd w:val="0"/>
              <w:snapToGrid w:val="0"/>
              <w:jc w:val="left"/>
              <w:rPr>
                <w:color w:val="000000"/>
                <w:kern w:val="2"/>
                <w:lang w:bidi="ar"/>
              </w:rPr>
            </w:pPr>
            <w:r>
              <w:t>施工期产生的固体废物主要是废弃的装修材料、设备安装边角料、材料包装箱、袋和生活垃圾等，上述垃圾由环卫统一清运处置，无随意倾倒现象，故不会对周围环境造成影响。</w:t>
            </w:r>
          </w:p>
          <w:p w14:paraId="26E68A4E">
            <w:pPr>
              <w:ind w:firstLine="0" w:firstLineChars="0"/>
            </w:pPr>
          </w:p>
        </w:tc>
      </w:tr>
      <w:tr w14:paraId="7C4D3B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1" w:hRule="atLeast"/>
        </w:trPr>
        <w:tc>
          <w:tcPr>
            <w:tcW w:w="441" w:type="dxa"/>
            <w:tcBorders>
              <w:tl2br w:val="nil"/>
              <w:tr2bl w:val="nil"/>
            </w:tcBorders>
            <w:tcMar>
              <w:left w:w="28" w:type="dxa"/>
              <w:right w:w="28" w:type="dxa"/>
            </w:tcMar>
            <w:vAlign w:val="center"/>
          </w:tcPr>
          <w:p w14:paraId="48B4F62E">
            <w:pPr>
              <w:adjustRightInd w:val="0"/>
              <w:snapToGrid w:val="0"/>
              <w:ind w:firstLine="0" w:firstLineChars="0"/>
              <w:jc w:val="center"/>
              <w:rPr>
                <w:rFonts w:hint="eastAsia" w:ascii="宋体" w:hAnsi="宋体" w:cs="宋体"/>
                <w:bCs/>
              </w:rPr>
            </w:pPr>
            <w:r>
              <w:rPr>
                <w:rFonts w:hint="eastAsia" w:ascii="宋体" w:hAnsi="宋体" w:cs="宋体"/>
                <w:bCs/>
              </w:rPr>
              <w:t>运营</w:t>
            </w:r>
          </w:p>
          <w:p w14:paraId="61551CD9">
            <w:pPr>
              <w:adjustRightInd w:val="0"/>
              <w:snapToGrid w:val="0"/>
              <w:ind w:firstLine="0" w:firstLineChars="0"/>
              <w:jc w:val="center"/>
              <w:rPr>
                <w:rFonts w:hint="eastAsia" w:ascii="宋体" w:hAnsi="宋体" w:cs="宋体"/>
                <w:bCs/>
              </w:rPr>
            </w:pPr>
            <w:r>
              <w:rPr>
                <w:rFonts w:hint="eastAsia" w:ascii="宋体" w:hAnsi="宋体" w:cs="宋体"/>
                <w:bCs/>
              </w:rPr>
              <w:t>期环</w:t>
            </w:r>
          </w:p>
          <w:p w14:paraId="19409E61">
            <w:pPr>
              <w:adjustRightInd w:val="0"/>
              <w:snapToGrid w:val="0"/>
              <w:ind w:firstLine="0" w:firstLineChars="0"/>
              <w:jc w:val="center"/>
              <w:rPr>
                <w:rFonts w:hint="eastAsia" w:ascii="宋体" w:hAnsi="宋体" w:cs="宋体"/>
                <w:bCs/>
              </w:rPr>
            </w:pPr>
            <w:r>
              <w:rPr>
                <w:rFonts w:hint="eastAsia" w:ascii="宋体" w:hAnsi="宋体" w:cs="宋体"/>
                <w:bCs/>
              </w:rPr>
              <w:t>境影</w:t>
            </w:r>
          </w:p>
          <w:p w14:paraId="5F08B824">
            <w:pPr>
              <w:adjustRightInd w:val="0"/>
              <w:snapToGrid w:val="0"/>
              <w:ind w:firstLine="0" w:firstLineChars="0"/>
              <w:jc w:val="center"/>
              <w:rPr>
                <w:rFonts w:hint="eastAsia" w:ascii="宋体" w:hAnsi="宋体" w:cs="宋体"/>
                <w:bCs/>
              </w:rPr>
            </w:pPr>
            <w:r>
              <w:rPr>
                <w:rFonts w:hint="eastAsia" w:ascii="宋体" w:hAnsi="宋体" w:cs="宋体"/>
                <w:bCs/>
              </w:rPr>
              <w:t>响和</w:t>
            </w:r>
          </w:p>
          <w:p w14:paraId="6C8D332A">
            <w:pPr>
              <w:adjustRightInd w:val="0"/>
              <w:snapToGrid w:val="0"/>
              <w:ind w:firstLine="0" w:firstLineChars="0"/>
              <w:jc w:val="center"/>
              <w:rPr>
                <w:rFonts w:hint="eastAsia" w:ascii="宋体" w:hAnsi="宋体" w:cs="宋体"/>
                <w:bCs/>
              </w:rPr>
            </w:pPr>
            <w:r>
              <w:rPr>
                <w:rFonts w:hint="eastAsia" w:ascii="宋体" w:hAnsi="宋体" w:cs="宋体"/>
                <w:bCs/>
              </w:rPr>
              <w:t>保护</w:t>
            </w:r>
          </w:p>
          <w:p w14:paraId="7FF0B649">
            <w:pPr>
              <w:adjustRightInd w:val="0"/>
              <w:snapToGrid w:val="0"/>
              <w:ind w:firstLine="0" w:firstLineChars="0"/>
              <w:jc w:val="center"/>
              <w:rPr>
                <w:rFonts w:hint="eastAsia" w:ascii="宋体" w:hAnsi="宋体" w:cs="宋体"/>
                <w:bCs/>
                <w:szCs w:val="21"/>
              </w:rPr>
            </w:pPr>
            <w:r>
              <w:rPr>
                <w:rFonts w:hint="eastAsia" w:ascii="宋体" w:hAnsi="宋体" w:cs="宋体"/>
                <w:bCs/>
              </w:rPr>
              <w:t>措施</w:t>
            </w:r>
          </w:p>
        </w:tc>
        <w:tc>
          <w:tcPr>
            <w:tcW w:w="8198" w:type="dxa"/>
            <w:tcBorders>
              <w:tl2br w:val="nil"/>
              <w:tr2bl w:val="nil"/>
            </w:tcBorders>
            <w:vAlign w:val="center"/>
          </w:tcPr>
          <w:p w14:paraId="508DFB3D">
            <w:pPr>
              <w:ind w:firstLine="482"/>
              <w:rPr>
                <w:b/>
                <w:bCs/>
              </w:rPr>
            </w:pPr>
            <w:r>
              <w:rPr>
                <w:rFonts w:hint="eastAsia"/>
                <w:b/>
                <w:bCs/>
              </w:rPr>
              <w:t>1、废气</w:t>
            </w:r>
          </w:p>
          <w:p w14:paraId="71EC4293">
            <w:r>
              <w:rPr>
                <w:rFonts w:hint="eastAsia"/>
              </w:rPr>
              <w:t>（1）废气源强及影响分析</w:t>
            </w:r>
          </w:p>
          <w:p w14:paraId="0FC3056E">
            <w:pPr>
              <w:adjustRightInd w:val="0"/>
              <w:snapToGrid w:val="0"/>
              <w:jc w:val="left"/>
            </w:pPr>
            <w:r>
              <w:rPr>
                <w:rFonts w:hint="eastAsia"/>
              </w:rPr>
              <w:t>本项目生产过程中产生的大气污染物主要为蒸煮异味、蒸汽发生器燃烧废气、炒制的油烟废气、污水处理站恶臭。</w:t>
            </w:r>
          </w:p>
          <w:p w14:paraId="47B40289">
            <w:r>
              <w:rPr>
                <w:rFonts w:hint="eastAsia"/>
              </w:rPr>
              <w:t>①蒸煮异味</w:t>
            </w:r>
          </w:p>
          <w:p w14:paraId="5FD216BD">
            <w:r>
              <w:rPr>
                <w:rFonts w:hint="eastAsia" w:ascii="宋体" w:hAnsi="宋体" w:cs="宋体"/>
              </w:rPr>
              <w:t>蒸煮</w:t>
            </w:r>
            <w:r>
              <w:rPr>
                <w:rFonts w:ascii="宋体" w:hAnsi="宋体" w:cs="宋体"/>
              </w:rPr>
              <w:t>过程会产生少量气味，主要为食品香气，对人体没有危害，本项目不做定量分析。</w:t>
            </w:r>
          </w:p>
          <w:p w14:paraId="19BF29C1">
            <w:pPr>
              <w:adjustRightInd w:val="0"/>
              <w:snapToGrid w:val="0"/>
              <w:jc w:val="left"/>
              <w:rPr>
                <w:color w:val="000000"/>
              </w:rPr>
            </w:pPr>
            <w:r>
              <w:rPr>
                <w:rFonts w:hint="eastAsia"/>
                <w:color w:val="000000"/>
              </w:rPr>
              <w:t>②蒸汽发生器燃烧废气</w:t>
            </w:r>
          </w:p>
          <w:p w14:paraId="55B18377">
            <w:pPr>
              <w:adjustRightInd w:val="0"/>
              <w:snapToGrid w:val="0"/>
              <w:jc w:val="left"/>
              <w:rPr>
                <w:color w:val="0000FF"/>
              </w:rPr>
            </w:pPr>
            <w:r>
              <w:rPr>
                <w:color w:val="0000FF"/>
              </w:rPr>
              <w:t>本项目为</w:t>
            </w:r>
            <w:r>
              <w:rPr>
                <w:rFonts w:hint="eastAsia"/>
                <w:color w:val="0000FF"/>
              </w:rPr>
              <w:t>冷冻食品制造</w:t>
            </w:r>
            <w:r>
              <w:rPr>
                <w:color w:val="0000FF"/>
              </w:rPr>
              <w:t>，项目</w:t>
            </w:r>
            <w:r>
              <w:rPr>
                <w:rFonts w:hint="eastAsia"/>
                <w:color w:val="0000FF"/>
              </w:rPr>
              <w:t>的焯菜工序需要使用蒸汽加热，本项目使用一台0.03t/h的蒸汽发生器（液化石油气）用于蒸汽供热，每天运行3h，年工作300天，本项目使用4.0t的液化石油气。</w:t>
            </w:r>
          </w:p>
          <w:p w14:paraId="160D4878">
            <w:pPr>
              <w:adjustRightInd w:val="0"/>
              <w:snapToGrid w:val="0"/>
            </w:pPr>
            <w:r>
              <w:rPr>
                <w:rFonts w:hint="eastAsia"/>
              </w:rPr>
              <w:t>根据《排放源统计调查产排污核算方法和系数手册》（公告2021年第24号）中锅炉产排污量核算系数手册中的4430工业锅炉（热力生产和供应行业）产污系数表-</w:t>
            </w:r>
            <w:r>
              <w:rPr>
                <w:rFonts w:hint="eastAsia"/>
                <w:color w:val="000000"/>
                <w:szCs w:val="28"/>
              </w:rPr>
              <w:t>燃气</w:t>
            </w:r>
            <w:r>
              <w:rPr>
                <w:rFonts w:hint="eastAsia"/>
              </w:rPr>
              <w:t>工业锅炉，详见下表：</w:t>
            </w:r>
          </w:p>
          <w:p w14:paraId="16A1EE13">
            <w:pPr>
              <w:adjustRightInd w:val="0"/>
              <w:snapToGrid w:val="0"/>
              <w:spacing w:line="240" w:lineRule="auto"/>
              <w:ind w:firstLine="0" w:firstLineChars="0"/>
              <w:jc w:val="center"/>
              <w:rPr>
                <w:b/>
                <w:bCs/>
              </w:rPr>
            </w:pPr>
            <w:r>
              <w:rPr>
                <w:rFonts w:hint="eastAsia"/>
                <w:b/>
                <w:bCs/>
              </w:rPr>
              <w:t>表4-1  工业锅炉（热力生产和供应行业）产污系数表-燃气工业锅炉</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05"/>
              <w:gridCol w:w="1016"/>
              <w:gridCol w:w="1028"/>
              <w:gridCol w:w="1281"/>
              <w:gridCol w:w="1591"/>
              <w:gridCol w:w="1065"/>
            </w:tblGrid>
            <w:tr w14:paraId="61F3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Align w:val="center"/>
                </w:tcPr>
                <w:p w14:paraId="5D371782">
                  <w:pPr>
                    <w:adjustRightInd w:val="0"/>
                    <w:snapToGrid w:val="0"/>
                    <w:spacing w:line="240" w:lineRule="auto"/>
                    <w:ind w:firstLine="0" w:firstLineChars="0"/>
                    <w:jc w:val="center"/>
                    <w:rPr>
                      <w:sz w:val="21"/>
                      <w:szCs w:val="21"/>
                    </w:rPr>
                  </w:pPr>
                  <w:r>
                    <w:rPr>
                      <w:sz w:val="21"/>
                      <w:szCs w:val="21"/>
                    </w:rPr>
                    <w:t>产品名称</w:t>
                  </w:r>
                </w:p>
              </w:tc>
              <w:tc>
                <w:tcPr>
                  <w:tcW w:w="1028" w:type="dxa"/>
                  <w:vAlign w:val="center"/>
                </w:tcPr>
                <w:p w14:paraId="258DB071">
                  <w:pPr>
                    <w:adjustRightInd w:val="0"/>
                    <w:snapToGrid w:val="0"/>
                    <w:spacing w:line="240" w:lineRule="auto"/>
                    <w:ind w:firstLine="0" w:firstLineChars="0"/>
                    <w:jc w:val="center"/>
                    <w:rPr>
                      <w:sz w:val="21"/>
                      <w:szCs w:val="21"/>
                    </w:rPr>
                  </w:pPr>
                  <w:r>
                    <w:rPr>
                      <w:sz w:val="21"/>
                      <w:szCs w:val="21"/>
                    </w:rPr>
                    <w:t>原料名称</w:t>
                  </w:r>
                </w:p>
              </w:tc>
              <w:tc>
                <w:tcPr>
                  <w:tcW w:w="1040" w:type="dxa"/>
                  <w:vAlign w:val="center"/>
                </w:tcPr>
                <w:p w14:paraId="47B6AD33">
                  <w:pPr>
                    <w:adjustRightInd w:val="0"/>
                    <w:snapToGrid w:val="0"/>
                    <w:spacing w:line="240" w:lineRule="auto"/>
                    <w:ind w:firstLine="0" w:firstLineChars="0"/>
                    <w:jc w:val="center"/>
                    <w:rPr>
                      <w:sz w:val="21"/>
                      <w:szCs w:val="21"/>
                    </w:rPr>
                  </w:pPr>
                  <w:r>
                    <w:rPr>
                      <w:sz w:val="21"/>
                      <w:szCs w:val="21"/>
                    </w:rPr>
                    <w:t>工艺名称</w:t>
                  </w:r>
                </w:p>
              </w:tc>
              <w:tc>
                <w:tcPr>
                  <w:tcW w:w="1052" w:type="dxa"/>
                  <w:vAlign w:val="center"/>
                </w:tcPr>
                <w:p w14:paraId="461F68AD">
                  <w:pPr>
                    <w:adjustRightInd w:val="0"/>
                    <w:snapToGrid w:val="0"/>
                    <w:spacing w:line="240" w:lineRule="auto"/>
                    <w:ind w:firstLine="0" w:firstLineChars="0"/>
                    <w:jc w:val="center"/>
                    <w:rPr>
                      <w:sz w:val="21"/>
                      <w:szCs w:val="21"/>
                    </w:rPr>
                  </w:pPr>
                  <w:r>
                    <w:rPr>
                      <w:sz w:val="21"/>
                      <w:szCs w:val="21"/>
                    </w:rPr>
                    <w:t>规模等级</w:t>
                  </w:r>
                </w:p>
              </w:tc>
              <w:tc>
                <w:tcPr>
                  <w:tcW w:w="1313" w:type="dxa"/>
                  <w:vAlign w:val="center"/>
                </w:tcPr>
                <w:p w14:paraId="3DFF84F2">
                  <w:pPr>
                    <w:adjustRightInd w:val="0"/>
                    <w:snapToGrid w:val="0"/>
                    <w:spacing w:line="240" w:lineRule="auto"/>
                    <w:ind w:firstLine="0" w:firstLineChars="0"/>
                    <w:jc w:val="center"/>
                    <w:rPr>
                      <w:sz w:val="21"/>
                      <w:szCs w:val="21"/>
                    </w:rPr>
                  </w:pPr>
                  <w:r>
                    <w:rPr>
                      <w:sz w:val="21"/>
                      <w:szCs w:val="21"/>
                    </w:rPr>
                    <w:t>污染物指标</w:t>
                  </w:r>
                </w:p>
              </w:tc>
              <w:tc>
                <w:tcPr>
                  <w:tcW w:w="1632" w:type="dxa"/>
                  <w:vAlign w:val="center"/>
                </w:tcPr>
                <w:p w14:paraId="0E9C186D">
                  <w:pPr>
                    <w:adjustRightInd w:val="0"/>
                    <w:snapToGrid w:val="0"/>
                    <w:spacing w:line="240" w:lineRule="auto"/>
                    <w:ind w:firstLine="0" w:firstLineChars="0"/>
                    <w:jc w:val="center"/>
                    <w:rPr>
                      <w:sz w:val="21"/>
                      <w:szCs w:val="21"/>
                    </w:rPr>
                  </w:pPr>
                  <w:r>
                    <w:rPr>
                      <w:sz w:val="21"/>
                      <w:szCs w:val="21"/>
                    </w:rPr>
                    <w:t>单位</w:t>
                  </w:r>
                </w:p>
              </w:tc>
              <w:tc>
                <w:tcPr>
                  <w:tcW w:w="1090" w:type="dxa"/>
                  <w:vAlign w:val="center"/>
                </w:tcPr>
                <w:p w14:paraId="1561BF47">
                  <w:pPr>
                    <w:adjustRightInd w:val="0"/>
                    <w:snapToGrid w:val="0"/>
                    <w:spacing w:line="240" w:lineRule="auto"/>
                    <w:ind w:firstLine="0" w:firstLineChars="0"/>
                    <w:jc w:val="center"/>
                    <w:rPr>
                      <w:sz w:val="21"/>
                      <w:szCs w:val="21"/>
                    </w:rPr>
                  </w:pPr>
                  <w:r>
                    <w:rPr>
                      <w:sz w:val="21"/>
                      <w:szCs w:val="21"/>
                    </w:rPr>
                    <w:t>产污系数</w:t>
                  </w:r>
                </w:p>
              </w:tc>
            </w:tr>
            <w:tr w14:paraId="21F2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restart"/>
                  <w:vAlign w:val="center"/>
                </w:tcPr>
                <w:p w14:paraId="60B33E6A">
                  <w:pPr>
                    <w:adjustRightInd w:val="0"/>
                    <w:snapToGrid w:val="0"/>
                    <w:spacing w:line="240" w:lineRule="auto"/>
                    <w:ind w:firstLine="0" w:firstLineChars="0"/>
                    <w:jc w:val="center"/>
                    <w:rPr>
                      <w:sz w:val="21"/>
                      <w:szCs w:val="21"/>
                    </w:rPr>
                  </w:pPr>
                  <w:r>
                    <w:rPr>
                      <w:sz w:val="21"/>
                      <w:szCs w:val="21"/>
                    </w:rPr>
                    <w:t>蒸汽/热水/其他</w:t>
                  </w:r>
                </w:p>
              </w:tc>
              <w:tc>
                <w:tcPr>
                  <w:tcW w:w="1028" w:type="dxa"/>
                  <w:vMerge w:val="restart"/>
                  <w:vAlign w:val="center"/>
                </w:tcPr>
                <w:p w14:paraId="576E541B">
                  <w:pPr>
                    <w:adjustRightInd w:val="0"/>
                    <w:snapToGrid w:val="0"/>
                    <w:spacing w:line="240" w:lineRule="auto"/>
                    <w:ind w:firstLine="0" w:firstLineChars="0"/>
                    <w:jc w:val="center"/>
                    <w:rPr>
                      <w:sz w:val="21"/>
                      <w:szCs w:val="21"/>
                    </w:rPr>
                  </w:pPr>
                  <w:r>
                    <w:rPr>
                      <w:sz w:val="21"/>
                      <w:szCs w:val="21"/>
                    </w:rPr>
                    <w:t>液化石油气</w:t>
                  </w:r>
                </w:p>
              </w:tc>
              <w:tc>
                <w:tcPr>
                  <w:tcW w:w="1040" w:type="dxa"/>
                  <w:vMerge w:val="restart"/>
                  <w:vAlign w:val="center"/>
                </w:tcPr>
                <w:p w14:paraId="3E9D635B">
                  <w:pPr>
                    <w:adjustRightInd w:val="0"/>
                    <w:snapToGrid w:val="0"/>
                    <w:spacing w:line="240" w:lineRule="auto"/>
                    <w:ind w:firstLine="0" w:firstLineChars="0"/>
                    <w:jc w:val="center"/>
                    <w:rPr>
                      <w:sz w:val="21"/>
                      <w:szCs w:val="21"/>
                    </w:rPr>
                  </w:pPr>
                  <w:r>
                    <w:rPr>
                      <w:sz w:val="21"/>
                      <w:szCs w:val="21"/>
                    </w:rPr>
                    <w:t>室燃炉</w:t>
                  </w:r>
                </w:p>
              </w:tc>
              <w:tc>
                <w:tcPr>
                  <w:tcW w:w="1052" w:type="dxa"/>
                  <w:vMerge w:val="restart"/>
                  <w:vAlign w:val="center"/>
                </w:tcPr>
                <w:p w14:paraId="36F961D7">
                  <w:pPr>
                    <w:adjustRightInd w:val="0"/>
                    <w:snapToGrid w:val="0"/>
                    <w:spacing w:line="240" w:lineRule="auto"/>
                    <w:ind w:firstLine="0" w:firstLineChars="0"/>
                    <w:jc w:val="center"/>
                    <w:rPr>
                      <w:sz w:val="21"/>
                      <w:szCs w:val="21"/>
                    </w:rPr>
                  </w:pPr>
                  <w:r>
                    <w:rPr>
                      <w:sz w:val="21"/>
                      <w:szCs w:val="21"/>
                    </w:rPr>
                    <w:t>所有规模</w:t>
                  </w:r>
                </w:p>
              </w:tc>
              <w:tc>
                <w:tcPr>
                  <w:tcW w:w="1313" w:type="dxa"/>
                  <w:vAlign w:val="center"/>
                </w:tcPr>
                <w:p w14:paraId="182B4F66">
                  <w:pPr>
                    <w:adjustRightInd w:val="0"/>
                    <w:snapToGrid w:val="0"/>
                    <w:spacing w:line="240" w:lineRule="auto"/>
                    <w:ind w:firstLine="0" w:firstLineChars="0"/>
                    <w:jc w:val="center"/>
                    <w:rPr>
                      <w:sz w:val="21"/>
                      <w:szCs w:val="21"/>
                    </w:rPr>
                  </w:pPr>
                  <w:r>
                    <w:rPr>
                      <w:sz w:val="21"/>
                      <w:szCs w:val="21"/>
                    </w:rPr>
                    <w:t>工业废气量</w:t>
                  </w:r>
                </w:p>
              </w:tc>
              <w:tc>
                <w:tcPr>
                  <w:tcW w:w="1632" w:type="dxa"/>
                  <w:vAlign w:val="center"/>
                </w:tcPr>
                <w:p w14:paraId="5091AACF">
                  <w:pPr>
                    <w:adjustRightInd w:val="0"/>
                    <w:snapToGrid w:val="0"/>
                    <w:spacing w:line="240" w:lineRule="auto"/>
                    <w:ind w:firstLine="0" w:firstLineChars="0"/>
                    <w:jc w:val="center"/>
                    <w:rPr>
                      <w:sz w:val="21"/>
                      <w:szCs w:val="21"/>
                    </w:rPr>
                  </w:pPr>
                  <w:r>
                    <w:rPr>
                      <w:sz w:val="21"/>
                      <w:szCs w:val="21"/>
                    </w:rPr>
                    <w:t>标立方米/吨-原料</w:t>
                  </w:r>
                </w:p>
              </w:tc>
              <w:tc>
                <w:tcPr>
                  <w:tcW w:w="1090" w:type="dxa"/>
                  <w:vAlign w:val="center"/>
                </w:tcPr>
                <w:p w14:paraId="7F52AE39">
                  <w:pPr>
                    <w:adjustRightInd w:val="0"/>
                    <w:snapToGrid w:val="0"/>
                    <w:spacing w:line="240" w:lineRule="auto"/>
                    <w:ind w:firstLine="0" w:firstLineChars="0"/>
                    <w:jc w:val="center"/>
                    <w:rPr>
                      <w:sz w:val="21"/>
                      <w:szCs w:val="21"/>
                    </w:rPr>
                  </w:pPr>
                  <w:r>
                    <w:rPr>
                      <w:sz w:val="21"/>
                      <w:szCs w:val="21"/>
                    </w:rPr>
                    <w:t>13237</w:t>
                  </w:r>
                </w:p>
              </w:tc>
            </w:tr>
            <w:tr w14:paraId="240B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vAlign w:val="center"/>
                </w:tcPr>
                <w:p w14:paraId="77782CA1">
                  <w:pPr>
                    <w:adjustRightInd w:val="0"/>
                    <w:snapToGrid w:val="0"/>
                    <w:spacing w:line="240" w:lineRule="auto"/>
                    <w:ind w:firstLine="0" w:firstLineChars="0"/>
                    <w:jc w:val="center"/>
                    <w:rPr>
                      <w:sz w:val="21"/>
                      <w:szCs w:val="21"/>
                    </w:rPr>
                  </w:pPr>
                </w:p>
              </w:tc>
              <w:tc>
                <w:tcPr>
                  <w:tcW w:w="1028" w:type="dxa"/>
                  <w:vMerge w:val="continue"/>
                  <w:vAlign w:val="center"/>
                </w:tcPr>
                <w:p w14:paraId="58551439">
                  <w:pPr>
                    <w:adjustRightInd w:val="0"/>
                    <w:snapToGrid w:val="0"/>
                    <w:spacing w:line="240" w:lineRule="auto"/>
                    <w:ind w:firstLine="0" w:firstLineChars="0"/>
                    <w:jc w:val="center"/>
                    <w:rPr>
                      <w:sz w:val="21"/>
                      <w:szCs w:val="21"/>
                    </w:rPr>
                  </w:pPr>
                </w:p>
              </w:tc>
              <w:tc>
                <w:tcPr>
                  <w:tcW w:w="1040" w:type="dxa"/>
                  <w:vMerge w:val="continue"/>
                  <w:vAlign w:val="center"/>
                </w:tcPr>
                <w:p w14:paraId="52F5B2BC">
                  <w:pPr>
                    <w:adjustRightInd w:val="0"/>
                    <w:snapToGrid w:val="0"/>
                    <w:spacing w:line="240" w:lineRule="auto"/>
                    <w:ind w:firstLine="0" w:firstLineChars="0"/>
                    <w:jc w:val="center"/>
                    <w:rPr>
                      <w:sz w:val="21"/>
                      <w:szCs w:val="21"/>
                    </w:rPr>
                  </w:pPr>
                </w:p>
              </w:tc>
              <w:tc>
                <w:tcPr>
                  <w:tcW w:w="1052" w:type="dxa"/>
                  <w:vMerge w:val="continue"/>
                  <w:vAlign w:val="center"/>
                </w:tcPr>
                <w:p w14:paraId="36D6C2F2">
                  <w:pPr>
                    <w:adjustRightInd w:val="0"/>
                    <w:snapToGrid w:val="0"/>
                    <w:spacing w:line="240" w:lineRule="auto"/>
                    <w:ind w:firstLine="0" w:firstLineChars="0"/>
                    <w:jc w:val="center"/>
                    <w:rPr>
                      <w:sz w:val="21"/>
                      <w:szCs w:val="21"/>
                    </w:rPr>
                  </w:pPr>
                </w:p>
              </w:tc>
              <w:tc>
                <w:tcPr>
                  <w:tcW w:w="1313" w:type="dxa"/>
                  <w:vAlign w:val="center"/>
                </w:tcPr>
                <w:p w14:paraId="68017FEC">
                  <w:pPr>
                    <w:adjustRightInd w:val="0"/>
                    <w:snapToGrid w:val="0"/>
                    <w:spacing w:line="240" w:lineRule="auto"/>
                    <w:ind w:firstLine="0" w:firstLineChars="0"/>
                    <w:jc w:val="center"/>
                    <w:rPr>
                      <w:sz w:val="21"/>
                      <w:szCs w:val="21"/>
                    </w:rPr>
                  </w:pPr>
                  <w:r>
                    <w:rPr>
                      <w:sz w:val="21"/>
                      <w:szCs w:val="21"/>
                    </w:rPr>
                    <w:t>二氧化硫</w:t>
                  </w:r>
                </w:p>
              </w:tc>
              <w:tc>
                <w:tcPr>
                  <w:tcW w:w="1632" w:type="dxa"/>
                  <w:vAlign w:val="center"/>
                </w:tcPr>
                <w:p w14:paraId="1C9581EA">
                  <w:pPr>
                    <w:adjustRightInd w:val="0"/>
                    <w:snapToGrid w:val="0"/>
                    <w:spacing w:line="240" w:lineRule="auto"/>
                    <w:ind w:firstLine="0" w:firstLineChars="0"/>
                    <w:jc w:val="center"/>
                    <w:rPr>
                      <w:sz w:val="21"/>
                      <w:szCs w:val="21"/>
                    </w:rPr>
                  </w:pPr>
                  <w:r>
                    <w:rPr>
                      <w:sz w:val="21"/>
                      <w:szCs w:val="21"/>
                    </w:rPr>
                    <w:t xml:space="preserve">千克/吨-原料 </w:t>
                  </w:r>
                </w:p>
              </w:tc>
              <w:tc>
                <w:tcPr>
                  <w:tcW w:w="1090" w:type="dxa"/>
                  <w:vAlign w:val="center"/>
                </w:tcPr>
                <w:p w14:paraId="2EA5A72E">
                  <w:pPr>
                    <w:adjustRightInd w:val="0"/>
                    <w:snapToGrid w:val="0"/>
                    <w:spacing w:line="240" w:lineRule="auto"/>
                    <w:ind w:firstLine="0" w:firstLineChars="0"/>
                    <w:jc w:val="center"/>
                    <w:rPr>
                      <w:sz w:val="21"/>
                      <w:szCs w:val="21"/>
                    </w:rPr>
                  </w:pPr>
                  <w:r>
                    <w:rPr>
                      <w:sz w:val="21"/>
                      <w:szCs w:val="21"/>
                    </w:rPr>
                    <w:t>0.00092S</w:t>
                  </w:r>
                </w:p>
              </w:tc>
            </w:tr>
            <w:tr w14:paraId="09B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0" w:type="dxa"/>
                  <w:vMerge w:val="continue"/>
                  <w:vAlign w:val="center"/>
                </w:tcPr>
                <w:p w14:paraId="628452EC">
                  <w:pPr>
                    <w:adjustRightInd w:val="0"/>
                    <w:snapToGrid w:val="0"/>
                    <w:spacing w:line="240" w:lineRule="auto"/>
                    <w:ind w:firstLine="0" w:firstLineChars="0"/>
                    <w:jc w:val="center"/>
                    <w:rPr>
                      <w:sz w:val="21"/>
                      <w:szCs w:val="21"/>
                    </w:rPr>
                  </w:pPr>
                </w:p>
              </w:tc>
              <w:tc>
                <w:tcPr>
                  <w:tcW w:w="1028" w:type="dxa"/>
                  <w:vMerge w:val="continue"/>
                  <w:vAlign w:val="center"/>
                </w:tcPr>
                <w:p w14:paraId="096E1270">
                  <w:pPr>
                    <w:adjustRightInd w:val="0"/>
                    <w:snapToGrid w:val="0"/>
                    <w:spacing w:line="240" w:lineRule="auto"/>
                    <w:ind w:firstLine="0" w:firstLineChars="0"/>
                    <w:jc w:val="center"/>
                    <w:rPr>
                      <w:sz w:val="21"/>
                      <w:szCs w:val="21"/>
                    </w:rPr>
                  </w:pPr>
                </w:p>
              </w:tc>
              <w:tc>
                <w:tcPr>
                  <w:tcW w:w="1040" w:type="dxa"/>
                  <w:vMerge w:val="continue"/>
                  <w:vAlign w:val="center"/>
                </w:tcPr>
                <w:p w14:paraId="5EC5F8F9">
                  <w:pPr>
                    <w:adjustRightInd w:val="0"/>
                    <w:snapToGrid w:val="0"/>
                    <w:spacing w:line="240" w:lineRule="auto"/>
                    <w:ind w:firstLine="0" w:firstLineChars="0"/>
                    <w:jc w:val="center"/>
                    <w:rPr>
                      <w:sz w:val="21"/>
                      <w:szCs w:val="21"/>
                    </w:rPr>
                  </w:pPr>
                </w:p>
              </w:tc>
              <w:tc>
                <w:tcPr>
                  <w:tcW w:w="1052" w:type="dxa"/>
                  <w:vMerge w:val="continue"/>
                  <w:vAlign w:val="center"/>
                </w:tcPr>
                <w:p w14:paraId="6BED61B0">
                  <w:pPr>
                    <w:adjustRightInd w:val="0"/>
                    <w:snapToGrid w:val="0"/>
                    <w:spacing w:line="240" w:lineRule="auto"/>
                    <w:ind w:firstLine="0" w:firstLineChars="0"/>
                    <w:jc w:val="center"/>
                    <w:rPr>
                      <w:sz w:val="21"/>
                      <w:szCs w:val="21"/>
                    </w:rPr>
                  </w:pPr>
                </w:p>
              </w:tc>
              <w:tc>
                <w:tcPr>
                  <w:tcW w:w="1313" w:type="dxa"/>
                  <w:vAlign w:val="center"/>
                </w:tcPr>
                <w:p w14:paraId="0CC99919">
                  <w:pPr>
                    <w:adjustRightInd w:val="0"/>
                    <w:snapToGrid w:val="0"/>
                    <w:spacing w:line="240" w:lineRule="auto"/>
                    <w:ind w:firstLine="0" w:firstLineChars="0"/>
                    <w:jc w:val="center"/>
                    <w:rPr>
                      <w:sz w:val="21"/>
                      <w:szCs w:val="21"/>
                    </w:rPr>
                  </w:pPr>
                  <w:r>
                    <w:rPr>
                      <w:sz w:val="21"/>
                      <w:szCs w:val="21"/>
                    </w:rPr>
                    <w:t>氮氧化物</w:t>
                  </w:r>
                </w:p>
              </w:tc>
              <w:tc>
                <w:tcPr>
                  <w:tcW w:w="1632" w:type="dxa"/>
                  <w:vAlign w:val="center"/>
                </w:tcPr>
                <w:p w14:paraId="2D0306CF">
                  <w:pPr>
                    <w:adjustRightInd w:val="0"/>
                    <w:snapToGrid w:val="0"/>
                    <w:spacing w:line="240" w:lineRule="auto"/>
                    <w:ind w:firstLine="0" w:firstLineChars="0"/>
                    <w:jc w:val="center"/>
                    <w:rPr>
                      <w:sz w:val="21"/>
                      <w:szCs w:val="21"/>
                    </w:rPr>
                  </w:pPr>
                  <w:r>
                    <w:rPr>
                      <w:sz w:val="21"/>
                      <w:szCs w:val="21"/>
                    </w:rPr>
                    <w:t>千克/吨-原料</w:t>
                  </w:r>
                </w:p>
              </w:tc>
              <w:tc>
                <w:tcPr>
                  <w:tcW w:w="1090" w:type="dxa"/>
                  <w:vAlign w:val="center"/>
                </w:tcPr>
                <w:p w14:paraId="68290BEA">
                  <w:pPr>
                    <w:adjustRightInd w:val="0"/>
                    <w:snapToGrid w:val="0"/>
                    <w:spacing w:line="240" w:lineRule="auto"/>
                    <w:ind w:firstLine="0" w:firstLineChars="0"/>
                    <w:jc w:val="center"/>
                    <w:rPr>
                      <w:sz w:val="21"/>
                      <w:szCs w:val="21"/>
                    </w:rPr>
                  </w:pPr>
                  <w:r>
                    <w:rPr>
                      <w:sz w:val="21"/>
                      <w:szCs w:val="21"/>
                    </w:rPr>
                    <w:t xml:space="preserve">2.75 </w:t>
                  </w:r>
                </w:p>
              </w:tc>
            </w:tr>
          </w:tbl>
          <w:p w14:paraId="6305F75D">
            <w:pPr>
              <w:adjustRightInd w:val="0"/>
              <w:snapToGrid w:val="0"/>
              <w:spacing w:before="156" w:beforeLines="50"/>
              <w:ind w:firstLine="420"/>
              <w:rPr>
                <w:sz w:val="21"/>
                <w:szCs w:val="21"/>
              </w:rPr>
            </w:pPr>
            <w:r>
              <w:rPr>
                <w:rFonts w:hint="eastAsia"/>
                <w:sz w:val="21"/>
                <w:szCs w:val="21"/>
              </w:rPr>
              <w:t>注：①产污系数表中二氧化硫的产污系数是以含硫量（S%）的形式表示的，其中含硫量（S%）是指燃气收到基硫分含量，单位为mg/m</w:t>
            </w:r>
            <w:r>
              <w:rPr>
                <w:rFonts w:hint="eastAsia"/>
                <w:sz w:val="21"/>
                <w:szCs w:val="21"/>
                <w:vertAlign w:val="superscript"/>
              </w:rPr>
              <w:t>3</w:t>
            </w:r>
            <w:r>
              <w:rPr>
                <w:rFonts w:hint="eastAsia"/>
                <w:sz w:val="21"/>
                <w:szCs w:val="21"/>
              </w:rPr>
              <w:t>。例如燃料中含硫量（S%）为200mg/m</w:t>
            </w:r>
            <w:r>
              <w:rPr>
                <w:rFonts w:hint="eastAsia"/>
                <w:sz w:val="21"/>
                <w:szCs w:val="21"/>
                <w:vertAlign w:val="superscript"/>
              </w:rPr>
              <w:t>3</w:t>
            </w:r>
            <w:r>
              <w:rPr>
                <w:rFonts w:hint="eastAsia"/>
                <w:sz w:val="21"/>
                <w:szCs w:val="21"/>
              </w:rPr>
              <w:t>，则S=200。根据《液化石油气》 ( GB11174-1997 )的规定，二类液化石油气含硫率不大于343mg/m</w:t>
            </w:r>
            <w:r>
              <w:rPr>
                <w:rFonts w:hint="eastAsia"/>
                <w:sz w:val="21"/>
                <w:szCs w:val="21"/>
                <w:vertAlign w:val="superscript"/>
              </w:rPr>
              <w:t>3</w:t>
            </w:r>
            <w:r>
              <w:rPr>
                <w:rFonts w:hint="eastAsia"/>
                <w:sz w:val="21"/>
                <w:szCs w:val="21"/>
              </w:rPr>
              <w:t>，故本项目S=343mg/m</w:t>
            </w:r>
            <w:r>
              <w:rPr>
                <w:rFonts w:hint="eastAsia"/>
                <w:sz w:val="21"/>
                <w:szCs w:val="21"/>
                <w:vertAlign w:val="superscript"/>
              </w:rPr>
              <w:t>3</w:t>
            </w:r>
            <w:r>
              <w:rPr>
                <w:rFonts w:hint="eastAsia"/>
                <w:sz w:val="21"/>
                <w:szCs w:val="21"/>
              </w:rPr>
              <w:t>。</w:t>
            </w:r>
          </w:p>
          <w:p w14:paraId="76EF99C0">
            <w:pPr>
              <w:pStyle w:val="6"/>
            </w:pPr>
            <w:r>
              <w:rPr>
                <w:color w:val="000000"/>
              </w:rPr>
              <w:t>颗粒物（烟尘）参考</w:t>
            </w:r>
            <w:r>
              <w:t>《排放源统计调查产排污核算方法和系数手册》（公告2021年第24号）中机械行业系数手册14 液化石油气工业炉窑产污系数为0.000220千克/立方米-原料。</w:t>
            </w:r>
            <w:r>
              <w:rPr>
                <w:color w:val="0000FF"/>
              </w:rPr>
              <w:t>本项目</w:t>
            </w:r>
            <w:r>
              <w:rPr>
                <w:rFonts w:hint="eastAsia"/>
                <w:color w:val="0000FF"/>
              </w:rPr>
              <w:t>年</w:t>
            </w:r>
            <w:r>
              <w:rPr>
                <w:color w:val="0000FF"/>
              </w:rPr>
              <w:t>使用</w:t>
            </w:r>
            <w:r>
              <w:rPr>
                <w:rFonts w:hint="eastAsia"/>
                <w:color w:val="0000FF"/>
              </w:rPr>
              <w:t>4.0</w:t>
            </w:r>
            <w:r>
              <w:rPr>
                <w:color w:val="0000FF"/>
              </w:rPr>
              <w:t>t液化石油气（在标准大气压下，13公斤的灌装液化石油气（LPG）大约等于6.45m</w:t>
            </w:r>
            <w:r>
              <w:rPr>
                <w:rFonts w:hint="eastAsia"/>
                <w:color w:val="0000FF"/>
                <w:vertAlign w:val="superscript"/>
              </w:rPr>
              <w:t>3</w:t>
            </w:r>
            <w:r>
              <w:rPr>
                <w:color w:val="0000FF"/>
              </w:rPr>
              <w:t>。这是基于液化石油气在标准大气压下的典型密度约为2.016kg/m</w:t>
            </w:r>
            <w:r>
              <w:rPr>
                <w:rFonts w:hint="eastAsia"/>
                <w:color w:val="0000FF"/>
                <w:vertAlign w:val="superscript"/>
              </w:rPr>
              <w:t>3</w:t>
            </w:r>
            <w:r>
              <w:rPr>
                <w:color w:val="0000FF"/>
              </w:rPr>
              <w:t>的计算结果</w:t>
            </w:r>
            <w:r>
              <w:rPr>
                <w:rFonts w:hint="eastAsia"/>
                <w:color w:val="0000FF"/>
              </w:rPr>
              <w:t>，则标压下为1984.1</w:t>
            </w:r>
            <w:r>
              <w:rPr>
                <w:color w:val="0000FF"/>
              </w:rPr>
              <w:t>m</w:t>
            </w:r>
            <w:r>
              <w:rPr>
                <w:color w:val="0000FF"/>
                <w:vertAlign w:val="superscript"/>
              </w:rPr>
              <w:t>3</w:t>
            </w:r>
            <w:r>
              <w:rPr>
                <w:color w:val="0000FF"/>
              </w:rPr>
              <w:t>）。则颗粒物产生量为0.000</w:t>
            </w:r>
            <w:r>
              <w:rPr>
                <w:rFonts w:hint="eastAsia"/>
                <w:color w:val="0000FF"/>
              </w:rPr>
              <w:t>436</w:t>
            </w:r>
            <w:r>
              <w:rPr>
                <w:color w:val="0000FF"/>
              </w:rPr>
              <w:t>t/a。</w:t>
            </w:r>
          </w:p>
          <w:p w14:paraId="60EA5B53">
            <w:pPr>
              <w:adjustRightInd w:val="0"/>
              <w:snapToGrid w:val="0"/>
              <w:rPr>
                <w:color w:val="000000"/>
              </w:rPr>
            </w:pPr>
            <w:r>
              <w:t>项目1台0.03t/h燃气蒸汽锅炉运行过程会产生液化石油气燃烧废气，主</w:t>
            </w:r>
            <w:r>
              <w:rPr>
                <w:rFonts w:hint="eastAsia"/>
              </w:rPr>
              <w:t>要污染因子为SO</w:t>
            </w:r>
            <w:r>
              <w:rPr>
                <w:rFonts w:hint="eastAsia"/>
                <w:vertAlign w:val="subscript"/>
              </w:rPr>
              <w:t>2</w:t>
            </w:r>
            <w:r>
              <w:rPr>
                <w:rFonts w:hint="eastAsia"/>
              </w:rPr>
              <w:t>、NO</w:t>
            </w:r>
            <w:r>
              <w:rPr>
                <w:rFonts w:hint="eastAsia"/>
                <w:vertAlign w:val="subscript"/>
              </w:rPr>
              <w:t>X</w:t>
            </w:r>
            <w:r>
              <w:rPr>
                <w:rFonts w:hint="eastAsia"/>
              </w:rPr>
              <w:t>及颗粒物。项目蒸汽发生器液化石油气用量为4.0t/a，运行时间按照年运行900h计算。</w:t>
            </w:r>
            <w:r>
              <w:rPr>
                <w:rFonts w:hint="eastAsia"/>
                <w:color w:val="000000"/>
              </w:rPr>
              <w:t>项目燃气废气</w:t>
            </w:r>
            <w:r>
              <w:rPr>
                <w:rFonts w:hint="eastAsia"/>
              </w:rPr>
              <w:t>经低氮燃烧器处理后</w:t>
            </w:r>
            <w:r>
              <w:rPr>
                <w:rFonts w:hint="eastAsia"/>
                <w:color w:val="000000"/>
              </w:rPr>
              <w:t>，尾气通过15m高排气筒（DA002）排放。</w:t>
            </w:r>
            <w:r>
              <w:rPr>
                <w:rFonts w:hint="eastAsia" w:ascii="宋体" w:hAnsi="宋体"/>
                <w:color w:val="0000FF"/>
              </w:rPr>
              <w:t>废气处理装置设计风量</w:t>
            </w:r>
            <w:r>
              <w:rPr>
                <w:rFonts w:hint="eastAsia"/>
                <w:color w:val="0000FF"/>
              </w:rPr>
              <w:t>约为1</w:t>
            </w:r>
            <w:r>
              <w:rPr>
                <w:color w:val="0000FF"/>
              </w:rPr>
              <w:t>000m</w:t>
            </w:r>
            <w:r>
              <w:rPr>
                <w:color w:val="0000FF"/>
                <w:vertAlign w:val="superscript"/>
              </w:rPr>
              <w:t>3</w:t>
            </w:r>
            <w:r>
              <w:rPr>
                <w:color w:val="0000FF"/>
              </w:rPr>
              <w:t>/h</w:t>
            </w:r>
            <w:r>
              <w:rPr>
                <w:rFonts w:hint="eastAsia"/>
                <w:color w:val="0000FF"/>
              </w:rPr>
              <w:t>，低氮燃烧器抑制效率取45%</w:t>
            </w:r>
            <w:r>
              <w:rPr>
                <w:color w:val="0000FF"/>
              </w:rPr>
              <w:t>。</w:t>
            </w:r>
          </w:p>
          <w:p w14:paraId="19BE73AB">
            <w:pPr>
              <w:adjustRightInd w:val="0"/>
              <w:snapToGrid w:val="0"/>
              <w:rPr>
                <w:color w:val="0000FF"/>
              </w:rPr>
            </w:pPr>
            <w:r>
              <w:rPr>
                <w:rFonts w:hint="eastAsia"/>
                <w:color w:val="0000FF"/>
              </w:rPr>
              <w:t>③炒制油烟</w:t>
            </w:r>
          </w:p>
          <w:p w14:paraId="3A682BE8">
            <w:pPr>
              <w:adjustRightInd w:val="0"/>
              <w:snapToGrid w:val="0"/>
              <w:rPr>
                <w:color w:val="0000FF"/>
              </w:rPr>
            </w:pPr>
            <w:r>
              <w:rPr>
                <w:rFonts w:hint="eastAsia"/>
                <w:color w:val="0000FF"/>
              </w:rPr>
              <w:t>本项目在炒制过程中会产生一定油烟，项目年生产300天，每天工作6小时，根据建设单位提供的资料，项目食用油消耗合计0.367t/d（110t/a），根据类比同类项目，炒制过程中油烟挥发量约占总耗油量的0.1%，则本项目油烟产生量为0.367kg/d（0.11t/a）。3个灶头设计风量为9000m</w:t>
            </w:r>
            <w:r>
              <w:rPr>
                <w:rFonts w:hint="eastAsia"/>
                <w:color w:val="0000FF"/>
                <w:vertAlign w:val="superscript"/>
              </w:rPr>
              <w:t>3</w:t>
            </w:r>
            <w:r>
              <w:rPr>
                <w:rFonts w:hint="eastAsia"/>
                <w:color w:val="0000FF"/>
              </w:rPr>
              <w:t>/h，静电油烟处理器去除效率为75%。则油烟排放量为0.0918kg/d（0.028t/a），排放速率为0.0156kg/h，排放浓度为1.73mg/m</w:t>
            </w:r>
            <w:r>
              <w:rPr>
                <w:rFonts w:hint="eastAsia"/>
                <w:color w:val="0000FF"/>
                <w:vertAlign w:val="superscript"/>
              </w:rPr>
              <w:t>3</w:t>
            </w:r>
            <w:r>
              <w:rPr>
                <w:rFonts w:hint="eastAsia"/>
                <w:color w:val="0000FF"/>
              </w:rPr>
              <w:t>。</w:t>
            </w:r>
          </w:p>
          <w:p w14:paraId="49693361">
            <w:pPr>
              <w:adjustRightInd w:val="0"/>
              <w:snapToGrid w:val="0"/>
              <w:rPr>
                <w:color w:val="000000"/>
              </w:rPr>
            </w:pPr>
            <w:r>
              <w:rPr>
                <w:rFonts w:hint="eastAsia"/>
                <w:color w:val="000000"/>
              </w:rPr>
              <w:t>④污水处理站恶臭</w:t>
            </w:r>
          </w:p>
          <w:p w14:paraId="63E4F0BE">
            <w:pPr>
              <w:adjustRightInd w:val="0"/>
              <w:snapToGrid w:val="0"/>
              <w:rPr>
                <w:color w:val="000000"/>
              </w:rPr>
            </w:pPr>
            <w:r>
              <w:rPr>
                <w:rFonts w:hint="eastAsia"/>
                <w:color w:val="000000"/>
              </w:rPr>
              <w:t>污水处理站恶臭主要来源于污水、污泥中有机物的分解、发酵过程中散发的化学物质，主要种类有：硫化物、氨、硫醇、甲基硫、粪臭素、酪酸、丙酸等。本项目污水处理站恶臭主要以氨和硫化氢计。</w:t>
            </w:r>
          </w:p>
          <w:p w14:paraId="60F4A76D">
            <w:pPr>
              <w:adjustRightInd w:val="0"/>
              <w:snapToGrid w:val="0"/>
              <w:rPr>
                <w:color w:val="0000FF"/>
                <w:highlight w:val="yellow"/>
              </w:rPr>
            </w:pPr>
            <w:r>
              <w:rPr>
                <w:rFonts w:hint="eastAsia"/>
              </w:rPr>
              <w:t>本项目污水处理站恶臭</w:t>
            </w:r>
            <w:r>
              <w:rPr>
                <w:rFonts w:hint="eastAsia"/>
                <w:color w:val="0000FF"/>
              </w:rPr>
              <w:t>污染物源强参考美国EPA对城市污水处理厂恶臭污染物产生情况的研究，每去除1g的BOD</w:t>
            </w:r>
            <w:r>
              <w:rPr>
                <w:rFonts w:hint="eastAsia"/>
                <w:color w:val="0000FF"/>
                <w:vertAlign w:val="subscript"/>
              </w:rPr>
              <w:t>5</w:t>
            </w:r>
            <w:r>
              <w:rPr>
                <w:rFonts w:hint="eastAsia"/>
                <w:color w:val="0000FF"/>
              </w:rPr>
              <w:t>，可产生0.0031g的NH</w:t>
            </w:r>
            <w:r>
              <w:rPr>
                <w:rFonts w:hint="eastAsia"/>
                <w:color w:val="0000FF"/>
                <w:vertAlign w:val="subscript"/>
              </w:rPr>
              <w:t>3</w:t>
            </w:r>
            <w:r>
              <w:rPr>
                <w:rFonts w:hint="eastAsia"/>
                <w:color w:val="0000FF"/>
              </w:rPr>
              <w:t>、0.00012gH</w:t>
            </w:r>
            <w:r>
              <w:rPr>
                <w:rFonts w:hint="eastAsia"/>
                <w:color w:val="0000FF"/>
                <w:vertAlign w:val="subscript"/>
              </w:rPr>
              <w:t>2</w:t>
            </w:r>
            <w:r>
              <w:rPr>
                <w:rFonts w:hint="eastAsia"/>
                <w:color w:val="0000FF"/>
              </w:rPr>
              <w:t>S。</w:t>
            </w:r>
            <w:r>
              <w:rPr>
                <w:bCs/>
                <w:color w:val="0000FF"/>
              </w:rPr>
              <w:t>根据项目废水源强分析，经计算BOD</w:t>
            </w:r>
            <w:r>
              <w:rPr>
                <w:bCs/>
                <w:color w:val="0000FF"/>
                <w:vertAlign w:val="subscript"/>
              </w:rPr>
              <w:t>5</w:t>
            </w:r>
            <w:r>
              <w:rPr>
                <w:bCs/>
                <w:color w:val="0000FF"/>
              </w:rPr>
              <w:t>削减了</w:t>
            </w:r>
            <w:r>
              <w:rPr>
                <w:rFonts w:hint="eastAsia"/>
                <w:bCs/>
                <w:color w:val="0000FF"/>
              </w:rPr>
              <w:t>3700</w:t>
            </w:r>
            <w:r>
              <w:rPr>
                <w:bCs/>
                <w:color w:val="0000FF"/>
              </w:rPr>
              <w:t>00g/a，计算可得污水处理站恶臭污染物NH</w:t>
            </w:r>
            <w:r>
              <w:rPr>
                <w:bCs/>
                <w:color w:val="0000FF"/>
                <w:vertAlign w:val="subscript"/>
              </w:rPr>
              <w:t>3</w:t>
            </w:r>
            <w:r>
              <w:rPr>
                <w:bCs/>
                <w:color w:val="0000FF"/>
              </w:rPr>
              <w:t>、H</w:t>
            </w:r>
            <w:r>
              <w:rPr>
                <w:bCs/>
                <w:color w:val="0000FF"/>
                <w:vertAlign w:val="subscript"/>
              </w:rPr>
              <w:t>2</w:t>
            </w:r>
            <w:r>
              <w:rPr>
                <w:bCs/>
                <w:color w:val="0000FF"/>
              </w:rPr>
              <w:t>S的产生量分别为</w:t>
            </w:r>
            <w:r>
              <w:rPr>
                <w:rFonts w:hint="eastAsia"/>
                <w:bCs/>
                <w:color w:val="0000FF"/>
              </w:rPr>
              <w:t>1.147</w:t>
            </w:r>
            <w:r>
              <w:rPr>
                <w:bCs/>
                <w:color w:val="0000FF"/>
              </w:rPr>
              <w:t>kg/a、</w:t>
            </w:r>
            <w:r>
              <w:rPr>
                <w:rFonts w:hint="eastAsia"/>
                <w:bCs/>
                <w:color w:val="0000FF"/>
              </w:rPr>
              <w:t>0.0444</w:t>
            </w:r>
            <w:r>
              <w:rPr>
                <w:bCs/>
                <w:color w:val="0000FF"/>
              </w:rPr>
              <w:t>kg/a</w:t>
            </w:r>
            <w:r>
              <w:rPr>
                <w:rFonts w:hint="eastAsia"/>
                <w:color w:val="0000FF"/>
              </w:rPr>
              <w:t>。废气产生量较小，通过加盖密闭、加强通风、定期除臭等措施后无组织排放。</w:t>
            </w:r>
          </w:p>
          <w:p w14:paraId="24C7EAD9">
            <w:pPr>
              <w:pStyle w:val="32"/>
              <w:rPr>
                <w:rFonts w:hint="default"/>
                <w:color w:val="0000FF"/>
              </w:rPr>
            </w:pPr>
            <w:r>
              <w:rPr>
                <w:color w:val="0000FF"/>
              </w:rPr>
              <w:t>表4-2  项目废气排放一览表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08"/>
              <w:gridCol w:w="618"/>
              <w:gridCol w:w="511"/>
              <w:gridCol w:w="538"/>
              <w:gridCol w:w="775"/>
              <w:gridCol w:w="558"/>
              <w:gridCol w:w="483"/>
              <w:gridCol w:w="445"/>
              <w:gridCol w:w="525"/>
              <w:gridCol w:w="617"/>
              <w:gridCol w:w="644"/>
              <w:gridCol w:w="564"/>
              <w:gridCol w:w="674"/>
            </w:tblGrid>
            <w:tr w14:paraId="213E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restart"/>
                  <w:vAlign w:val="center"/>
                </w:tcPr>
                <w:p w14:paraId="2489500A">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产排污环节</w:t>
                  </w:r>
                </w:p>
              </w:tc>
              <w:tc>
                <w:tcPr>
                  <w:tcW w:w="255" w:type="pct"/>
                  <w:vMerge w:val="restart"/>
                  <w:vAlign w:val="center"/>
                </w:tcPr>
                <w:p w14:paraId="42D054DE">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污染物种类</w:t>
                  </w:r>
                </w:p>
              </w:tc>
              <w:tc>
                <w:tcPr>
                  <w:tcW w:w="707" w:type="pct"/>
                  <w:gridSpan w:val="2"/>
                  <w:vAlign w:val="center"/>
                </w:tcPr>
                <w:p w14:paraId="4D549C31">
                  <w:pPr>
                    <w:pStyle w:val="4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污染物产生情况</w:t>
                  </w:r>
                </w:p>
              </w:tc>
              <w:tc>
                <w:tcPr>
                  <w:tcW w:w="337" w:type="pct"/>
                  <w:vMerge w:val="restart"/>
                  <w:vAlign w:val="center"/>
                </w:tcPr>
                <w:p w14:paraId="41F8F1F2">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w:t>
                  </w:r>
                </w:p>
                <w:p w14:paraId="0666AB35">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形式</w:t>
                  </w:r>
                </w:p>
              </w:tc>
              <w:tc>
                <w:tcPr>
                  <w:tcW w:w="1747" w:type="pct"/>
                  <w:gridSpan w:val="5"/>
                  <w:vAlign w:val="center"/>
                </w:tcPr>
                <w:p w14:paraId="2BC2BF03">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主要污染治理设施</w:t>
                  </w:r>
                </w:p>
              </w:tc>
              <w:tc>
                <w:tcPr>
                  <w:tcW w:w="1145" w:type="pct"/>
                  <w:gridSpan w:val="3"/>
                  <w:vAlign w:val="center"/>
                </w:tcPr>
                <w:p w14:paraId="692696C0">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污染物排放情况</w:t>
                  </w:r>
                </w:p>
              </w:tc>
              <w:tc>
                <w:tcPr>
                  <w:tcW w:w="423" w:type="pct"/>
                  <w:vAlign w:val="center"/>
                </w:tcPr>
                <w:p w14:paraId="08723A97">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排放标准</w:t>
                  </w:r>
                </w:p>
              </w:tc>
            </w:tr>
            <w:tr w14:paraId="0B07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vAlign w:val="center"/>
                </w:tcPr>
                <w:p w14:paraId="7261571E">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255" w:type="pct"/>
                  <w:vMerge w:val="continue"/>
                  <w:vAlign w:val="center"/>
                </w:tcPr>
                <w:p w14:paraId="1B580606">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387" w:type="pct"/>
                  <w:vAlign w:val="center"/>
                </w:tcPr>
                <w:p w14:paraId="1AEBCBDB">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产生量t/a</w:t>
                  </w:r>
                </w:p>
              </w:tc>
              <w:tc>
                <w:tcPr>
                  <w:tcW w:w="320" w:type="pct"/>
                  <w:vAlign w:val="center"/>
                </w:tcPr>
                <w:p w14:paraId="62F84276">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产生</w:t>
                  </w:r>
                </w:p>
                <w:p w14:paraId="691A81A8">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浓度mg/m</w:t>
                  </w:r>
                  <w:r>
                    <w:rPr>
                      <w:color w:val="000000" w:themeColor="text1"/>
                      <w:sz w:val="21"/>
                      <w:szCs w:val="21"/>
                      <w:vertAlign w:val="superscript"/>
                      <w14:textFill>
                        <w14:solidFill>
                          <w14:schemeClr w14:val="tx1"/>
                        </w14:solidFill>
                      </w14:textFill>
                    </w:rPr>
                    <w:t>3</w:t>
                  </w:r>
                </w:p>
              </w:tc>
              <w:tc>
                <w:tcPr>
                  <w:tcW w:w="337" w:type="pct"/>
                  <w:vMerge w:val="continue"/>
                  <w:vAlign w:val="center"/>
                </w:tcPr>
                <w:p w14:paraId="38ECED3D">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86" w:type="pct"/>
                  <w:vAlign w:val="center"/>
                </w:tcPr>
                <w:p w14:paraId="74560384">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治理措施</w:t>
                  </w:r>
                </w:p>
              </w:tc>
              <w:tc>
                <w:tcPr>
                  <w:tcW w:w="350" w:type="pct"/>
                  <w:vAlign w:val="center"/>
                </w:tcPr>
                <w:p w14:paraId="22D1CE4C">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处理</w:t>
                  </w:r>
                </w:p>
                <w:p w14:paraId="65E41073">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能力</w:t>
                  </w:r>
                </w:p>
              </w:tc>
              <w:tc>
                <w:tcPr>
                  <w:tcW w:w="303" w:type="pct"/>
                  <w:vAlign w:val="center"/>
                </w:tcPr>
                <w:p w14:paraId="7957F99E">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收集效率</w:t>
                  </w:r>
                </w:p>
              </w:tc>
              <w:tc>
                <w:tcPr>
                  <w:tcW w:w="279" w:type="pct"/>
                  <w:vAlign w:val="center"/>
                </w:tcPr>
                <w:p w14:paraId="3F102D8A">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抑制</w:t>
                  </w:r>
                  <w:r>
                    <w:rPr>
                      <w:color w:val="000000" w:themeColor="text1"/>
                      <w:sz w:val="21"/>
                      <w:szCs w:val="21"/>
                      <w14:textFill>
                        <w14:solidFill>
                          <w14:schemeClr w14:val="tx1"/>
                        </w14:solidFill>
                      </w14:textFill>
                    </w:rPr>
                    <w:t>效率</w:t>
                  </w:r>
                </w:p>
              </w:tc>
              <w:tc>
                <w:tcPr>
                  <w:tcW w:w="328" w:type="pct"/>
                  <w:vAlign w:val="center"/>
                </w:tcPr>
                <w:p w14:paraId="6AAFECCF">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是否为可行技术</w:t>
                  </w:r>
                </w:p>
              </w:tc>
              <w:tc>
                <w:tcPr>
                  <w:tcW w:w="387" w:type="pct"/>
                  <w:vAlign w:val="center"/>
                </w:tcPr>
                <w:p w14:paraId="7A1CADB1">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排放量t/a</w:t>
                  </w:r>
                </w:p>
              </w:tc>
              <w:tc>
                <w:tcPr>
                  <w:tcW w:w="404" w:type="pct"/>
                  <w:vAlign w:val="center"/>
                </w:tcPr>
                <w:p w14:paraId="3940601A">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排放速率kg/h</w:t>
                  </w:r>
                </w:p>
              </w:tc>
              <w:tc>
                <w:tcPr>
                  <w:tcW w:w="354" w:type="pct"/>
                  <w:vAlign w:val="center"/>
                </w:tcPr>
                <w:p w14:paraId="75B3A893">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排放浓度mg/m</w:t>
                  </w:r>
                  <w:r>
                    <w:rPr>
                      <w:color w:val="000000" w:themeColor="text1"/>
                      <w:sz w:val="21"/>
                      <w:szCs w:val="21"/>
                      <w:vertAlign w:val="superscript"/>
                      <w14:textFill>
                        <w14:solidFill>
                          <w14:schemeClr w14:val="tx1"/>
                        </w14:solidFill>
                      </w14:textFill>
                    </w:rPr>
                    <w:t>3</w:t>
                  </w:r>
                </w:p>
              </w:tc>
              <w:tc>
                <w:tcPr>
                  <w:tcW w:w="423" w:type="pct"/>
                  <w:vAlign w:val="center"/>
                </w:tcPr>
                <w:p w14:paraId="0856F529">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浓度限值mg/m</w:t>
                  </w:r>
                  <w:r>
                    <w:rPr>
                      <w:color w:val="000000" w:themeColor="text1"/>
                      <w:sz w:val="21"/>
                      <w:szCs w:val="21"/>
                      <w:vertAlign w:val="superscript"/>
                      <w14:textFill>
                        <w14:solidFill>
                          <w14:schemeClr w14:val="tx1"/>
                        </w14:solidFill>
                      </w14:textFill>
                    </w:rPr>
                    <w:t>3</w:t>
                  </w:r>
                </w:p>
              </w:tc>
            </w:tr>
            <w:tr w14:paraId="09B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restart"/>
                  <w:vAlign w:val="center"/>
                </w:tcPr>
                <w:p w14:paraId="4547F8E9">
                  <w:pPr>
                    <w:adjustRightInd w:val="0"/>
                    <w:snapToGrid w:val="0"/>
                    <w:spacing w:line="240" w:lineRule="auto"/>
                    <w:ind w:firstLine="0" w:firstLineChars="0"/>
                    <w:jc w:val="center"/>
                    <w:rPr>
                      <w:color w:val="0000FF"/>
                      <w:sz w:val="21"/>
                      <w:szCs w:val="21"/>
                    </w:rPr>
                  </w:pPr>
                  <w:r>
                    <w:rPr>
                      <w:rFonts w:hint="eastAsia"/>
                      <w:color w:val="0000FF"/>
                      <w:sz w:val="21"/>
                      <w:szCs w:val="21"/>
                    </w:rPr>
                    <w:t>蒸汽发生器</w:t>
                  </w:r>
                  <w:r>
                    <w:rPr>
                      <w:color w:val="0000FF"/>
                      <w:sz w:val="21"/>
                      <w:szCs w:val="21"/>
                    </w:rPr>
                    <w:t>废气</w:t>
                  </w:r>
                </w:p>
              </w:tc>
              <w:tc>
                <w:tcPr>
                  <w:tcW w:w="255" w:type="pct"/>
                  <w:vAlign w:val="center"/>
                </w:tcPr>
                <w:p w14:paraId="7524DDD4">
                  <w:pPr>
                    <w:adjustRightInd w:val="0"/>
                    <w:snapToGrid w:val="0"/>
                    <w:spacing w:line="240" w:lineRule="auto"/>
                    <w:ind w:firstLine="0" w:firstLineChars="0"/>
                    <w:jc w:val="center"/>
                    <w:rPr>
                      <w:color w:val="0000FF"/>
                      <w:sz w:val="21"/>
                      <w:szCs w:val="21"/>
                    </w:rPr>
                  </w:pPr>
                  <w:r>
                    <w:rPr>
                      <w:color w:val="0000FF"/>
                      <w:sz w:val="21"/>
                      <w:szCs w:val="21"/>
                    </w:rPr>
                    <w:t>颗粒物</w:t>
                  </w:r>
                </w:p>
              </w:tc>
              <w:tc>
                <w:tcPr>
                  <w:tcW w:w="387" w:type="pct"/>
                  <w:vAlign w:val="center"/>
                </w:tcPr>
                <w:p w14:paraId="225F1065">
                  <w:pPr>
                    <w:adjustRightInd w:val="0"/>
                    <w:snapToGrid w:val="0"/>
                    <w:spacing w:line="240" w:lineRule="auto"/>
                    <w:ind w:firstLine="0" w:firstLineChars="0"/>
                    <w:jc w:val="center"/>
                    <w:rPr>
                      <w:color w:val="0000FF"/>
                      <w:sz w:val="21"/>
                      <w:szCs w:val="21"/>
                    </w:rPr>
                  </w:pPr>
                  <w:r>
                    <w:rPr>
                      <w:color w:val="0000FF"/>
                      <w:sz w:val="21"/>
                      <w:szCs w:val="21"/>
                    </w:rPr>
                    <w:t>0.000</w:t>
                  </w:r>
                  <w:r>
                    <w:rPr>
                      <w:rFonts w:hint="eastAsia"/>
                      <w:color w:val="0000FF"/>
                      <w:sz w:val="21"/>
                      <w:szCs w:val="21"/>
                    </w:rPr>
                    <w:t>436</w:t>
                  </w:r>
                </w:p>
              </w:tc>
              <w:tc>
                <w:tcPr>
                  <w:tcW w:w="320" w:type="pct"/>
                  <w:vAlign w:val="center"/>
                </w:tcPr>
                <w:p w14:paraId="3404A844">
                  <w:pPr>
                    <w:adjustRightInd w:val="0"/>
                    <w:snapToGrid w:val="0"/>
                    <w:spacing w:line="240" w:lineRule="auto"/>
                    <w:ind w:firstLine="0" w:firstLineChars="0"/>
                    <w:jc w:val="center"/>
                    <w:rPr>
                      <w:color w:val="0000FF"/>
                      <w:sz w:val="21"/>
                      <w:szCs w:val="21"/>
                    </w:rPr>
                  </w:pPr>
                  <w:r>
                    <w:rPr>
                      <w:rFonts w:hint="eastAsia"/>
                      <w:color w:val="0000FF"/>
                      <w:sz w:val="21"/>
                      <w:szCs w:val="21"/>
                    </w:rPr>
                    <w:t>0.484</w:t>
                  </w:r>
                </w:p>
              </w:tc>
              <w:tc>
                <w:tcPr>
                  <w:tcW w:w="337" w:type="pct"/>
                  <w:vAlign w:val="center"/>
                </w:tcPr>
                <w:p w14:paraId="31B80DAC">
                  <w:pPr>
                    <w:adjustRightInd w:val="0"/>
                    <w:snapToGrid w:val="0"/>
                    <w:spacing w:line="240" w:lineRule="auto"/>
                    <w:ind w:firstLine="0" w:firstLineChars="0"/>
                    <w:jc w:val="center"/>
                    <w:rPr>
                      <w:color w:val="0000FF"/>
                      <w:sz w:val="21"/>
                      <w:szCs w:val="21"/>
                    </w:rPr>
                  </w:pPr>
                  <w:r>
                    <w:rPr>
                      <w:color w:val="0000FF"/>
                      <w:sz w:val="21"/>
                      <w:szCs w:val="21"/>
                    </w:rPr>
                    <w:t>有组织</w:t>
                  </w:r>
                </w:p>
              </w:tc>
              <w:tc>
                <w:tcPr>
                  <w:tcW w:w="486" w:type="pct"/>
                  <w:vMerge w:val="restart"/>
                  <w:vAlign w:val="center"/>
                </w:tcPr>
                <w:p w14:paraId="7CF15892">
                  <w:pPr>
                    <w:adjustRightInd w:val="0"/>
                    <w:snapToGrid w:val="0"/>
                    <w:spacing w:line="240" w:lineRule="auto"/>
                    <w:ind w:firstLine="0" w:firstLineChars="0"/>
                    <w:jc w:val="center"/>
                    <w:rPr>
                      <w:color w:val="0000FF"/>
                      <w:sz w:val="21"/>
                      <w:szCs w:val="21"/>
                    </w:rPr>
                  </w:pPr>
                  <w:r>
                    <w:rPr>
                      <w:color w:val="0000FF"/>
                      <w:sz w:val="21"/>
                      <w:szCs w:val="21"/>
                    </w:rPr>
                    <w:t>低氮燃烧器+15m高排气筒（DA00</w:t>
                  </w:r>
                  <w:r>
                    <w:rPr>
                      <w:rFonts w:hint="eastAsia"/>
                      <w:color w:val="0000FF"/>
                      <w:sz w:val="21"/>
                      <w:szCs w:val="21"/>
                    </w:rPr>
                    <w:t>2</w:t>
                  </w:r>
                  <w:r>
                    <w:rPr>
                      <w:color w:val="0000FF"/>
                      <w:sz w:val="21"/>
                      <w:szCs w:val="21"/>
                    </w:rPr>
                    <w:t>）</w:t>
                  </w:r>
                </w:p>
              </w:tc>
              <w:tc>
                <w:tcPr>
                  <w:tcW w:w="350" w:type="pct"/>
                  <w:vMerge w:val="restart"/>
                  <w:vAlign w:val="center"/>
                </w:tcPr>
                <w:p w14:paraId="51DFD81E">
                  <w:pPr>
                    <w:adjustRightInd w:val="0"/>
                    <w:snapToGrid w:val="0"/>
                    <w:spacing w:line="240" w:lineRule="auto"/>
                    <w:ind w:firstLine="0" w:firstLineChars="0"/>
                    <w:jc w:val="center"/>
                    <w:rPr>
                      <w:color w:val="0000FF"/>
                      <w:sz w:val="21"/>
                      <w:szCs w:val="21"/>
                    </w:rPr>
                  </w:pPr>
                  <w:r>
                    <w:rPr>
                      <w:rFonts w:hint="eastAsia"/>
                      <w:color w:val="0000FF"/>
                      <w:sz w:val="21"/>
                      <w:szCs w:val="21"/>
                    </w:rPr>
                    <w:t>10</w:t>
                  </w:r>
                  <w:r>
                    <w:rPr>
                      <w:color w:val="0000FF"/>
                      <w:sz w:val="21"/>
                      <w:szCs w:val="21"/>
                    </w:rPr>
                    <w:t>00</w:t>
                  </w:r>
                </w:p>
                <w:p w14:paraId="1372D323">
                  <w:pPr>
                    <w:adjustRightInd w:val="0"/>
                    <w:snapToGrid w:val="0"/>
                    <w:spacing w:line="240" w:lineRule="auto"/>
                    <w:ind w:firstLine="0" w:firstLineChars="0"/>
                    <w:jc w:val="center"/>
                    <w:rPr>
                      <w:color w:val="0000FF"/>
                      <w:sz w:val="21"/>
                      <w:szCs w:val="21"/>
                    </w:rPr>
                  </w:pPr>
                  <w:r>
                    <w:rPr>
                      <w:color w:val="0000FF"/>
                      <w:sz w:val="21"/>
                      <w:szCs w:val="21"/>
                    </w:rPr>
                    <w:t>m</w:t>
                  </w:r>
                  <w:r>
                    <w:rPr>
                      <w:color w:val="0000FF"/>
                      <w:sz w:val="21"/>
                      <w:szCs w:val="21"/>
                      <w:vertAlign w:val="superscript"/>
                    </w:rPr>
                    <w:t>3</w:t>
                  </w:r>
                  <w:r>
                    <w:rPr>
                      <w:color w:val="0000FF"/>
                      <w:sz w:val="21"/>
                      <w:szCs w:val="21"/>
                    </w:rPr>
                    <w:t>/h</w:t>
                  </w:r>
                </w:p>
              </w:tc>
              <w:tc>
                <w:tcPr>
                  <w:tcW w:w="303" w:type="pct"/>
                  <w:vMerge w:val="restart"/>
                  <w:vAlign w:val="center"/>
                </w:tcPr>
                <w:p w14:paraId="371AB032">
                  <w:pPr>
                    <w:adjustRightInd w:val="0"/>
                    <w:snapToGrid w:val="0"/>
                    <w:spacing w:line="240" w:lineRule="auto"/>
                    <w:ind w:firstLine="0" w:firstLineChars="0"/>
                    <w:jc w:val="center"/>
                    <w:rPr>
                      <w:color w:val="0000FF"/>
                      <w:sz w:val="21"/>
                      <w:szCs w:val="21"/>
                    </w:rPr>
                  </w:pPr>
                  <w:r>
                    <w:rPr>
                      <w:color w:val="0000FF"/>
                      <w:sz w:val="21"/>
                      <w:szCs w:val="21"/>
                    </w:rPr>
                    <w:t>100%</w:t>
                  </w:r>
                </w:p>
              </w:tc>
              <w:tc>
                <w:tcPr>
                  <w:tcW w:w="279" w:type="pct"/>
                  <w:vAlign w:val="center"/>
                </w:tcPr>
                <w:p w14:paraId="15E636C6">
                  <w:pPr>
                    <w:adjustRightInd w:val="0"/>
                    <w:snapToGrid w:val="0"/>
                    <w:spacing w:line="240" w:lineRule="auto"/>
                    <w:ind w:firstLine="0" w:firstLineChars="0"/>
                    <w:jc w:val="center"/>
                    <w:rPr>
                      <w:color w:val="0000FF"/>
                      <w:sz w:val="21"/>
                      <w:szCs w:val="21"/>
                    </w:rPr>
                  </w:pPr>
                  <w:r>
                    <w:rPr>
                      <w:color w:val="0000FF"/>
                      <w:sz w:val="21"/>
                      <w:szCs w:val="21"/>
                    </w:rPr>
                    <w:t>/</w:t>
                  </w:r>
                </w:p>
              </w:tc>
              <w:tc>
                <w:tcPr>
                  <w:tcW w:w="328" w:type="pct"/>
                  <w:vAlign w:val="center"/>
                </w:tcPr>
                <w:p w14:paraId="3BCFFDC8">
                  <w:pPr>
                    <w:adjustRightInd w:val="0"/>
                    <w:snapToGrid w:val="0"/>
                    <w:spacing w:line="240" w:lineRule="auto"/>
                    <w:ind w:firstLine="0" w:firstLineChars="0"/>
                    <w:jc w:val="center"/>
                    <w:rPr>
                      <w:color w:val="0000FF"/>
                      <w:sz w:val="21"/>
                      <w:szCs w:val="21"/>
                    </w:rPr>
                  </w:pPr>
                  <w:r>
                    <w:rPr>
                      <w:color w:val="0000FF"/>
                      <w:sz w:val="21"/>
                      <w:szCs w:val="21"/>
                    </w:rPr>
                    <w:t>/</w:t>
                  </w:r>
                </w:p>
              </w:tc>
              <w:tc>
                <w:tcPr>
                  <w:tcW w:w="387" w:type="pct"/>
                  <w:shd w:val="clear" w:color="auto" w:fill="auto"/>
                  <w:vAlign w:val="center"/>
                </w:tcPr>
                <w:p w14:paraId="3547AFCF">
                  <w:pPr>
                    <w:adjustRightInd w:val="0"/>
                    <w:snapToGrid w:val="0"/>
                    <w:spacing w:line="240" w:lineRule="auto"/>
                    <w:ind w:firstLine="0" w:firstLineChars="0"/>
                    <w:jc w:val="center"/>
                    <w:rPr>
                      <w:color w:val="0000FF"/>
                      <w:sz w:val="21"/>
                      <w:szCs w:val="21"/>
                    </w:rPr>
                  </w:pPr>
                  <w:r>
                    <w:rPr>
                      <w:color w:val="0000FF"/>
                      <w:sz w:val="21"/>
                      <w:szCs w:val="21"/>
                    </w:rPr>
                    <w:t>0.000</w:t>
                  </w:r>
                  <w:r>
                    <w:rPr>
                      <w:rFonts w:hint="eastAsia"/>
                      <w:color w:val="0000FF"/>
                      <w:sz w:val="21"/>
                      <w:szCs w:val="21"/>
                    </w:rPr>
                    <w:t>436</w:t>
                  </w:r>
                </w:p>
              </w:tc>
              <w:tc>
                <w:tcPr>
                  <w:tcW w:w="404" w:type="pct"/>
                  <w:shd w:val="clear" w:color="auto" w:fill="auto"/>
                  <w:vAlign w:val="center"/>
                </w:tcPr>
                <w:p w14:paraId="1A305CFC">
                  <w:pPr>
                    <w:adjustRightInd w:val="0"/>
                    <w:snapToGrid w:val="0"/>
                    <w:spacing w:line="240" w:lineRule="auto"/>
                    <w:ind w:firstLine="0" w:firstLineChars="0"/>
                    <w:jc w:val="center"/>
                    <w:rPr>
                      <w:color w:val="0000FF"/>
                      <w:sz w:val="21"/>
                      <w:szCs w:val="21"/>
                    </w:rPr>
                  </w:pPr>
                  <w:r>
                    <w:rPr>
                      <w:rFonts w:hint="eastAsia"/>
                      <w:color w:val="0000FF"/>
                      <w:sz w:val="21"/>
                      <w:szCs w:val="21"/>
                    </w:rPr>
                    <w:t>0.000484</w:t>
                  </w:r>
                </w:p>
              </w:tc>
              <w:tc>
                <w:tcPr>
                  <w:tcW w:w="354" w:type="pct"/>
                  <w:shd w:val="clear" w:color="auto" w:fill="auto"/>
                  <w:vAlign w:val="center"/>
                </w:tcPr>
                <w:p w14:paraId="4C6BFFA5">
                  <w:pPr>
                    <w:adjustRightInd w:val="0"/>
                    <w:snapToGrid w:val="0"/>
                    <w:spacing w:line="240" w:lineRule="auto"/>
                    <w:ind w:firstLine="0" w:firstLineChars="0"/>
                    <w:jc w:val="center"/>
                    <w:rPr>
                      <w:color w:val="0000FF"/>
                      <w:sz w:val="21"/>
                      <w:szCs w:val="21"/>
                    </w:rPr>
                  </w:pPr>
                  <w:r>
                    <w:rPr>
                      <w:rFonts w:hint="eastAsia"/>
                      <w:color w:val="0000FF"/>
                      <w:sz w:val="21"/>
                      <w:szCs w:val="21"/>
                    </w:rPr>
                    <w:t>0.484</w:t>
                  </w:r>
                </w:p>
              </w:tc>
              <w:tc>
                <w:tcPr>
                  <w:tcW w:w="423" w:type="pct"/>
                  <w:vAlign w:val="center"/>
                </w:tcPr>
                <w:p w14:paraId="663B3D72">
                  <w:pPr>
                    <w:pStyle w:val="31"/>
                    <w:spacing w:line="240" w:lineRule="auto"/>
                    <w:ind w:left="0"/>
                    <w:rPr>
                      <w:color w:val="0000FF"/>
                      <w:szCs w:val="21"/>
                    </w:rPr>
                  </w:pPr>
                  <w:r>
                    <w:rPr>
                      <w:color w:val="0000FF"/>
                      <w:szCs w:val="21"/>
                    </w:rPr>
                    <w:t>20</w:t>
                  </w:r>
                </w:p>
              </w:tc>
            </w:tr>
            <w:tr w14:paraId="19E6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vAlign w:val="center"/>
                </w:tcPr>
                <w:p w14:paraId="6F77082C">
                  <w:pPr>
                    <w:adjustRightInd w:val="0"/>
                    <w:snapToGrid w:val="0"/>
                    <w:spacing w:line="240" w:lineRule="auto"/>
                    <w:ind w:firstLine="0" w:firstLineChars="0"/>
                    <w:jc w:val="center"/>
                    <w:rPr>
                      <w:color w:val="0000FF"/>
                      <w:sz w:val="21"/>
                      <w:szCs w:val="21"/>
                    </w:rPr>
                  </w:pPr>
                </w:p>
              </w:tc>
              <w:tc>
                <w:tcPr>
                  <w:tcW w:w="255" w:type="pct"/>
                  <w:vAlign w:val="center"/>
                </w:tcPr>
                <w:p w14:paraId="44816F8D">
                  <w:pPr>
                    <w:adjustRightInd w:val="0"/>
                    <w:snapToGrid w:val="0"/>
                    <w:spacing w:line="240" w:lineRule="auto"/>
                    <w:ind w:firstLine="0" w:firstLineChars="0"/>
                    <w:jc w:val="center"/>
                    <w:rPr>
                      <w:color w:val="0000FF"/>
                      <w:sz w:val="21"/>
                      <w:szCs w:val="21"/>
                    </w:rPr>
                  </w:pPr>
                  <w:r>
                    <w:rPr>
                      <w:color w:val="0000FF"/>
                      <w:sz w:val="21"/>
                      <w:szCs w:val="21"/>
                    </w:rPr>
                    <w:t>SO</w:t>
                  </w:r>
                  <w:r>
                    <w:rPr>
                      <w:color w:val="0000FF"/>
                      <w:sz w:val="21"/>
                      <w:szCs w:val="21"/>
                      <w:vertAlign w:val="subscript"/>
                    </w:rPr>
                    <w:t>2</w:t>
                  </w:r>
                </w:p>
              </w:tc>
              <w:tc>
                <w:tcPr>
                  <w:tcW w:w="387" w:type="pct"/>
                  <w:vAlign w:val="center"/>
                </w:tcPr>
                <w:p w14:paraId="34A15FE5">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0.00126</w:t>
                  </w:r>
                </w:p>
              </w:tc>
              <w:tc>
                <w:tcPr>
                  <w:tcW w:w="320" w:type="pct"/>
                  <w:vAlign w:val="center"/>
                </w:tcPr>
                <w:p w14:paraId="2DE8AEB5">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1.4</w:t>
                  </w:r>
                </w:p>
              </w:tc>
              <w:tc>
                <w:tcPr>
                  <w:tcW w:w="337" w:type="pct"/>
                  <w:vAlign w:val="center"/>
                </w:tcPr>
                <w:p w14:paraId="5283196A">
                  <w:pPr>
                    <w:adjustRightInd w:val="0"/>
                    <w:snapToGrid w:val="0"/>
                    <w:spacing w:line="240" w:lineRule="auto"/>
                    <w:ind w:firstLine="0" w:firstLineChars="0"/>
                    <w:jc w:val="center"/>
                    <w:rPr>
                      <w:color w:val="0000FF"/>
                      <w:sz w:val="21"/>
                      <w:szCs w:val="21"/>
                    </w:rPr>
                  </w:pPr>
                  <w:r>
                    <w:rPr>
                      <w:color w:val="0000FF"/>
                      <w:sz w:val="21"/>
                      <w:szCs w:val="21"/>
                    </w:rPr>
                    <w:t>有组织</w:t>
                  </w:r>
                </w:p>
              </w:tc>
              <w:tc>
                <w:tcPr>
                  <w:tcW w:w="486" w:type="pct"/>
                  <w:vMerge w:val="continue"/>
                  <w:vAlign w:val="center"/>
                </w:tcPr>
                <w:p w14:paraId="0A72D22D">
                  <w:pPr>
                    <w:adjustRightInd w:val="0"/>
                    <w:snapToGrid w:val="0"/>
                    <w:spacing w:line="240" w:lineRule="auto"/>
                    <w:ind w:firstLine="0" w:firstLineChars="0"/>
                    <w:jc w:val="center"/>
                    <w:rPr>
                      <w:color w:val="0000FF"/>
                      <w:sz w:val="21"/>
                      <w:szCs w:val="21"/>
                    </w:rPr>
                  </w:pPr>
                </w:p>
              </w:tc>
              <w:tc>
                <w:tcPr>
                  <w:tcW w:w="350" w:type="pct"/>
                  <w:vMerge w:val="continue"/>
                  <w:vAlign w:val="center"/>
                </w:tcPr>
                <w:p w14:paraId="71F5B394">
                  <w:pPr>
                    <w:adjustRightInd w:val="0"/>
                    <w:snapToGrid w:val="0"/>
                    <w:spacing w:line="240" w:lineRule="auto"/>
                    <w:ind w:firstLine="0" w:firstLineChars="0"/>
                    <w:jc w:val="center"/>
                    <w:rPr>
                      <w:color w:val="0000FF"/>
                      <w:sz w:val="21"/>
                      <w:szCs w:val="21"/>
                    </w:rPr>
                  </w:pPr>
                </w:p>
              </w:tc>
              <w:tc>
                <w:tcPr>
                  <w:tcW w:w="303" w:type="pct"/>
                  <w:vMerge w:val="continue"/>
                  <w:vAlign w:val="center"/>
                </w:tcPr>
                <w:p w14:paraId="79F72D8C">
                  <w:pPr>
                    <w:adjustRightInd w:val="0"/>
                    <w:snapToGrid w:val="0"/>
                    <w:spacing w:line="240" w:lineRule="auto"/>
                    <w:ind w:firstLine="0" w:firstLineChars="0"/>
                    <w:jc w:val="center"/>
                    <w:rPr>
                      <w:color w:val="0000FF"/>
                      <w:sz w:val="21"/>
                      <w:szCs w:val="21"/>
                    </w:rPr>
                  </w:pPr>
                </w:p>
              </w:tc>
              <w:tc>
                <w:tcPr>
                  <w:tcW w:w="279" w:type="pct"/>
                  <w:vAlign w:val="center"/>
                </w:tcPr>
                <w:p w14:paraId="1A9B4C92">
                  <w:pPr>
                    <w:adjustRightInd w:val="0"/>
                    <w:snapToGrid w:val="0"/>
                    <w:spacing w:line="240" w:lineRule="auto"/>
                    <w:ind w:firstLine="0" w:firstLineChars="0"/>
                    <w:jc w:val="center"/>
                    <w:rPr>
                      <w:color w:val="0000FF"/>
                      <w:sz w:val="21"/>
                      <w:szCs w:val="21"/>
                    </w:rPr>
                  </w:pPr>
                  <w:r>
                    <w:rPr>
                      <w:color w:val="0000FF"/>
                      <w:sz w:val="21"/>
                      <w:szCs w:val="21"/>
                    </w:rPr>
                    <w:t>/</w:t>
                  </w:r>
                </w:p>
              </w:tc>
              <w:tc>
                <w:tcPr>
                  <w:tcW w:w="328" w:type="pct"/>
                  <w:vAlign w:val="center"/>
                </w:tcPr>
                <w:p w14:paraId="52D5487E">
                  <w:pPr>
                    <w:adjustRightInd w:val="0"/>
                    <w:snapToGrid w:val="0"/>
                    <w:spacing w:line="240" w:lineRule="auto"/>
                    <w:ind w:firstLine="0" w:firstLineChars="0"/>
                    <w:jc w:val="center"/>
                    <w:rPr>
                      <w:color w:val="0000FF"/>
                      <w:sz w:val="21"/>
                      <w:szCs w:val="21"/>
                    </w:rPr>
                  </w:pPr>
                  <w:r>
                    <w:rPr>
                      <w:color w:val="0000FF"/>
                      <w:sz w:val="21"/>
                      <w:szCs w:val="21"/>
                    </w:rPr>
                    <w:t>/</w:t>
                  </w:r>
                </w:p>
              </w:tc>
              <w:tc>
                <w:tcPr>
                  <w:tcW w:w="387" w:type="pct"/>
                  <w:shd w:val="clear" w:color="auto" w:fill="auto"/>
                  <w:vAlign w:val="center"/>
                </w:tcPr>
                <w:p w14:paraId="5B4AE03D">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0.00126</w:t>
                  </w:r>
                </w:p>
              </w:tc>
              <w:tc>
                <w:tcPr>
                  <w:tcW w:w="404" w:type="pct"/>
                  <w:vAlign w:val="center"/>
                </w:tcPr>
                <w:p w14:paraId="62897586">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0.0014</w:t>
                  </w:r>
                </w:p>
              </w:tc>
              <w:tc>
                <w:tcPr>
                  <w:tcW w:w="354" w:type="pct"/>
                  <w:shd w:val="clear" w:color="auto" w:fill="auto"/>
                  <w:vAlign w:val="center"/>
                </w:tcPr>
                <w:p w14:paraId="4E6E8F10">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1.4</w:t>
                  </w:r>
                </w:p>
              </w:tc>
              <w:tc>
                <w:tcPr>
                  <w:tcW w:w="423" w:type="pct"/>
                  <w:vAlign w:val="center"/>
                </w:tcPr>
                <w:p w14:paraId="02733C8C">
                  <w:pPr>
                    <w:pStyle w:val="31"/>
                    <w:spacing w:line="240" w:lineRule="auto"/>
                    <w:ind w:left="0"/>
                    <w:rPr>
                      <w:color w:val="0000FF"/>
                      <w:szCs w:val="21"/>
                    </w:rPr>
                  </w:pPr>
                  <w:r>
                    <w:rPr>
                      <w:color w:val="0000FF"/>
                      <w:szCs w:val="21"/>
                    </w:rPr>
                    <w:t>50</w:t>
                  </w:r>
                </w:p>
              </w:tc>
            </w:tr>
            <w:tr w14:paraId="2B6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vAlign w:val="center"/>
                </w:tcPr>
                <w:p w14:paraId="38943691">
                  <w:pPr>
                    <w:adjustRightInd w:val="0"/>
                    <w:snapToGrid w:val="0"/>
                    <w:spacing w:line="240" w:lineRule="auto"/>
                    <w:ind w:firstLine="0" w:firstLineChars="0"/>
                    <w:jc w:val="center"/>
                    <w:rPr>
                      <w:color w:val="0000FF"/>
                      <w:sz w:val="21"/>
                      <w:szCs w:val="21"/>
                    </w:rPr>
                  </w:pPr>
                </w:p>
              </w:tc>
              <w:tc>
                <w:tcPr>
                  <w:tcW w:w="255" w:type="pct"/>
                  <w:vAlign w:val="center"/>
                </w:tcPr>
                <w:p w14:paraId="28FE22A2">
                  <w:pPr>
                    <w:adjustRightInd w:val="0"/>
                    <w:snapToGrid w:val="0"/>
                    <w:spacing w:line="240" w:lineRule="auto"/>
                    <w:ind w:firstLine="0" w:firstLineChars="0"/>
                    <w:jc w:val="center"/>
                    <w:rPr>
                      <w:color w:val="0000FF"/>
                      <w:sz w:val="21"/>
                      <w:szCs w:val="21"/>
                    </w:rPr>
                  </w:pPr>
                  <w:r>
                    <w:rPr>
                      <w:color w:val="0000FF"/>
                      <w:sz w:val="21"/>
                      <w:szCs w:val="21"/>
                    </w:rPr>
                    <w:t>NOx</w:t>
                  </w:r>
                </w:p>
              </w:tc>
              <w:tc>
                <w:tcPr>
                  <w:tcW w:w="387" w:type="pct"/>
                  <w:vAlign w:val="center"/>
                </w:tcPr>
                <w:p w14:paraId="38835F0B">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0.011</w:t>
                  </w:r>
                </w:p>
              </w:tc>
              <w:tc>
                <w:tcPr>
                  <w:tcW w:w="320" w:type="pct"/>
                  <w:vAlign w:val="center"/>
                </w:tcPr>
                <w:p w14:paraId="22E1F9B2">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12.2</w:t>
                  </w:r>
                </w:p>
              </w:tc>
              <w:tc>
                <w:tcPr>
                  <w:tcW w:w="337" w:type="pct"/>
                  <w:vAlign w:val="center"/>
                </w:tcPr>
                <w:p w14:paraId="5234ED31">
                  <w:pPr>
                    <w:adjustRightInd w:val="0"/>
                    <w:snapToGrid w:val="0"/>
                    <w:spacing w:line="240" w:lineRule="auto"/>
                    <w:ind w:firstLine="0" w:firstLineChars="0"/>
                    <w:jc w:val="center"/>
                    <w:rPr>
                      <w:color w:val="0000FF"/>
                      <w:sz w:val="21"/>
                      <w:szCs w:val="21"/>
                    </w:rPr>
                  </w:pPr>
                  <w:r>
                    <w:rPr>
                      <w:color w:val="0000FF"/>
                      <w:sz w:val="21"/>
                      <w:szCs w:val="21"/>
                    </w:rPr>
                    <w:t>有组织</w:t>
                  </w:r>
                </w:p>
              </w:tc>
              <w:tc>
                <w:tcPr>
                  <w:tcW w:w="486" w:type="pct"/>
                  <w:vMerge w:val="continue"/>
                  <w:vAlign w:val="center"/>
                </w:tcPr>
                <w:p w14:paraId="537C4E3C">
                  <w:pPr>
                    <w:adjustRightInd w:val="0"/>
                    <w:snapToGrid w:val="0"/>
                    <w:spacing w:line="240" w:lineRule="auto"/>
                    <w:ind w:firstLine="0" w:firstLineChars="0"/>
                    <w:jc w:val="center"/>
                    <w:rPr>
                      <w:color w:val="0000FF"/>
                      <w:sz w:val="21"/>
                      <w:szCs w:val="21"/>
                    </w:rPr>
                  </w:pPr>
                </w:p>
              </w:tc>
              <w:tc>
                <w:tcPr>
                  <w:tcW w:w="350" w:type="pct"/>
                  <w:vMerge w:val="continue"/>
                  <w:vAlign w:val="center"/>
                </w:tcPr>
                <w:p w14:paraId="62D2410A">
                  <w:pPr>
                    <w:adjustRightInd w:val="0"/>
                    <w:snapToGrid w:val="0"/>
                    <w:spacing w:line="240" w:lineRule="auto"/>
                    <w:ind w:firstLine="0" w:firstLineChars="0"/>
                    <w:jc w:val="center"/>
                    <w:rPr>
                      <w:color w:val="0000FF"/>
                      <w:sz w:val="21"/>
                      <w:szCs w:val="21"/>
                    </w:rPr>
                  </w:pPr>
                </w:p>
              </w:tc>
              <w:tc>
                <w:tcPr>
                  <w:tcW w:w="303" w:type="pct"/>
                  <w:vMerge w:val="continue"/>
                  <w:vAlign w:val="center"/>
                </w:tcPr>
                <w:p w14:paraId="37161664">
                  <w:pPr>
                    <w:adjustRightInd w:val="0"/>
                    <w:snapToGrid w:val="0"/>
                    <w:spacing w:line="240" w:lineRule="auto"/>
                    <w:ind w:firstLine="0" w:firstLineChars="0"/>
                    <w:jc w:val="center"/>
                    <w:rPr>
                      <w:color w:val="0000FF"/>
                      <w:sz w:val="21"/>
                      <w:szCs w:val="21"/>
                    </w:rPr>
                  </w:pPr>
                </w:p>
              </w:tc>
              <w:tc>
                <w:tcPr>
                  <w:tcW w:w="279" w:type="pct"/>
                  <w:vAlign w:val="center"/>
                </w:tcPr>
                <w:p w14:paraId="6565DA89">
                  <w:pPr>
                    <w:adjustRightInd w:val="0"/>
                    <w:snapToGrid w:val="0"/>
                    <w:spacing w:line="240" w:lineRule="auto"/>
                    <w:ind w:firstLine="0" w:firstLineChars="0"/>
                    <w:jc w:val="center"/>
                    <w:rPr>
                      <w:color w:val="0000FF"/>
                      <w:sz w:val="21"/>
                      <w:szCs w:val="21"/>
                    </w:rPr>
                  </w:pPr>
                  <w:r>
                    <w:rPr>
                      <w:rFonts w:hint="eastAsia"/>
                      <w:color w:val="0000FF"/>
                      <w:sz w:val="21"/>
                      <w:szCs w:val="21"/>
                    </w:rPr>
                    <w:t>45</w:t>
                  </w:r>
                  <w:r>
                    <w:rPr>
                      <w:color w:val="0000FF"/>
                      <w:sz w:val="21"/>
                      <w:szCs w:val="21"/>
                    </w:rPr>
                    <w:t>%</w:t>
                  </w:r>
                  <w:r>
                    <w:rPr>
                      <w:rFonts w:hint="eastAsia"/>
                      <w:color w:val="0000FF"/>
                      <w:sz w:val="21"/>
                      <w:szCs w:val="21"/>
                    </w:rPr>
                    <w:t>（抑制）</w:t>
                  </w:r>
                </w:p>
              </w:tc>
              <w:tc>
                <w:tcPr>
                  <w:tcW w:w="328" w:type="pct"/>
                  <w:vAlign w:val="center"/>
                </w:tcPr>
                <w:p w14:paraId="0F7D9C4E">
                  <w:pPr>
                    <w:adjustRightInd w:val="0"/>
                    <w:snapToGrid w:val="0"/>
                    <w:spacing w:line="240" w:lineRule="auto"/>
                    <w:ind w:firstLine="0" w:firstLineChars="0"/>
                    <w:jc w:val="center"/>
                    <w:rPr>
                      <w:color w:val="0000FF"/>
                      <w:sz w:val="21"/>
                      <w:szCs w:val="21"/>
                    </w:rPr>
                  </w:pPr>
                  <w:r>
                    <w:rPr>
                      <w:color w:val="0000FF"/>
                      <w:sz w:val="21"/>
                      <w:szCs w:val="21"/>
                    </w:rPr>
                    <w:t>是</w:t>
                  </w:r>
                </w:p>
              </w:tc>
              <w:tc>
                <w:tcPr>
                  <w:tcW w:w="387" w:type="pct"/>
                  <w:vAlign w:val="center"/>
                </w:tcPr>
                <w:p w14:paraId="60E20A57">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0.00605</w:t>
                  </w:r>
                </w:p>
              </w:tc>
              <w:tc>
                <w:tcPr>
                  <w:tcW w:w="404" w:type="pct"/>
                  <w:vAlign w:val="center"/>
                </w:tcPr>
                <w:p w14:paraId="5AB399AC">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0.00672</w:t>
                  </w:r>
                </w:p>
              </w:tc>
              <w:tc>
                <w:tcPr>
                  <w:tcW w:w="354" w:type="pct"/>
                  <w:vAlign w:val="center"/>
                </w:tcPr>
                <w:p w14:paraId="371B552B">
                  <w:pPr>
                    <w:pStyle w:val="42"/>
                    <w:adjustRightInd w:val="0"/>
                    <w:snapToGrid w:val="0"/>
                    <w:spacing w:line="240" w:lineRule="auto"/>
                    <w:ind w:firstLine="0" w:firstLineChars="0"/>
                    <w:jc w:val="center"/>
                    <w:rPr>
                      <w:rFonts w:ascii="Times New Roman" w:hAnsi="Times New Roman"/>
                      <w:color w:val="0000FF"/>
                      <w:sz w:val="21"/>
                      <w:szCs w:val="21"/>
                    </w:rPr>
                  </w:pPr>
                  <w:r>
                    <w:rPr>
                      <w:rFonts w:hint="eastAsia" w:ascii="Times New Roman" w:hAnsi="Times New Roman"/>
                      <w:color w:val="0000FF"/>
                      <w:sz w:val="21"/>
                      <w:szCs w:val="21"/>
                    </w:rPr>
                    <w:t>6.71</w:t>
                  </w:r>
                </w:p>
              </w:tc>
              <w:tc>
                <w:tcPr>
                  <w:tcW w:w="423" w:type="pct"/>
                  <w:vAlign w:val="center"/>
                </w:tcPr>
                <w:p w14:paraId="2E9F2BDD">
                  <w:pPr>
                    <w:pStyle w:val="31"/>
                    <w:spacing w:line="240" w:lineRule="auto"/>
                    <w:ind w:left="0"/>
                    <w:rPr>
                      <w:color w:val="0000FF"/>
                      <w:szCs w:val="21"/>
                    </w:rPr>
                  </w:pPr>
                  <w:r>
                    <w:rPr>
                      <w:color w:val="0000FF"/>
                      <w:szCs w:val="21"/>
                    </w:rPr>
                    <w:t>50</w:t>
                  </w:r>
                </w:p>
              </w:tc>
            </w:tr>
            <w:tr w14:paraId="5A6C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7C784465">
                  <w:pPr>
                    <w:adjustRightInd w:val="0"/>
                    <w:snapToGrid w:val="0"/>
                    <w:spacing w:line="240" w:lineRule="auto"/>
                    <w:ind w:firstLine="0" w:firstLineChars="0"/>
                    <w:jc w:val="center"/>
                    <w:rPr>
                      <w:color w:val="0000FF"/>
                      <w:sz w:val="21"/>
                      <w:szCs w:val="21"/>
                    </w:rPr>
                  </w:pPr>
                  <w:r>
                    <w:rPr>
                      <w:color w:val="0000FF"/>
                      <w:sz w:val="21"/>
                      <w:szCs w:val="21"/>
                    </w:rPr>
                    <w:t>炒制</w:t>
                  </w:r>
                </w:p>
              </w:tc>
              <w:tc>
                <w:tcPr>
                  <w:tcW w:w="255" w:type="pct"/>
                  <w:vAlign w:val="center"/>
                </w:tcPr>
                <w:p w14:paraId="2CE4C849">
                  <w:pPr>
                    <w:adjustRightInd w:val="0"/>
                    <w:snapToGrid w:val="0"/>
                    <w:spacing w:line="240" w:lineRule="auto"/>
                    <w:ind w:firstLine="0" w:firstLineChars="0"/>
                    <w:jc w:val="center"/>
                    <w:rPr>
                      <w:color w:val="0000FF"/>
                      <w:sz w:val="21"/>
                      <w:szCs w:val="21"/>
                    </w:rPr>
                  </w:pPr>
                  <w:r>
                    <w:rPr>
                      <w:color w:val="0000FF"/>
                      <w:sz w:val="21"/>
                      <w:szCs w:val="21"/>
                    </w:rPr>
                    <w:t>油烟</w:t>
                  </w:r>
                </w:p>
              </w:tc>
              <w:tc>
                <w:tcPr>
                  <w:tcW w:w="387" w:type="pct"/>
                  <w:vAlign w:val="center"/>
                </w:tcPr>
                <w:p w14:paraId="5FE45A15">
                  <w:pPr>
                    <w:adjustRightInd w:val="0"/>
                    <w:snapToGrid w:val="0"/>
                    <w:spacing w:line="240" w:lineRule="auto"/>
                    <w:ind w:firstLine="0" w:firstLineChars="0"/>
                    <w:jc w:val="center"/>
                    <w:rPr>
                      <w:color w:val="0000FF"/>
                      <w:sz w:val="21"/>
                      <w:szCs w:val="21"/>
                    </w:rPr>
                  </w:pPr>
                  <w:r>
                    <w:rPr>
                      <w:rFonts w:hint="eastAsia"/>
                      <w:color w:val="0000FF"/>
                      <w:sz w:val="21"/>
                      <w:szCs w:val="21"/>
                    </w:rPr>
                    <w:t>0.11</w:t>
                  </w:r>
                </w:p>
              </w:tc>
              <w:tc>
                <w:tcPr>
                  <w:tcW w:w="320" w:type="pct"/>
                  <w:vAlign w:val="center"/>
                </w:tcPr>
                <w:p w14:paraId="5660AEFF">
                  <w:pPr>
                    <w:adjustRightInd w:val="0"/>
                    <w:snapToGrid w:val="0"/>
                    <w:spacing w:line="240" w:lineRule="auto"/>
                    <w:ind w:firstLine="0" w:firstLineChars="0"/>
                    <w:jc w:val="center"/>
                    <w:rPr>
                      <w:color w:val="0000FF"/>
                      <w:sz w:val="21"/>
                      <w:szCs w:val="21"/>
                    </w:rPr>
                  </w:pPr>
                  <w:r>
                    <w:rPr>
                      <w:rFonts w:hint="eastAsia"/>
                      <w:color w:val="0000FF"/>
                      <w:sz w:val="21"/>
                      <w:szCs w:val="21"/>
                    </w:rPr>
                    <w:t>6.79</w:t>
                  </w:r>
                </w:p>
              </w:tc>
              <w:tc>
                <w:tcPr>
                  <w:tcW w:w="337" w:type="pct"/>
                  <w:vAlign w:val="center"/>
                </w:tcPr>
                <w:p w14:paraId="56263E88">
                  <w:pPr>
                    <w:adjustRightInd w:val="0"/>
                    <w:snapToGrid w:val="0"/>
                    <w:spacing w:line="240" w:lineRule="auto"/>
                    <w:ind w:firstLine="0" w:firstLineChars="0"/>
                    <w:jc w:val="center"/>
                    <w:rPr>
                      <w:color w:val="0000FF"/>
                      <w:sz w:val="21"/>
                      <w:szCs w:val="21"/>
                    </w:rPr>
                  </w:pPr>
                  <w:r>
                    <w:rPr>
                      <w:color w:val="0000FF"/>
                      <w:sz w:val="21"/>
                      <w:szCs w:val="21"/>
                    </w:rPr>
                    <w:t>有组织</w:t>
                  </w:r>
                </w:p>
              </w:tc>
              <w:tc>
                <w:tcPr>
                  <w:tcW w:w="486" w:type="pct"/>
                  <w:vAlign w:val="center"/>
                </w:tcPr>
                <w:p w14:paraId="1439D5B4">
                  <w:pPr>
                    <w:adjustRightInd w:val="0"/>
                    <w:snapToGrid w:val="0"/>
                    <w:spacing w:line="240" w:lineRule="auto"/>
                    <w:ind w:firstLine="0" w:firstLineChars="0"/>
                    <w:jc w:val="center"/>
                    <w:rPr>
                      <w:color w:val="0000FF"/>
                      <w:sz w:val="21"/>
                      <w:szCs w:val="21"/>
                    </w:rPr>
                  </w:pPr>
                  <w:r>
                    <w:rPr>
                      <w:color w:val="0000FF"/>
                      <w:sz w:val="21"/>
                      <w:szCs w:val="21"/>
                    </w:rPr>
                    <w:t>静电油烟处理器+15m高排气筒（DA001）</w:t>
                  </w:r>
                </w:p>
              </w:tc>
              <w:tc>
                <w:tcPr>
                  <w:tcW w:w="350" w:type="pct"/>
                  <w:vAlign w:val="center"/>
                </w:tcPr>
                <w:p w14:paraId="09C81C42">
                  <w:pPr>
                    <w:adjustRightInd w:val="0"/>
                    <w:snapToGrid w:val="0"/>
                    <w:spacing w:line="240" w:lineRule="auto"/>
                    <w:ind w:firstLine="0" w:firstLineChars="0"/>
                    <w:jc w:val="center"/>
                    <w:rPr>
                      <w:color w:val="0000FF"/>
                      <w:sz w:val="21"/>
                      <w:szCs w:val="21"/>
                    </w:rPr>
                  </w:pPr>
                  <w:r>
                    <w:rPr>
                      <w:rFonts w:hint="eastAsia"/>
                      <w:color w:val="0000FF"/>
                      <w:sz w:val="21"/>
                      <w:szCs w:val="21"/>
                    </w:rPr>
                    <w:t>9</w:t>
                  </w:r>
                  <w:r>
                    <w:rPr>
                      <w:color w:val="0000FF"/>
                      <w:sz w:val="21"/>
                      <w:szCs w:val="21"/>
                    </w:rPr>
                    <w:t>000m</w:t>
                  </w:r>
                  <w:r>
                    <w:rPr>
                      <w:color w:val="0000FF"/>
                      <w:sz w:val="21"/>
                      <w:szCs w:val="21"/>
                      <w:vertAlign w:val="superscript"/>
                    </w:rPr>
                    <w:t>3</w:t>
                  </w:r>
                  <w:r>
                    <w:rPr>
                      <w:color w:val="0000FF"/>
                      <w:sz w:val="21"/>
                      <w:szCs w:val="21"/>
                    </w:rPr>
                    <w:t>/h</w:t>
                  </w:r>
                </w:p>
              </w:tc>
              <w:tc>
                <w:tcPr>
                  <w:tcW w:w="303" w:type="pct"/>
                  <w:vAlign w:val="center"/>
                </w:tcPr>
                <w:p w14:paraId="5CF0B67D">
                  <w:pPr>
                    <w:adjustRightInd w:val="0"/>
                    <w:snapToGrid w:val="0"/>
                    <w:spacing w:line="240" w:lineRule="auto"/>
                    <w:ind w:firstLine="0" w:firstLineChars="0"/>
                    <w:jc w:val="center"/>
                    <w:rPr>
                      <w:color w:val="0000FF"/>
                      <w:sz w:val="21"/>
                      <w:szCs w:val="21"/>
                    </w:rPr>
                  </w:pPr>
                  <w:r>
                    <w:rPr>
                      <w:color w:val="0000FF"/>
                      <w:sz w:val="21"/>
                      <w:szCs w:val="21"/>
                    </w:rPr>
                    <w:t>/</w:t>
                  </w:r>
                </w:p>
              </w:tc>
              <w:tc>
                <w:tcPr>
                  <w:tcW w:w="279" w:type="pct"/>
                  <w:vAlign w:val="center"/>
                </w:tcPr>
                <w:p w14:paraId="1995C130">
                  <w:pPr>
                    <w:adjustRightInd w:val="0"/>
                    <w:snapToGrid w:val="0"/>
                    <w:spacing w:line="240" w:lineRule="auto"/>
                    <w:ind w:firstLine="0" w:firstLineChars="0"/>
                    <w:jc w:val="center"/>
                    <w:rPr>
                      <w:color w:val="0000FF"/>
                      <w:sz w:val="21"/>
                      <w:szCs w:val="21"/>
                    </w:rPr>
                  </w:pPr>
                  <w:r>
                    <w:rPr>
                      <w:rFonts w:hint="eastAsia"/>
                      <w:color w:val="0000FF"/>
                      <w:sz w:val="21"/>
                      <w:szCs w:val="21"/>
                    </w:rPr>
                    <w:t>75</w:t>
                  </w:r>
                  <w:r>
                    <w:rPr>
                      <w:color w:val="0000FF"/>
                      <w:sz w:val="21"/>
                      <w:szCs w:val="21"/>
                    </w:rPr>
                    <w:t>%</w:t>
                  </w:r>
                  <w:r>
                    <w:rPr>
                      <w:rFonts w:hint="eastAsia"/>
                      <w:color w:val="0000FF"/>
                      <w:sz w:val="21"/>
                      <w:szCs w:val="21"/>
                    </w:rPr>
                    <w:t>（去除）</w:t>
                  </w:r>
                </w:p>
              </w:tc>
              <w:tc>
                <w:tcPr>
                  <w:tcW w:w="328" w:type="pct"/>
                  <w:vAlign w:val="center"/>
                </w:tcPr>
                <w:p w14:paraId="212117DF">
                  <w:pPr>
                    <w:adjustRightInd w:val="0"/>
                    <w:snapToGrid w:val="0"/>
                    <w:spacing w:line="240" w:lineRule="auto"/>
                    <w:ind w:firstLine="0" w:firstLineChars="0"/>
                    <w:jc w:val="center"/>
                    <w:rPr>
                      <w:color w:val="0000FF"/>
                      <w:sz w:val="21"/>
                      <w:szCs w:val="21"/>
                    </w:rPr>
                  </w:pPr>
                  <w:r>
                    <w:rPr>
                      <w:color w:val="0000FF"/>
                      <w:sz w:val="21"/>
                      <w:szCs w:val="21"/>
                    </w:rPr>
                    <w:t>是</w:t>
                  </w:r>
                </w:p>
              </w:tc>
              <w:tc>
                <w:tcPr>
                  <w:tcW w:w="387" w:type="pct"/>
                  <w:vAlign w:val="center"/>
                </w:tcPr>
                <w:p w14:paraId="0D9D79CA">
                  <w:pPr>
                    <w:adjustRightInd w:val="0"/>
                    <w:snapToGrid w:val="0"/>
                    <w:spacing w:line="240" w:lineRule="auto"/>
                    <w:ind w:firstLine="0" w:firstLineChars="0"/>
                    <w:jc w:val="center"/>
                    <w:rPr>
                      <w:color w:val="0000FF"/>
                      <w:sz w:val="21"/>
                      <w:szCs w:val="21"/>
                    </w:rPr>
                  </w:pPr>
                  <w:r>
                    <w:rPr>
                      <w:rFonts w:hint="eastAsia"/>
                      <w:color w:val="0000FF"/>
                      <w:sz w:val="21"/>
                      <w:szCs w:val="21"/>
                    </w:rPr>
                    <w:t>0.028</w:t>
                  </w:r>
                </w:p>
              </w:tc>
              <w:tc>
                <w:tcPr>
                  <w:tcW w:w="404" w:type="pct"/>
                  <w:vAlign w:val="center"/>
                </w:tcPr>
                <w:p w14:paraId="6D560190">
                  <w:pPr>
                    <w:adjustRightInd w:val="0"/>
                    <w:snapToGrid w:val="0"/>
                    <w:spacing w:line="240" w:lineRule="auto"/>
                    <w:ind w:firstLine="0" w:firstLineChars="0"/>
                    <w:jc w:val="center"/>
                    <w:rPr>
                      <w:color w:val="0000FF"/>
                      <w:sz w:val="21"/>
                      <w:szCs w:val="21"/>
                    </w:rPr>
                  </w:pPr>
                  <w:r>
                    <w:rPr>
                      <w:rFonts w:hint="eastAsia"/>
                      <w:color w:val="0000FF"/>
                      <w:sz w:val="21"/>
                      <w:szCs w:val="21"/>
                    </w:rPr>
                    <w:t>0.0156</w:t>
                  </w:r>
                </w:p>
              </w:tc>
              <w:tc>
                <w:tcPr>
                  <w:tcW w:w="354" w:type="pct"/>
                  <w:vAlign w:val="center"/>
                </w:tcPr>
                <w:p w14:paraId="1786E095">
                  <w:pPr>
                    <w:adjustRightInd w:val="0"/>
                    <w:snapToGrid w:val="0"/>
                    <w:spacing w:line="240" w:lineRule="auto"/>
                    <w:ind w:firstLine="0" w:firstLineChars="0"/>
                    <w:jc w:val="center"/>
                    <w:rPr>
                      <w:color w:val="0000FF"/>
                      <w:sz w:val="21"/>
                      <w:szCs w:val="21"/>
                    </w:rPr>
                  </w:pPr>
                  <w:r>
                    <w:rPr>
                      <w:rFonts w:hint="eastAsia"/>
                      <w:color w:val="0000FF"/>
                      <w:sz w:val="21"/>
                      <w:szCs w:val="21"/>
                    </w:rPr>
                    <w:t>1.73</w:t>
                  </w:r>
                </w:p>
              </w:tc>
              <w:tc>
                <w:tcPr>
                  <w:tcW w:w="423" w:type="pct"/>
                  <w:vAlign w:val="center"/>
                </w:tcPr>
                <w:p w14:paraId="2C6283EE">
                  <w:pPr>
                    <w:adjustRightInd w:val="0"/>
                    <w:snapToGrid w:val="0"/>
                    <w:spacing w:line="240" w:lineRule="auto"/>
                    <w:ind w:firstLine="0" w:firstLineChars="0"/>
                    <w:jc w:val="center"/>
                    <w:rPr>
                      <w:color w:val="0000FF"/>
                      <w:sz w:val="21"/>
                      <w:szCs w:val="21"/>
                    </w:rPr>
                  </w:pPr>
                  <w:r>
                    <w:rPr>
                      <w:color w:val="0000FF"/>
                      <w:sz w:val="21"/>
                      <w:szCs w:val="21"/>
                    </w:rPr>
                    <w:t>2</w:t>
                  </w:r>
                  <w:r>
                    <w:rPr>
                      <w:rFonts w:hint="eastAsia"/>
                      <w:color w:val="0000FF"/>
                      <w:sz w:val="21"/>
                      <w:szCs w:val="21"/>
                    </w:rPr>
                    <w:t>.0</w:t>
                  </w:r>
                </w:p>
              </w:tc>
            </w:tr>
            <w:tr w14:paraId="19CC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restart"/>
                  <w:vAlign w:val="center"/>
                </w:tcPr>
                <w:p w14:paraId="7D32AF3E">
                  <w:pPr>
                    <w:adjustRightInd w:val="0"/>
                    <w:snapToGrid w:val="0"/>
                    <w:spacing w:line="240" w:lineRule="auto"/>
                    <w:ind w:firstLine="0" w:firstLineChars="0"/>
                    <w:jc w:val="center"/>
                    <w:rPr>
                      <w:color w:val="0000FF"/>
                      <w:sz w:val="21"/>
                      <w:szCs w:val="21"/>
                    </w:rPr>
                  </w:pPr>
                  <w:r>
                    <w:rPr>
                      <w:color w:val="0000FF"/>
                      <w:sz w:val="21"/>
                      <w:szCs w:val="21"/>
                    </w:rPr>
                    <w:t>污水处理站废气</w:t>
                  </w:r>
                </w:p>
              </w:tc>
              <w:tc>
                <w:tcPr>
                  <w:tcW w:w="255" w:type="pct"/>
                  <w:vAlign w:val="center"/>
                </w:tcPr>
                <w:p w14:paraId="1C79C647">
                  <w:pPr>
                    <w:adjustRightInd w:val="0"/>
                    <w:snapToGrid w:val="0"/>
                    <w:spacing w:line="240" w:lineRule="auto"/>
                    <w:ind w:firstLine="0" w:firstLineChars="0"/>
                    <w:jc w:val="center"/>
                    <w:rPr>
                      <w:color w:val="0000FF"/>
                      <w:sz w:val="21"/>
                      <w:szCs w:val="21"/>
                    </w:rPr>
                  </w:pPr>
                  <w:r>
                    <w:rPr>
                      <w:color w:val="0000FF"/>
                      <w:sz w:val="21"/>
                      <w:szCs w:val="21"/>
                    </w:rPr>
                    <w:t>NH</w:t>
                  </w:r>
                  <w:r>
                    <w:rPr>
                      <w:color w:val="0000FF"/>
                      <w:sz w:val="21"/>
                      <w:szCs w:val="21"/>
                      <w:vertAlign w:val="subscript"/>
                    </w:rPr>
                    <w:t>3</w:t>
                  </w:r>
                </w:p>
              </w:tc>
              <w:tc>
                <w:tcPr>
                  <w:tcW w:w="387" w:type="pct"/>
                  <w:vAlign w:val="center"/>
                </w:tcPr>
                <w:p w14:paraId="06B842E0">
                  <w:pPr>
                    <w:adjustRightInd w:val="0"/>
                    <w:snapToGrid w:val="0"/>
                    <w:spacing w:line="240" w:lineRule="auto"/>
                    <w:ind w:firstLine="0" w:firstLineChars="0"/>
                    <w:jc w:val="center"/>
                    <w:rPr>
                      <w:color w:val="0000FF"/>
                      <w:sz w:val="21"/>
                      <w:szCs w:val="21"/>
                    </w:rPr>
                  </w:pPr>
                  <w:r>
                    <w:rPr>
                      <w:rFonts w:hint="eastAsia"/>
                      <w:color w:val="0000FF"/>
                      <w:sz w:val="21"/>
                      <w:szCs w:val="21"/>
                    </w:rPr>
                    <w:t>1.147</w:t>
                  </w:r>
                  <w:r>
                    <w:rPr>
                      <w:color w:val="0000FF"/>
                      <w:sz w:val="21"/>
                      <w:szCs w:val="21"/>
                    </w:rPr>
                    <w:t>×10</w:t>
                  </w:r>
                  <w:r>
                    <w:rPr>
                      <w:color w:val="0000FF"/>
                      <w:sz w:val="21"/>
                      <w:szCs w:val="21"/>
                      <w:vertAlign w:val="superscript"/>
                    </w:rPr>
                    <w:t>-</w:t>
                  </w:r>
                  <w:r>
                    <w:rPr>
                      <w:rFonts w:hint="eastAsia"/>
                      <w:color w:val="0000FF"/>
                      <w:sz w:val="21"/>
                      <w:szCs w:val="21"/>
                      <w:vertAlign w:val="superscript"/>
                    </w:rPr>
                    <w:t>3</w:t>
                  </w:r>
                </w:p>
              </w:tc>
              <w:tc>
                <w:tcPr>
                  <w:tcW w:w="320" w:type="pct"/>
                  <w:vAlign w:val="center"/>
                </w:tcPr>
                <w:p w14:paraId="65EA3DE0">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337" w:type="pct"/>
                  <w:vAlign w:val="center"/>
                </w:tcPr>
                <w:p w14:paraId="6654A48C">
                  <w:pPr>
                    <w:adjustRightInd w:val="0"/>
                    <w:snapToGrid w:val="0"/>
                    <w:spacing w:line="240" w:lineRule="auto"/>
                    <w:ind w:firstLine="0" w:firstLineChars="0"/>
                    <w:jc w:val="center"/>
                    <w:rPr>
                      <w:color w:val="0000FF"/>
                      <w:sz w:val="21"/>
                      <w:szCs w:val="21"/>
                    </w:rPr>
                  </w:pPr>
                  <w:r>
                    <w:rPr>
                      <w:color w:val="0000FF"/>
                      <w:sz w:val="21"/>
                      <w:szCs w:val="21"/>
                    </w:rPr>
                    <w:t>无组织</w:t>
                  </w:r>
                </w:p>
              </w:tc>
              <w:tc>
                <w:tcPr>
                  <w:tcW w:w="486" w:type="pct"/>
                  <w:vAlign w:val="center"/>
                </w:tcPr>
                <w:p w14:paraId="58397775">
                  <w:pPr>
                    <w:adjustRightInd w:val="0"/>
                    <w:snapToGrid w:val="0"/>
                    <w:spacing w:line="240" w:lineRule="auto"/>
                    <w:ind w:firstLine="0" w:firstLineChars="0"/>
                    <w:jc w:val="center"/>
                    <w:rPr>
                      <w:color w:val="0000FF"/>
                      <w:sz w:val="21"/>
                      <w:szCs w:val="21"/>
                    </w:rPr>
                  </w:pPr>
                  <w:r>
                    <w:rPr>
                      <w:color w:val="0000FF"/>
                      <w:sz w:val="21"/>
                      <w:szCs w:val="21"/>
                    </w:rPr>
                    <w:t>/</w:t>
                  </w:r>
                </w:p>
              </w:tc>
              <w:tc>
                <w:tcPr>
                  <w:tcW w:w="350" w:type="pct"/>
                  <w:vAlign w:val="center"/>
                </w:tcPr>
                <w:p w14:paraId="2FA8B339">
                  <w:pPr>
                    <w:adjustRightInd w:val="0"/>
                    <w:snapToGrid w:val="0"/>
                    <w:spacing w:line="240" w:lineRule="auto"/>
                    <w:ind w:firstLine="0" w:firstLineChars="0"/>
                    <w:jc w:val="center"/>
                    <w:rPr>
                      <w:color w:val="0000FF"/>
                      <w:sz w:val="21"/>
                      <w:szCs w:val="21"/>
                    </w:rPr>
                  </w:pPr>
                  <w:r>
                    <w:rPr>
                      <w:color w:val="0000FF"/>
                      <w:sz w:val="21"/>
                      <w:szCs w:val="21"/>
                    </w:rPr>
                    <w:t>/</w:t>
                  </w:r>
                </w:p>
              </w:tc>
              <w:tc>
                <w:tcPr>
                  <w:tcW w:w="303" w:type="pct"/>
                  <w:vAlign w:val="center"/>
                </w:tcPr>
                <w:p w14:paraId="75F064E0">
                  <w:pPr>
                    <w:adjustRightInd w:val="0"/>
                    <w:snapToGrid w:val="0"/>
                    <w:spacing w:line="240" w:lineRule="auto"/>
                    <w:ind w:firstLine="0" w:firstLineChars="0"/>
                    <w:jc w:val="center"/>
                    <w:rPr>
                      <w:color w:val="0000FF"/>
                      <w:sz w:val="21"/>
                      <w:szCs w:val="21"/>
                    </w:rPr>
                  </w:pPr>
                  <w:r>
                    <w:rPr>
                      <w:color w:val="0000FF"/>
                      <w:sz w:val="21"/>
                      <w:szCs w:val="21"/>
                    </w:rPr>
                    <w:t>/</w:t>
                  </w:r>
                </w:p>
              </w:tc>
              <w:tc>
                <w:tcPr>
                  <w:tcW w:w="279" w:type="pct"/>
                  <w:vAlign w:val="center"/>
                </w:tcPr>
                <w:p w14:paraId="225AD70B">
                  <w:pPr>
                    <w:adjustRightInd w:val="0"/>
                    <w:snapToGrid w:val="0"/>
                    <w:spacing w:line="240" w:lineRule="auto"/>
                    <w:ind w:firstLine="0" w:firstLineChars="0"/>
                    <w:jc w:val="center"/>
                    <w:rPr>
                      <w:color w:val="0000FF"/>
                      <w:sz w:val="21"/>
                      <w:szCs w:val="21"/>
                    </w:rPr>
                  </w:pPr>
                  <w:r>
                    <w:rPr>
                      <w:color w:val="0000FF"/>
                      <w:sz w:val="21"/>
                      <w:szCs w:val="21"/>
                    </w:rPr>
                    <w:t>/</w:t>
                  </w:r>
                </w:p>
              </w:tc>
              <w:tc>
                <w:tcPr>
                  <w:tcW w:w="328" w:type="pct"/>
                  <w:vAlign w:val="center"/>
                </w:tcPr>
                <w:p w14:paraId="11F8899B">
                  <w:pPr>
                    <w:adjustRightInd w:val="0"/>
                    <w:snapToGrid w:val="0"/>
                    <w:spacing w:line="240" w:lineRule="auto"/>
                    <w:ind w:firstLine="0" w:firstLineChars="0"/>
                    <w:jc w:val="center"/>
                    <w:rPr>
                      <w:color w:val="0000FF"/>
                      <w:sz w:val="21"/>
                      <w:szCs w:val="21"/>
                    </w:rPr>
                  </w:pPr>
                  <w:r>
                    <w:rPr>
                      <w:color w:val="0000FF"/>
                      <w:sz w:val="21"/>
                      <w:szCs w:val="21"/>
                    </w:rPr>
                    <w:t>/</w:t>
                  </w:r>
                </w:p>
              </w:tc>
              <w:tc>
                <w:tcPr>
                  <w:tcW w:w="617" w:type="dxa"/>
                  <w:vAlign w:val="center"/>
                </w:tcPr>
                <w:p w14:paraId="06C3B32A">
                  <w:pPr>
                    <w:adjustRightInd w:val="0"/>
                    <w:snapToGrid w:val="0"/>
                    <w:spacing w:line="240" w:lineRule="auto"/>
                    <w:ind w:firstLine="0" w:firstLineChars="0"/>
                    <w:jc w:val="center"/>
                    <w:rPr>
                      <w:color w:val="0000FF"/>
                      <w:sz w:val="21"/>
                      <w:szCs w:val="21"/>
                    </w:rPr>
                  </w:pPr>
                  <w:r>
                    <w:rPr>
                      <w:rFonts w:hint="eastAsia"/>
                      <w:color w:val="0000FF"/>
                      <w:sz w:val="21"/>
                      <w:szCs w:val="21"/>
                    </w:rPr>
                    <w:t>1.147</w:t>
                  </w:r>
                  <w:r>
                    <w:rPr>
                      <w:color w:val="0000FF"/>
                      <w:sz w:val="21"/>
                      <w:szCs w:val="21"/>
                    </w:rPr>
                    <w:t>×10</w:t>
                  </w:r>
                  <w:r>
                    <w:rPr>
                      <w:color w:val="0000FF"/>
                      <w:sz w:val="21"/>
                      <w:szCs w:val="21"/>
                      <w:vertAlign w:val="superscript"/>
                    </w:rPr>
                    <w:t>-</w:t>
                  </w:r>
                  <w:r>
                    <w:rPr>
                      <w:rFonts w:hint="eastAsia"/>
                      <w:color w:val="0000FF"/>
                      <w:sz w:val="21"/>
                      <w:szCs w:val="21"/>
                      <w:vertAlign w:val="superscript"/>
                    </w:rPr>
                    <w:t>3</w:t>
                  </w:r>
                </w:p>
              </w:tc>
              <w:tc>
                <w:tcPr>
                  <w:tcW w:w="404" w:type="pct"/>
                  <w:vAlign w:val="center"/>
                </w:tcPr>
                <w:p w14:paraId="1CBCFA0C">
                  <w:pPr>
                    <w:adjustRightInd w:val="0"/>
                    <w:snapToGrid w:val="0"/>
                    <w:spacing w:line="240" w:lineRule="auto"/>
                    <w:ind w:firstLine="0" w:firstLineChars="0"/>
                    <w:jc w:val="center"/>
                    <w:rPr>
                      <w:color w:val="0000FF"/>
                      <w:sz w:val="21"/>
                      <w:szCs w:val="21"/>
                    </w:rPr>
                  </w:pPr>
                  <w:r>
                    <w:rPr>
                      <w:color w:val="0000FF"/>
                      <w:sz w:val="21"/>
                      <w:szCs w:val="21"/>
                    </w:rPr>
                    <w:t>/</w:t>
                  </w:r>
                </w:p>
              </w:tc>
              <w:tc>
                <w:tcPr>
                  <w:tcW w:w="354" w:type="pct"/>
                  <w:vAlign w:val="center"/>
                </w:tcPr>
                <w:p w14:paraId="18D16325">
                  <w:pPr>
                    <w:adjustRightInd w:val="0"/>
                    <w:snapToGrid w:val="0"/>
                    <w:spacing w:line="240" w:lineRule="auto"/>
                    <w:ind w:firstLine="0" w:firstLineChars="0"/>
                    <w:jc w:val="center"/>
                    <w:rPr>
                      <w:color w:val="0000FF"/>
                      <w:sz w:val="21"/>
                      <w:szCs w:val="21"/>
                    </w:rPr>
                  </w:pPr>
                  <w:r>
                    <w:rPr>
                      <w:color w:val="0000FF"/>
                      <w:sz w:val="21"/>
                      <w:szCs w:val="21"/>
                    </w:rPr>
                    <w:t>/</w:t>
                  </w:r>
                </w:p>
              </w:tc>
              <w:tc>
                <w:tcPr>
                  <w:tcW w:w="423" w:type="pct"/>
                  <w:vAlign w:val="center"/>
                </w:tcPr>
                <w:p w14:paraId="33D5528A">
                  <w:pPr>
                    <w:adjustRightInd w:val="0"/>
                    <w:snapToGrid w:val="0"/>
                    <w:spacing w:line="240" w:lineRule="auto"/>
                    <w:ind w:firstLine="0" w:firstLineChars="0"/>
                    <w:jc w:val="center"/>
                    <w:rPr>
                      <w:color w:val="0000FF"/>
                      <w:sz w:val="21"/>
                      <w:szCs w:val="21"/>
                    </w:rPr>
                  </w:pPr>
                  <w:r>
                    <w:rPr>
                      <w:color w:val="0000FF"/>
                      <w:sz w:val="21"/>
                      <w:szCs w:val="21"/>
                    </w:rPr>
                    <w:t>/</w:t>
                  </w:r>
                </w:p>
              </w:tc>
            </w:tr>
            <w:tr w14:paraId="6CF1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vAlign w:val="center"/>
                </w:tcPr>
                <w:p w14:paraId="4F71639E">
                  <w:pPr>
                    <w:adjustRightInd w:val="0"/>
                    <w:snapToGrid w:val="0"/>
                    <w:spacing w:line="240" w:lineRule="auto"/>
                    <w:ind w:firstLine="0" w:firstLineChars="0"/>
                    <w:jc w:val="center"/>
                    <w:rPr>
                      <w:color w:val="0000FF"/>
                      <w:sz w:val="21"/>
                      <w:szCs w:val="21"/>
                    </w:rPr>
                  </w:pPr>
                </w:p>
              </w:tc>
              <w:tc>
                <w:tcPr>
                  <w:tcW w:w="255" w:type="pct"/>
                  <w:vAlign w:val="center"/>
                </w:tcPr>
                <w:p w14:paraId="4C078EA5">
                  <w:pPr>
                    <w:adjustRightInd w:val="0"/>
                    <w:snapToGrid w:val="0"/>
                    <w:spacing w:line="240" w:lineRule="auto"/>
                    <w:ind w:firstLine="0" w:firstLineChars="0"/>
                    <w:jc w:val="center"/>
                    <w:rPr>
                      <w:color w:val="0000FF"/>
                      <w:sz w:val="21"/>
                      <w:szCs w:val="21"/>
                    </w:rPr>
                  </w:pPr>
                  <w:r>
                    <w:rPr>
                      <w:color w:val="0000FF"/>
                      <w:sz w:val="21"/>
                      <w:szCs w:val="21"/>
                    </w:rPr>
                    <w:t>H</w:t>
                  </w:r>
                  <w:r>
                    <w:rPr>
                      <w:color w:val="0000FF"/>
                      <w:sz w:val="21"/>
                      <w:szCs w:val="21"/>
                      <w:vertAlign w:val="subscript"/>
                    </w:rPr>
                    <w:t>2</w:t>
                  </w:r>
                  <w:r>
                    <w:rPr>
                      <w:color w:val="0000FF"/>
                      <w:sz w:val="21"/>
                      <w:szCs w:val="21"/>
                    </w:rPr>
                    <w:t>S</w:t>
                  </w:r>
                </w:p>
              </w:tc>
              <w:tc>
                <w:tcPr>
                  <w:tcW w:w="387" w:type="pct"/>
                  <w:vAlign w:val="center"/>
                </w:tcPr>
                <w:p w14:paraId="58F83F82">
                  <w:pPr>
                    <w:adjustRightInd w:val="0"/>
                    <w:snapToGrid w:val="0"/>
                    <w:spacing w:line="240" w:lineRule="auto"/>
                    <w:ind w:firstLine="0" w:firstLineChars="0"/>
                    <w:jc w:val="center"/>
                    <w:rPr>
                      <w:color w:val="0000FF"/>
                      <w:sz w:val="21"/>
                      <w:szCs w:val="21"/>
                    </w:rPr>
                  </w:pPr>
                  <w:r>
                    <w:rPr>
                      <w:rFonts w:hint="eastAsia"/>
                      <w:color w:val="0000FF"/>
                      <w:sz w:val="21"/>
                      <w:szCs w:val="21"/>
                    </w:rPr>
                    <w:t>4.44</w:t>
                  </w:r>
                  <w:r>
                    <w:rPr>
                      <w:color w:val="0000FF"/>
                      <w:sz w:val="21"/>
                      <w:szCs w:val="21"/>
                    </w:rPr>
                    <w:t>×10</w:t>
                  </w:r>
                  <w:r>
                    <w:rPr>
                      <w:color w:val="0000FF"/>
                      <w:sz w:val="21"/>
                      <w:szCs w:val="21"/>
                      <w:vertAlign w:val="superscript"/>
                    </w:rPr>
                    <w:t>-</w:t>
                  </w:r>
                  <w:r>
                    <w:rPr>
                      <w:rFonts w:hint="eastAsia"/>
                      <w:color w:val="0000FF"/>
                      <w:sz w:val="21"/>
                      <w:szCs w:val="21"/>
                      <w:vertAlign w:val="superscript"/>
                    </w:rPr>
                    <w:t>5</w:t>
                  </w:r>
                </w:p>
              </w:tc>
              <w:tc>
                <w:tcPr>
                  <w:tcW w:w="320" w:type="pct"/>
                  <w:vAlign w:val="center"/>
                </w:tcPr>
                <w:p w14:paraId="46A949D3">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337" w:type="pct"/>
                  <w:vAlign w:val="center"/>
                </w:tcPr>
                <w:p w14:paraId="6781F732">
                  <w:pPr>
                    <w:adjustRightInd w:val="0"/>
                    <w:snapToGrid w:val="0"/>
                    <w:spacing w:line="240" w:lineRule="auto"/>
                    <w:ind w:firstLine="0" w:firstLineChars="0"/>
                    <w:jc w:val="center"/>
                    <w:rPr>
                      <w:color w:val="0000FF"/>
                      <w:sz w:val="21"/>
                      <w:szCs w:val="21"/>
                    </w:rPr>
                  </w:pPr>
                  <w:r>
                    <w:rPr>
                      <w:color w:val="0000FF"/>
                      <w:sz w:val="21"/>
                      <w:szCs w:val="21"/>
                    </w:rPr>
                    <w:t>无组织</w:t>
                  </w:r>
                </w:p>
              </w:tc>
              <w:tc>
                <w:tcPr>
                  <w:tcW w:w="486" w:type="pct"/>
                  <w:vAlign w:val="center"/>
                </w:tcPr>
                <w:p w14:paraId="7FF5274E">
                  <w:pPr>
                    <w:adjustRightInd w:val="0"/>
                    <w:snapToGrid w:val="0"/>
                    <w:spacing w:line="240" w:lineRule="auto"/>
                    <w:ind w:firstLine="0" w:firstLineChars="0"/>
                    <w:jc w:val="center"/>
                    <w:rPr>
                      <w:color w:val="0000FF"/>
                      <w:sz w:val="21"/>
                      <w:szCs w:val="21"/>
                    </w:rPr>
                  </w:pPr>
                  <w:r>
                    <w:rPr>
                      <w:color w:val="0000FF"/>
                      <w:sz w:val="21"/>
                      <w:szCs w:val="21"/>
                    </w:rPr>
                    <w:t>/</w:t>
                  </w:r>
                </w:p>
              </w:tc>
              <w:tc>
                <w:tcPr>
                  <w:tcW w:w="350" w:type="pct"/>
                  <w:vAlign w:val="center"/>
                </w:tcPr>
                <w:p w14:paraId="7AF1DBFC">
                  <w:pPr>
                    <w:adjustRightInd w:val="0"/>
                    <w:snapToGrid w:val="0"/>
                    <w:spacing w:line="240" w:lineRule="auto"/>
                    <w:ind w:firstLine="0" w:firstLineChars="0"/>
                    <w:jc w:val="center"/>
                    <w:rPr>
                      <w:color w:val="0000FF"/>
                      <w:sz w:val="21"/>
                      <w:szCs w:val="21"/>
                    </w:rPr>
                  </w:pPr>
                  <w:r>
                    <w:rPr>
                      <w:color w:val="0000FF"/>
                      <w:sz w:val="21"/>
                      <w:szCs w:val="21"/>
                    </w:rPr>
                    <w:t>/</w:t>
                  </w:r>
                </w:p>
              </w:tc>
              <w:tc>
                <w:tcPr>
                  <w:tcW w:w="303" w:type="pct"/>
                  <w:vAlign w:val="center"/>
                </w:tcPr>
                <w:p w14:paraId="2B914E1B">
                  <w:pPr>
                    <w:adjustRightInd w:val="0"/>
                    <w:snapToGrid w:val="0"/>
                    <w:spacing w:line="240" w:lineRule="auto"/>
                    <w:ind w:firstLine="0" w:firstLineChars="0"/>
                    <w:jc w:val="center"/>
                    <w:rPr>
                      <w:color w:val="0000FF"/>
                      <w:sz w:val="21"/>
                      <w:szCs w:val="21"/>
                    </w:rPr>
                  </w:pPr>
                  <w:r>
                    <w:rPr>
                      <w:color w:val="0000FF"/>
                      <w:sz w:val="21"/>
                      <w:szCs w:val="21"/>
                    </w:rPr>
                    <w:t>/</w:t>
                  </w:r>
                </w:p>
              </w:tc>
              <w:tc>
                <w:tcPr>
                  <w:tcW w:w="279" w:type="pct"/>
                  <w:vAlign w:val="center"/>
                </w:tcPr>
                <w:p w14:paraId="006E2985">
                  <w:pPr>
                    <w:adjustRightInd w:val="0"/>
                    <w:snapToGrid w:val="0"/>
                    <w:spacing w:line="240" w:lineRule="auto"/>
                    <w:ind w:firstLine="0" w:firstLineChars="0"/>
                    <w:jc w:val="center"/>
                    <w:rPr>
                      <w:color w:val="0000FF"/>
                      <w:sz w:val="21"/>
                      <w:szCs w:val="21"/>
                    </w:rPr>
                  </w:pPr>
                  <w:r>
                    <w:rPr>
                      <w:color w:val="0000FF"/>
                      <w:sz w:val="21"/>
                      <w:szCs w:val="21"/>
                    </w:rPr>
                    <w:t>/</w:t>
                  </w:r>
                </w:p>
              </w:tc>
              <w:tc>
                <w:tcPr>
                  <w:tcW w:w="328" w:type="pct"/>
                  <w:vAlign w:val="center"/>
                </w:tcPr>
                <w:p w14:paraId="1D3B8047">
                  <w:pPr>
                    <w:adjustRightInd w:val="0"/>
                    <w:snapToGrid w:val="0"/>
                    <w:spacing w:line="240" w:lineRule="auto"/>
                    <w:ind w:firstLine="0" w:firstLineChars="0"/>
                    <w:jc w:val="center"/>
                    <w:rPr>
                      <w:color w:val="0000FF"/>
                      <w:sz w:val="21"/>
                      <w:szCs w:val="21"/>
                    </w:rPr>
                  </w:pPr>
                  <w:r>
                    <w:rPr>
                      <w:color w:val="0000FF"/>
                      <w:sz w:val="21"/>
                      <w:szCs w:val="21"/>
                    </w:rPr>
                    <w:t>/</w:t>
                  </w:r>
                </w:p>
              </w:tc>
              <w:tc>
                <w:tcPr>
                  <w:tcW w:w="617" w:type="dxa"/>
                  <w:vAlign w:val="center"/>
                </w:tcPr>
                <w:p w14:paraId="0EB4D6AC">
                  <w:pPr>
                    <w:adjustRightInd w:val="0"/>
                    <w:snapToGrid w:val="0"/>
                    <w:spacing w:line="240" w:lineRule="auto"/>
                    <w:ind w:firstLine="0" w:firstLineChars="0"/>
                    <w:jc w:val="center"/>
                    <w:rPr>
                      <w:color w:val="0000FF"/>
                      <w:sz w:val="21"/>
                      <w:szCs w:val="21"/>
                    </w:rPr>
                  </w:pPr>
                  <w:r>
                    <w:rPr>
                      <w:rFonts w:hint="eastAsia"/>
                      <w:color w:val="0000FF"/>
                      <w:sz w:val="21"/>
                      <w:szCs w:val="21"/>
                    </w:rPr>
                    <w:t>4.44</w:t>
                  </w:r>
                  <w:r>
                    <w:rPr>
                      <w:color w:val="0000FF"/>
                      <w:sz w:val="21"/>
                      <w:szCs w:val="21"/>
                    </w:rPr>
                    <w:t>×10</w:t>
                  </w:r>
                  <w:r>
                    <w:rPr>
                      <w:color w:val="0000FF"/>
                      <w:sz w:val="21"/>
                      <w:szCs w:val="21"/>
                      <w:vertAlign w:val="superscript"/>
                    </w:rPr>
                    <w:t>-</w:t>
                  </w:r>
                  <w:r>
                    <w:rPr>
                      <w:rFonts w:hint="eastAsia"/>
                      <w:color w:val="0000FF"/>
                      <w:sz w:val="21"/>
                      <w:szCs w:val="21"/>
                      <w:vertAlign w:val="superscript"/>
                    </w:rPr>
                    <w:t>5</w:t>
                  </w:r>
                </w:p>
              </w:tc>
              <w:tc>
                <w:tcPr>
                  <w:tcW w:w="404" w:type="pct"/>
                  <w:vAlign w:val="center"/>
                </w:tcPr>
                <w:p w14:paraId="4A9C5046">
                  <w:pPr>
                    <w:adjustRightInd w:val="0"/>
                    <w:snapToGrid w:val="0"/>
                    <w:spacing w:line="240" w:lineRule="auto"/>
                    <w:ind w:firstLine="0" w:firstLineChars="0"/>
                    <w:jc w:val="center"/>
                    <w:rPr>
                      <w:color w:val="0000FF"/>
                      <w:sz w:val="21"/>
                      <w:szCs w:val="21"/>
                    </w:rPr>
                  </w:pPr>
                  <w:r>
                    <w:rPr>
                      <w:color w:val="0000FF"/>
                      <w:sz w:val="21"/>
                      <w:szCs w:val="21"/>
                    </w:rPr>
                    <w:t>/</w:t>
                  </w:r>
                </w:p>
              </w:tc>
              <w:tc>
                <w:tcPr>
                  <w:tcW w:w="354" w:type="pct"/>
                  <w:vAlign w:val="center"/>
                </w:tcPr>
                <w:p w14:paraId="69C07012">
                  <w:pPr>
                    <w:adjustRightInd w:val="0"/>
                    <w:snapToGrid w:val="0"/>
                    <w:spacing w:line="240" w:lineRule="auto"/>
                    <w:ind w:firstLine="0" w:firstLineChars="0"/>
                    <w:jc w:val="center"/>
                    <w:rPr>
                      <w:color w:val="0000FF"/>
                      <w:sz w:val="21"/>
                      <w:szCs w:val="21"/>
                    </w:rPr>
                  </w:pPr>
                  <w:r>
                    <w:rPr>
                      <w:color w:val="0000FF"/>
                      <w:sz w:val="21"/>
                      <w:szCs w:val="21"/>
                    </w:rPr>
                    <w:t>/</w:t>
                  </w:r>
                </w:p>
              </w:tc>
              <w:tc>
                <w:tcPr>
                  <w:tcW w:w="423" w:type="pct"/>
                  <w:vAlign w:val="center"/>
                </w:tcPr>
                <w:p w14:paraId="16985495">
                  <w:pPr>
                    <w:adjustRightInd w:val="0"/>
                    <w:snapToGrid w:val="0"/>
                    <w:spacing w:line="240" w:lineRule="auto"/>
                    <w:ind w:firstLine="0" w:firstLineChars="0"/>
                    <w:jc w:val="center"/>
                    <w:rPr>
                      <w:color w:val="0000FF"/>
                      <w:sz w:val="21"/>
                      <w:szCs w:val="21"/>
                    </w:rPr>
                  </w:pPr>
                  <w:r>
                    <w:rPr>
                      <w:color w:val="0000FF"/>
                      <w:sz w:val="21"/>
                      <w:szCs w:val="21"/>
                    </w:rPr>
                    <w:t>/</w:t>
                  </w:r>
                </w:p>
              </w:tc>
            </w:tr>
          </w:tbl>
          <w:p w14:paraId="0C262CB9">
            <w:pPr>
              <w:adjustRightInd w:val="0"/>
              <w:snapToGrid w:val="0"/>
            </w:pPr>
            <w:r>
              <w:rPr>
                <w:rFonts w:hint="eastAsia"/>
              </w:rPr>
              <w:t>（2）排气口设置及监测计划</w:t>
            </w:r>
          </w:p>
          <w:p w14:paraId="2F8E62FD">
            <w:pPr>
              <w:adjustRightInd w:val="0"/>
              <w:snapToGrid w:val="0"/>
            </w:pPr>
            <w:r>
              <w:rPr>
                <w:rFonts w:hint="eastAsia"/>
              </w:rPr>
              <w:t>根据《排污单位自行监测技术指南总则》（HJ819-2017）、《排污单位自行监测技术指南食品制造》（HJ1084-2020）及《排污单位自行监测技术指南火力发电及锅炉》（HJ820-2017），制定本项目大气监测计划：</w:t>
            </w:r>
          </w:p>
          <w:p w14:paraId="04785D14">
            <w:pPr>
              <w:adjustRightInd w:val="0"/>
              <w:snapToGrid w:val="0"/>
              <w:spacing w:line="240" w:lineRule="auto"/>
              <w:ind w:firstLine="482"/>
              <w:jc w:val="center"/>
              <w:rPr>
                <w:b/>
                <w:bCs/>
              </w:rPr>
            </w:pPr>
            <w:r>
              <w:rPr>
                <w:b/>
                <w:bCs/>
              </w:rPr>
              <w:t>表4</w:t>
            </w:r>
            <w:r>
              <w:rPr>
                <w:rFonts w:hint="eastAsia"/>
                <w:b/>
                <w:bCs/>
              </w:rPr>
              <w:t>-3</w:t>
            </w:r>
            <w:r>
              <w:rPr>
                <w:b/>
                <w:bCs/>
              </w:rPr>
              <w:t xml:space="preserve"> </w:t>
            </w:r>
            <w:r>
              <w:rPr>
                <w:rFonts w:hint="eastAsia"/>
                <w:b/>
                <w:bCs/>
              </w:rPr>
              <w:t xml:space="preserve"> </w:t>
            </w:r>
            <w:r>
              <w:rPr>
                <w:b/>
                <w:bCs/>
              </w:rPr>
              <w:t>废气排放口</w:t>
            </w:r>
            <w:r>
              <w:rPr>
                <w:rFonts w:hint="eastAsia"/>
                <w:b/>
                <w:bCs/>
              </w:rPr>
              <w:t>设置及大气污染物监测计划</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821"/>
              <w:gridCol w:w="551"/>
              <w:gridCol w:w="614"/>
              <w:gridCol w:w="638"/>
              <w:gridCol w:w="1635"/>
              <w:gridCol w:w="602"/>
              <w:gridCol w:w="749"/>
              <w:gridCol w:w="1167"/>
              <w:gridCol w:w="571"/>
            </w:tblGrid>
            <w:tr w14:paraId="528B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pct"/>
                  <w:vMerge w:val="restart"/>
                  <w:vAlign w:val="center"/>
                </w:tcPr>
                <w:p w14:paraId="18978197">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污染源类别</w:t>
                  </w:r>
                </w:p>
              </w:tc>
              <w:tc>
                <w:tcPr>
                  <w:tcW w:w="515" w:type="pct"/>
                  <w:vMerge w:val="restart"/>
                  <w:vAlign w:val="center"/>
                </w:tcPr>
                <w:p w14:paraId="07532F9D">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排放口编号及名称</w:t>
                  </w:r>
                </w:p>
              </w:tc>
              <w:tc>
                <w:tcPr>
                  <w:tcW w:w="2535" w:type="pct"/>
                  <w:gridSpan w:val="5"/>
                  <w:vAlign w:val="center"/>
                </w:tcPr>
                <w:p w14:paraId="1D563E87">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排放口基本情况</w:t>
                  </w:r>
                </w:p>
              </w:tc>
              <w:tc>
                <w:tcPr>
                  <w:tcW w:w="1560" w:type="pct"/>
                  <w:gridSpan w:val="3"/>
                  <w:vAlign w:val="center"/>
                </w:tcPr>
                <w:p w14:paraId="10A98621">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监测要求</w:t>
                  </w:r>
                </w:p>
              </w:tc>
            </w:tr>
            <w:tr w14:paraId="55B6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pct"/>
                  <w:vMerge w:val="continue"/>
                  <w:vAlign w:val="center"/>
                </w:tcPr>
                <w:p w14:paraId="48C56E9B">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15" w:type="pct"/>
                  <w:vMerge w:val="continue"/>
                  <w:vAlign w:val="center"/>
                </w:tcPr>
                <w:p w14:paraId="593109D9">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346" w:type="pct"/>
                  <w:vAlign w:val="center"/>
                </w:tcPr>
                <w:p w14:paraId="4953A5FE">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高度/m</w:t>
                  </w:r>
                </w:p>
              </w:tc>
              <w:tc>
                <w:tcPr>
                  <w:tcW w:w="385" w:type="pct"/>
                  <w:vAlign w:val="center"/>
                </w:tcPr>
                <w:p w14:paraId="2913EB26">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内径/m</w:t>
                  </w:r>
                </w:p>
              </w:tc>
              <w:tc>
                <w:tcPr>
                  <w:tcW w:w="400" w:type="pct"/>
                  <w:vAlign w:val="center"/>
                </w:tcPr>
                <w:p w14:paraId="7C30DD87">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温度℃</w:t>
                  </w:r>
                </w:p>
              </w:tc>
              <w:tc>
                <w:tcPr>
                  <w:tcW w:w="1026" w:type="pct"/>
                  <w:vAlign w:val="center"/>
                </w:tcPr>
                <w:p w14:paraId="79AF843E">
                  <w:pPr>
                    <w:adjustRightInd w:val="0"/>
                    <w:snapToGrid w:val="0"/>
                    <w:spacing w:line="240" w:lineRule="auto"/>
                    <w:ind w:firstLine="0" w:firstLineChars="0"/>
                    <w:jc w:val="center"/>
                    <w:rPr>
                      <w:sz w:val="21"/>
                      <w:szCs w:val="21"/>
                    </w:rPr>
                  </w:pPr>
                  <w:r>
                    <w:rPr>
                      <w:sz w:val="21"/>
                      <w:szCs w:val="21"/>
                    </w:rPr>
                    <w:t>坐标</w:t>
                  </w:r>
                </w:p>
              </w:tc>
              <w:tc>
                <w:tcPr>
                  <w:tcW w:w="376" w:type="pct"/>
                  <w:vAlign w:val="center"/>
                </w:tcPr>
                <w:p w14:paraId="5D7136A2">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类型</w:t>
                  </w:r>
                </w:p>
              </w:tc>
              <w:tc>
                <w:tcPr>
                  <w:tcW w:w="470" w:type="pct"/>
                  <w:vAlign w:val="center"/>
                </w:tcPr>
                <w:p w14:paraId="5B49C548">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监测点位</w:t>
                  </w:r>
                </w:p>
              </w:tc>
              <w:tc>
                <w:tcPr>
                  <w:tcW w:w="732" w:type="pct"/>
                  <w:vAlign w:val="center"/>
                </w:tcPr>
                <w:p w14:paraId="38225298">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监测因子</w:t>
                  </w:r>
                </w:p>
              </w:tc>
              <w:tc>
                <w:tcPr>
                  <w:tcW w:w="357" w:type="pct"/>
                  <w:vAlign w:val="center"/>
                </w:tcPr>
                <w:p w14:paraId="17C7593A">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监测频次</w:t>
                  </w:r>
                </w:p>
              </w:tc>
            </w:tr>
            <w:tr w14:paraId="1AB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pct"/>
                  <w:vMerge w:val="restart"/>
                  <w:vAlign w:val="center"/>
                </w:tcPr>
                <w:p w14:paraId="612C3CAC">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有组织</w:t>
                  </w:r>
                </w:p>
              </w:tc>
              <w:tc>
                <w:tcPr>
                  <w:tcW w:w="515" w:type="pct"/>
                  <w:vAlign w:val="center"/>
                </w:tcPr>
                <w:p w14:paraId="79207AA2">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DA001</w:t>
                  </w:r>
                </w:p>
              </w:tc>
              <w:tc>
                <w:tcPr>
                  <w:tcW w:w="346" w:type="pct"/>
                  <w:vAlign w:val="center"/>
                </w:tcPr>
                <w:p w14:paraId="6E0D851F">
                  <w:pPr>
                    <w:adjustRightInd w:val="0"/>
                    <w:snapToGrid w:val="0"/>
                    <w:spacing w:line="240" w:lineRule="auto"/>
                    <w:ind w:firstLine="0" w:firstLineChars="0"/>
                    <w:jc w:val="center"/>
                    <w:rPr>
                      <w:sz w:val="21"/>
                      <w:szCs w:val="21"/>
                    </w:rPr>
                  </w:pPr>
                  <w:r>
                    <w:rPr>
                      <w:sz w:val="21"/>
                      <w:szCs w:val="21"/>
                    </w:rPr>
                    <w:t>15</w:t>
                  </w:r>
                </w:p>
              </w:tc>
              <w:tc>
                <w:tcPr>
                  <w:tcW w:w="385" w:type="pct"/>
                  <w:vAlign w:val="center"/>
                </w:tcPr>
                <w:p w14:paraId="17B8E23C">
                  <w:pPr>
                    <w:adjustRightInd w:val="0"/>
                    <w:snapToGrid w:val="0"/>
                    <w:spacing w:line="240" w:lineRule="auto"/>
                    <w:ind w:firstLine="0" w:firstLineChars="0"/>
                    <w:jc w:val="center"/>
                    <w:rPr>
                      <w:sz w:val="21"/>
                      <w:szCs w:val="21"/>
                    </w:rPr>
                  </w:pPr>
                  <w:r>
                    <w:rPr>
                      <w:sz w:val="21"/>
                      <w:szCs w:val="21"/>
                    </w:rPr>
                    <w:t>0.4</w:t>
                  </w:r>
                </w:p>
              </w:tc>
              <w:tc>
                <w:tcPr>
                  <w:tcW w:w="400" w:type="pct"/>
                  <w:vAlign w:val="center"/>
                </w:tcPr>
                <w:p w14:paraId="2ACBE7E6">
                  <w:pPr>
                    <w:adjustRightInd w:val="0"/>
                    <w:snapToGrid w:val="0"/>
                    <w:spacing w:line="240" w:lineRule="auto"/>
                    <w:ind w:firstLine="0" w:firstLineChars="0"/>
                    <w:jc w:val="center"/>
                    <w:rPr>
                      <w:sz w:val="21"/>
                      <w:szCs w:val="21"/>
                    </w:rPr>
                  </w:pPr>
                  <w:r>
                    <w:rPr>
                      <w:sz w:val="21"/>
                      <w:szCs w:val="21"/>
                    </w:rPr>
                    <w:t>25</w:t>
                  </w:r>
                </w:p>
              </w:tc>
              <w:tc>
                <w:tcPr>
                  <w:tcW w:w="1026" w:type="pct"/>
                  <w:vAlign w:val="center"/>
                </w:tcPr>
                <w:p w14:paraId="6B8C1CB2">
                  <w:pPr>
                    <w:adjustRightInd w:val="0"/>
                    <w:snapToGrid w:val="0"/>
                    <w:spacing w:line="240" w:lineRule="auto"/>
                    <w:ind w:firstLine="0" w:firstLineChars="0"/>
                    <w:jc w:val="center"/>
                    <w:rPr>
                      <w:sz w:val="21"/>
                      <w:szCs w:val="21"/>
                    </w:rPr>
                  </w:pPr>
                  <w:r>
                    <w:rPr>
                      <w:sz w:val="21"/>
                      <w:szCs w:val="21"/>
                    </w:rPr>
                    <w:t>E116°24′9.80″，</w:t>
                  </w:r>
                </w:p>
                <w:p w14:paraId="7935D711">
                  <w:pPr>
                    <w:adjustRightInd w:val="0"/>
                    <w:snapToGrid w:val="0"/>
                    <w:spacing w:line="240" w:lineRule="auto"/>
                    <w:ind w:firstLine="0" w:firstLineChars="0"/>
                    <w:jc w:val="center"/>
                    <w:rPr>
                      <w:sz w:val="21"/>
                      <w:szCs w:val="21"/>
                    </w:rPr>
                  </w:pPr>
                  <w:r>
                    <w:rPr>
                      <w:sz w:val="21"/>
                      <w:szCs w:val="21"/>
                    </w:rPr>
                    <w:t>N34°22′39.195″</w:t>
                  </w:r>
                </w:p>
              </w:tc>
              <w:tc>
                <w:tcPr>
                  <w:tcW w:w="376" w:type="pct"/>
                  <w:vMerge w:val="restart"/>
                  <w:vAlign w:val="center"/>
                </w:tcPr>
                <w:p w14:paraId="21889180">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一般排</w:t>
                  </w:r>
                </w:p>
                <w:p w14:paraId="0F42ABC0">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放口</w:t>
                  </w:r>
                </w:p>
              </w:tc>
              <w:tc>
                <w:tcPr>
                  <w:tcW w:w="470" w:type="pct"/>
                  <w:vAlign w:val="center"/>
                </w:tcPr>
                <w:p w14:paraId="0BC3ACD6">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DA001</w:t>
                  </w:r>
                </w:p>
              </w:tc>
              <w:tc>
                <w:tcPr>
                  <w:tcW w:w="732" w:type="pct"/>
                  <w:vAlign w:val="center"/>
                </w:tcPr>
                <w:p w14:paraId="6CCA372D">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油烟</w:t>
                  </w:r>
                </w:p>
              </w:tc>
              <w:tc>
                <w:tcPr>
                  <w:tcW w:w="357" w:type="pct"/>
                  <w:vAlign w:val="center"/>
                </w:tcPr>
                <w:p w14:paraId="24B3A459">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半年</w:t>
                  </w:r>
                </w:p>
              </w:tc>
            </w:tr>
            <w:tr w14:paraId="3AA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pct"/>
                  <w:vMerge w:val="continue"/>
                  <w:vAlign w:val="center"/>
                </w:tcPr>
                <w:p w14:paraId="204A4687">
                  <w:pPr>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15" w:type="pct"/>
                  <w:vAlign w:val="center"/>
                </w:tcPr>
                <w:p w14:paraId="5C8059F8">
                  <w:pPr>
                    <w:adjustRightInd w:val="0"/>
                    <w:snapToGrid w:val="0"/>
                    <w:spacing w:line="240" w:lineRule="auto"/>
                    <w:ind w:firstLine="0" w:firstLineChars="0"/>
                    <w:jc w:val="center"/>
                    <w:rPr>
                      <w:color w:val="0000FF"/>
                      <w:sz w:val="21"/>
                      <w:szCs w:val="21"/>
                    </w:rPr>
                  </w:pPr>
                  <w:r>
                    <w:rPr>
                      <w:color w:val="0000FF"/>
                      <w:sz w:val="21"/>
                      <w:szCs w:val="21"/>
                    </w:rPr>
                    <w:t>DA002</w:t>
                  </w:r>
                </w:p>
              </w:tc>
              <w:tc>
                <w:tcPr>
                  <w:tcW w:w="346" w:type="pct"/>
                  <w:vAlign w:val="center"/>
                </w:tcPr>
                <w:p w14:paraId="43087063">
                  <w:pPr>
                    <w:adjustRightInd w:val="0"/>
                    <w:snapToGrid w:val="0"/>
                    <w:spacing w:line="240" w:lineRule="auto"/>
                    <w:ind w:firstLine="0" w:firstLineChars="0"/>
                    <w:jc w:val="center"/>
                    <w:rPr>
                      <w:color w:val="0000FF"/>
                      <w:sz w:val="21"/>
                      <w:szCs w:val="21"/>
                    </w:rPr>
                  </w:pPr>
                  <w:r>
                    <w:rPr>
                      <w:color w:val="0000FF"/>
                      <w:sz w:val="21"/>
                      <w:szCs w:val="21"/>
                    </w:rPr>
                    <w:t>15</w:t>
                  </w:r>
                </w:p>
              </w:tc>
              <w:tc>
                <w:tcPr>
                  <w:tcW w:w="385" w:type="pct"/>
                  <w:vAlign w:val="center"/>
                </w:tcPr>
                <w:p w14:paraId="35CC5205">
                  <w:pPr>
                    <w:adjustRightInd w:val="0"/>
                    <w:snapToGrid w:val="0"/>
                    <w:spacing w:line="240" w:lineRule="auto"/>
                    <w:ind w:firstLine="0" w:firstLineChars="0"/>
                    <w:jc w:val="center"/>
                    <w:rPr>
                      <w:color w:val="0000FF"/>
                      <w:sz w:val="21"/>
                      <w:szCs w:val="21"/>
                    </w:rPr>
                  </w:pPr>
                  <w:r>
                    <w:rPr>
                      <w:color w:val="0000FF"/>
                      <w:sz w:val="21"/>
                      <w:szCs w:val="21"/>
                    </w:rPr>
                    <w:t>0.4</w:t>
                  </w:r>
                </w:p>
              </w:tc>
              <w:tc>
                <w:tcPr>
                  <w:tcW w:w="400" w:type="pct"/>
                  <w:vAlign w:val="center"/>
                </w:tcPr>
                <w:p w14:paraId="7A734B4D">
                  <w:pPr>
                    <w:adjustRightInd w:val="0"/>
                    <w:snapToGrid w:val="0"/>
                    <w:spacing w:line="240" w:lineRule="auto"/>
                    <w:ind w:firstLine="0" w:firstLineChars="0"/>
                    <w:jc w:val="center"/>
                    <w:rPr>
                      <w:color w:val="0000FF"/>
                      <w:sz w:val="21"/>
                      <w:szCs w:val="21"/>
                    </w:rPr>
                  </w:pPr>
                  <w:r>
                    <w:rPr>
                      <w:color w:val="0000FF"/>
                      <w:sz w:val="21"/>
                      <w:szCs w:val="21"/>
                    </w:rPr>
                    <w:t>25</w:t>
                  </w:r>
                </w:p>
              </w:tc>
              <w:tc>
                <w:tcPr>
                  <w:tcW w:w="1026" w:type="pct"/>
                  <w:vAlign w:val="center"/>
                </w:tcPr>
                <w:p w14:paraId="341CBFBC">
                  <w:pPr>
                    <w:adjustRightInd w:val="0"/>
                    <w:snapToGrid w:val="0"/>
                    <w:spacing w:line="240" w:lineRule="auto"/>
                    <w:ind w:firstLine="0" w:firstLineChars="0"/>
                    <w:jc w:val="center"/>
                    <w:rPr>
                      <w:color w:val="0000FF"/>
                      <w:sz w:val="21"/>
                      <w:szCs w:val="21"/>
                    </w:rPr>
                  </w:pPr>
                  <w:r>
                    <w:rPr>
                      <w:color w:val="0000FF"/>
                      <w:sz w:val="21"/>
                      <w:szCs w:val="21"/>
                    </w:rPr>
                    <w:t>E116°24′9.80″，</w:t>
                  </w:r>
                </w:p>
                <w:p w14:paraId="4DF46564">
                  <w:pPr>
                    <w:adjustRightInd w:val="0"/>
                    <w:snapToGrid w:val="0"/>
                    <w:spacing w:line="240" w:lineRule="auto"/>
                    <w:ind w:firstLine="0" w:firstLineChars="0"/>
                    <w:jc w:val="center"/>
                    <w:rPr>
                      <w:color w:val="0000FF"/>
                      <w:sz w:val="21"/>
                      <w:szCs w:val="21"/>
                    </w:rPr>
                  </w:pPr>
                  <w:r>
                    <w:rPr>
                      <w:color w:val="0000FF"/>
                      <w:sz w:val="21"/>
                      <w:szCs w:val="21"/>
                    </w:rPr>
                    <w:t>N34°22′39.195″</w:t>
                  </w:r>
                </w:p>
              </w:tc>
              <w:tc>
                <w:tcPr>
                  <w:tcW w:w="376" w:type="pct"/>
                  <w:vMerge w:val="continue"/>
                  <w:vAlign w:val="center"/>
                </w:tcPr>
                <w:p w14:paraId="33E27BDB">
                  <w:pPr>
                    <w:adjustRightInd w:val="0"/>
                    <w:snapToGrid w:val="0"/>
                    <w:spacing w:line="240" w:lineRule="auto"/>
                    <w:ind w:firstLine="0" w:firstLineChars="0"/>
                    <w:jc w:val="center"/>
                    <w:rPr>
                      <w:color w:val="0000FF"/>
                      <w:sz w:val="21"/>
                      <w:szCs w:val="21"/>
                    </w:rPr>
                  </w:pPr>
                </w:p>
              </w:tc>
              <w:tc>
                <w:tcPr>
                  <w:tcW w:w="470" w:type="pct"/>
                  <w:vAlign w:val="center"/>
                </w:tcPr>
                <w:p w14:paraId="12B641D3">
                  <w:pPr>
                    <w:adjustRightInd w:val="0"/>
                    <w:snapToGrid w:val="0"/>
                    <w:spacing w:line="240" w:lineRule="auto"/>
                    <w:ind w:firstLine="0" w:firstLineChars="0"/>
                    <w:jc w:val="center"/>
                    <w:rPr>
                      <w:color w:val="0000FF"/>
                      <w:sz w:val="21"/>
                      <w:szCs w:val="21"/>
                    </w:rPr>
                  </w:pPr>
                  <w:r>
                    <w:rPr>
                      <w:color w:val="0000FF"/>
                      <w:sz w:val="21"/>
                      <w:szCs w:val="21"/>
                    </w:rPr>
                    <w:t>DA002</w:t>
                  </w:r>
                </w:p>
              </w:tc>
              <w:tc>
                <w:tcPr>
                  <w:tcW w:w="732" w:type="pct"/>
                  <w:vAlign w:val="center"/>
                </w:tcPr>
                <w:p w14:paraId="7507F724">
                  <w:pPr>
                    <w:adjustRightInd w:val="0"/>
                    <w:snapToGrid w:val="0"/>
                    <w:spacing w:line="240" w:lineRule="auto"/>
                    <w:ind w:firstLine="0" w:firstLineChars="0"/>
                    <w:jc w:val="center"/>
                    <w:rPr>
                      <w:color w:val="0000FF"/>
                      <w:sz w:val="21"/>
                      <w:szCs w:val="21"/>
                    </w:rPr>
                  </w:pPr>
                  <w:r>
                    <w:rPr>
                      <w:color w:val="0000FF"/>
                      <w:sz w:val="21"/>
                      <w:szCs w:val="21"/>
                    </w:rPr>
                    <w:t>颗粒物、二氧化硫、氮氧化物、林格曼黑度</w:t>
                  </w:r>
                </w:p>
              </w:tc>
              <w:tc>
                <w:tcPr>
                  <w:tcW w:w="357" w:type="pct"/>
                  <w:vAlign w:val="center"/>
                </w:tcPr>
                <w:p w14:paraId="4DA128D2">
                  <w:pPr>
                    <w:adjustRightInd w:val="0"/>
                    <w:snapToGrid w:val="0"/>
                    <w:spacing w:line="240" w:lineRule="auto"/>
                    <w:ind w:firstLine="0" w:firstLineChars="0"/>
                    <w:jc w:val="center"/>
                    <w:rPr>
                      <w:color w:val="0000FF"/>
                      <w:sz w:val="21"/>
                      <w:szCs w:val="21"/>
                    </w:rPr>
                  </w:pPr>
                  <w:r>
                    <w:rPr>
                      <w:rFonts w:hint="eastAsia"/>
                      <w:color w:val="0000FF"/>
                      <w:sz w:val="21"/>
                      <w:szCs w:val="21"/>
                    </w:rPr>
                    <w:t>月</w:t>
                  </w:r>
                </w:p>
              </w:tc>
            </w:tr>
            <w:tr w14:paraId="6613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pct"/>
                  <w:vMerge w:val="restart"/>
                  <w:vAlign w:val="center"/>
                </w:tcPr>
                <w:p w14:paraId="574214CF">
                  <w:pPr>
                    <w:adjustRightInd w:val="0"/>
                    <w:snapToGrid w:val="0"/>
                    <w:spacing w:line="240" w:lineRule="auto"/>
                    <w:ind w:firstLine="0" w:firstLineChars="0"/>
                    <w:jc w:val="center"/>
                    <w:rPr>
                      <w:color w:val="0000FF"/>
                      <w:sz w:val="21"/>
                      <w:szCs w:val="21"/>
                    </w:rPr>
                  </w:pPr>
                  <w:r>
                    <w:rPr>
                      <w:rFonts w:hint="eastAsia"/>
                      <w:color w:val="0000FF"/>
                      <w:sz w:val="21"/>
                      <w:szCs w:val="21"/>
                    </w:rPr>
                    <w:t>无组织</w:t>
                  </w:r>
                </w:p>
              </w:tc>
              <w:tc>
                <w:tcPr>
                  <w:tcW w:w="515" w:type="pct"/>
                  <w:vAlign w:val="center"/>
                </w:tcPr>
                <w:p w14:paraId="1D253E04">
                  <w:pPr>
                    <w:adjustRightInd w:val="0"/>
                    <w:snapToGrid w:val="0"/>
                    <w:spacing w:line="240" w:lineRule="auto"/>
                    <w:ind w:firstLine="0" w:firstLineChars="0"/>
                    <w:jc w:val="center"/>
                    <w:rPr>
                      <w:color w:val="0000FF"/>
                      <w:sz w:val="21"/>
                      <w:szCs w:val="21"/>
                    </w:rPr>
                  </w:pPr>
                  <w:r>
                    <w:rPr>
                      <w:rFonts w:hint="eastAsia"/>
                      <w:color w:val="0000FF"/>
                      <w:sz w:val="21"/>
                      <w:szCs w:val="21"/>
                    </w:rPr>
                    <w:t>厂界</w:t>
                  </w:r>
                </w:p>
              </w:tc>
              <w:tc>
                <w:tcPr>
                  <w:tcW w:w="346" w:type="pct"/>
                  <w:vAlign w:val="center"/>
                </w:tcPr>
                <w:p w14:paraId="38C8D9C0">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385" w:type="pct"/>
                  <w:vAlign w:val="center"/>
                </w:tcPr>
                <w:p w14:paraId="0C565A5E">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400" w:type="pct"/>
                  <w:vAlign w:val="center"/>
                </w:tcPr>
                <w:p w14:paraId="67D583CA">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1026" w:type="pct"/>
                  <w:vAlign w:val="center"/>
                </w:tcPr>
                <w:p w14:paraId="052DCCB4">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376" w:type="pct"/>
                  <w:vAlign w:val="center"/>
                </w:tcPr>
                <w:p w14:paraId="4912D395">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470" w:type="pct"/>
                  <w:vAlign w:val="center"/>
                </w:tcPr>
                <w:p w14:paraId="724BCBD3">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732" w:type="pct"/>
                  <w:vAlign w:val="center"/>
                </w:tcPr>
                <w:p w14:paraId="60D74F8B">
                  <w:pPr>
                    <w:adjustRightInd w:val="0"/>
                    <w:snapToGrid w:val="0"/>
                    <w:spacing w:line="240" w:lineRule="auto"/>
                    <w:ind w:firstLine="0" w:firstLineChars="0"/>
                    <w:jc w:val="center"/>
                    <w:rPr>
                      <w:color w:val="0000FF"/>
                      <w:sz w:val="21"/>
                      <w:szCs w:val="21"/>
                    </w:rPr>
                  </w:pPr>
                  <w:r>
                    <w:rPr>
                      <w:rFonts w:hint="eastAsia"/>
                      <w:color w:val="0000FF"/>
                      <w:sz w:val="21"/>
                      <w:szCs w:val="21"/>
                    </w:rPr>
                    <w:t>油烟</w:t>
                  </w:r>
                </w:p>
              </w:tc>
              <w:tc>
                <w:tcPr>
                  <w:tcW w:w="357" w:type="pct"/>
                  <w:vAlign w:val="center"/>
                </w:tcPr>
                <w:p w14:paraId="3F1364EF">
                  <w:pPr>
                    <w:adjustRightInd w:val="0"/>
                    <w:snapToGrid w:val="0"/>
                    <w:spacing w:line="240" w:lineRule="auto"/>
                    <w:ind w:firstLine="0" w:firstLineChars="0"/>
                    <w:jc w:val="center"/>
                    <w:rPr>
                      <w:color w:val="0000FF"/>
                      <w:sz w:val="21"/>
                      <w:szCs w:val="21"/>
                    </w:rPr>
                  </w:pPr>
                  <w:r>
                    <w:rPr>
                      <w:rFonts w:hint="eastAsia"/>
                      <w:color w:val="0000FF"/>
                      <w:sz w:val="21"/>
                      <w:szCs w:val="21"/>
                    </w:rPr>
                    <w:t>半年</w:t>
                  </w:r>
                </w:p>
              </w:tc>
            </w:tr>
            <w:tr w14:paraId="0396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 w:type="pct"/>
                  <w:vMerge w:val="continue"/>
                  <w:vAlign w:val="center"/>
                </w:tcPr>
                <w:p w14:paraId="25465227">
                  <w:pPr>
                    <w:adjustRightInd w:val="0"/>
                    <w:snapToGrid w:val="0"/>
                    <w:spacing w:line="240" w:lineRule="auto"/>
                    <w:ind w:firstLine="0" w:firstLineChars="0"/>
                    <w:jc w:val="center"/>
                    <w:rPr>
                      <w:color w:val="0000FF"/>
                      <w:sz w:val="21"/>
                      <w:szCs w:val="21"/>
                    </w:rPr>
                  </w:pPr>
                </w:p>
              </w:tc>
              <w:tc>
                <w:tcPr>
                  <w:tcW w:w="515" w:type="pct"/>
                  <w:vAlign w:val="center"/>
                </w:tcPr>
                <w:p w14:paraId="15CA5C04">
                  <w:pPr>
                    <w:adjustRightInd w:val="0"/>
                    <w:snapToGrid w:val="0"/>
                    <w:spacing w:line="240" w:lineRule="auto"/>
                    <w:ind w:firstLine="0" w:firstLineChars="0"/>
                    <w:jc w:val="center"/>
                    <w:rPr>
                      <w:color w:val="0000FF"/>
                      <w:sz w:val="21"/>
                      <w:szCs w:val="21"/>
                    </w:rPr>
                  </w:pPr>
                  <w:r>
                    <w:rPr>
                      <w:rFonts w:hint="eastAsia"/>
                      <w:color w:val="0000FF"/>
                      <w:sz w:val="21"/>
                      <w:szCs w:val="21"/>
                    </w:rPr>
                    <w:t>厂界</w:t>
                  </w:r>
                </w:p>
              </w:tc>
              <w:tc>
                <w:tcPr>
                  <w:tcW w:w="346" w:type="pct"/>
                  <w:shd w:val="clear" w:color="auto" w:fill="auto"/>
                  <w:vAlign w:val="center"/>
                </w:tcPr>
                <w:p w14:paraId="0F38C1A0">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385" w:type="pct"/>
                  <w:shd w:val="clear" w:color="auto" w:fill="auto"/>
                  <w:vAlign w:val="center"/>
                </w:tcPr>
                <w:p w14:paraId="0F68C522">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400" w:type="pct"/>
                  <w:shd w:val="clear" w:color="auto" w:fill="auto"/>
                  <w:vAlign w:val="center"/>
                </w:tcPr>
                <w:p w14:paraId="415F710F">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1026" w:type="pct"/>
                  <w:shd w:val="clear" w:color="auto" w:fill="auto"/>
                  <w:vAlign w:val="center"/>
                </w:tcPr>
                <w:p w14:paraId="05811FC6">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376" w:type="pct"/>
                  <w:shd w:val="clear" w:color="auto" w:fill="auto"/>
                  <w:vAlign w:val="center"/>
                </w:tcPr>
                <w:p w14:paraId="45ACA1CE">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470" w:type="pct"/>
                  <w:shd w:val="clear" w:color="auto" w:fill="auto"/>
                  <w:vAlign w:val="center"/>
                </w:tcPr>
                <w:p w14:paraId="0AC8427E">
                  <w:pPr>
                    <w:adjustRightInd w:val="0"/>
                    <w:snapToGrid w:val="0"/>
                    <w:spacing w:line="240" w:lineRule="auto"/>
                    <w:ind w:firstLine="0" w:firstLineChars="0"/>
                    <w:jc w:val="center"/>
                    <w:rPr>
                      <w:color w:val="0000FF"/>
                      <w:sz w:val="21"/>
                      <w:szCs w:val="21"/>
                    </w:rPr>
                  </w:pPr>
                  <w:r>
                    <w:rPr>
                      <w:rFonts w:hint="eastAsia"/>
                      <w:color w:val="0000FF"/>
                      <w:sz w:val="21"/>
                      <w:szCs w:val="21"/>
                    </w:rPr>
                    <w:t>/</w:t>
                  </w:r>
                </w:p>
              </w:tc>
              <w:tc>
                <w:tcPr>
                  <w:tcW w:w="732" w:type="pct"/>
                  <w:vAlign w:val="center"/>
                </w:tcPr>
                <w:p w14:paraId="3FAB8968">
                  <w:pPr>
                    <w:adjustRightInd w:val="0"/>
                    <w:snapToGrid w:val="0"/>
                    <w:spacing w:line="240" w:lineRule="auto"/>
                    <w:ind w:firstLine="0" w:firstLineChars="0"/>
                    <w:jc w:val="center"/>
                    <w:rPr>
                      <w:color w:val="0000FF"/>
                      <w:sz w:val="21"/>
                      <w:szCs w:val="21"/>
                    </w:rPr>
                  </w:pPr>
                  <w:r>
                    <w:rPr>
                      <w:rFonts w:hint="eastAsia"/>
                      <w:color w:val="0000FF"/>
                      <w:sz w:val="21"/>
                      <w:szCs w:val="21"/>
                    </w:rPr>
                    <w:t>臭气浓度、硫化氢、氨</w:t>
                  </w:r>
                </w:p>
              </w:tc>
              <w:tc>
                <w:tcPr>
                  <w:tcW w:w="357" w:type="pct"/>
                  <w:vAlign w:val="center"/>
                </w:tcPr>
                <w:p w14:paraId="32C32603">
                  <w:pPr>
                    <w:adjustRightInd w:val="0"/>
                    <w:snapToGrid w:val="0"/>
                    <w:spacing w:line="240" w:lineRule="auto"/>
                    <w:ind w:firstLine="0" w:firstLineChars="0"/>
                    <w:jc w:val="center"/>
                    <w:rPr>
                      <w:color w:val="0000FF"/>
                      <w:sz w:val="21"/>
                      <w:szCs w:val="21"/>
                    </w:rPr>
                  </w:pPr>
                  <w:r>
                    <w:rPr>
                      <w:rFonts w:hint="eastAsia"/>
                      <w:color w:val="0000FF"/>
                      <w:sz w:val="21"/>
                      <w:szCs w:val="21"/>
                    </w:rPr>
                    <w:t>半年</w:t>
                  </w:r>
                </w:p>
              </w:tc>
            </w:tr>
          </w:tbl>
          <w:p w14:paraId="2CF09809">
            <w:r>
              <w:rPr>
                <w:rFonts w:hint="eastAsia"/>
              </w:rPr>
              <w:t>（3）污染防治措施可行性分析</w:t>
            </w:r>
          </w:p>
          <w:p w14:paraId="2505632B">
            <w:r>
              <w:t>项目</w:t>
            </w:r>
            <w:r>
              <w:rPr>
                <w:rFonts w:hint="eastAsia"/>
              </w:rPr>
              <w:t>炒制油烟</w:t>
            </w:r>
            <w:r>
              <w:t>采用</w:t>
            </w:r>
            <w:r>
              <w:rPr>
                <w:rFonts w:hint="eastAsia"/>
              </w:rPr>
              <w:t>静电油烟处理器</w:t>
            </w:r>
            <w:r>
              <w:t>处理，</w:t>
            </w:r>
            <w:r>
              <w:rPr>
                <w:rFonts w:hint="eastAsia"/>
              </w:rPr>
              <w:t>参照</w:t>
            </w:r>
            <w:r>
              <w:t>《排污许可证申请与核发技术规范</w:t>
            </w:r>
            <w:r>
              <w:rPr>
                <w:rFonts w:hint="eastAsia"/>
              </w:rPr>
              <w:t xml:space="preserve"> </w:t>
            </w:r>
            <w:r>
              <w:t>食品</w:t>
            </w:r>
            <w:r>
              <w:rPr>
                <w:rFonts w:hint="eastAsia"/>
              </w:rPr>
              <w:t>制造</w:t>
            </w:r>
            <w:r>
              <w:t>工业—</w:t>
            </w:r>
            <w:r>
              <w:rPr>
                <w:rFonts w:hint="eastAsia"/>
              </w:rPr>
              <w:t>方便食品、食品及饲料添加剂制造工业</w:t>
            </w:r>
            <w:r>
              <w:t>》（HJ</w:t>
            </w:r>
            <w:r>
              <w:rPr>
                <w:rFonts w:hint="eastAsia"/>
              </w:rPr>
              <w:t>1030.3-2019</w:t>
            </w:r>
            <w:r>
              <w:t>）</w:t>
            </w:r>
            <w:r>
              <w:rPr>
                <w:rFonts w:hint="eastAsia"/>
              </w:rPr>
              <w:t>，油烟处理的可行措施包括：静电油烟处理器；湿法油烟处理器（油烟滤清机、水浴式油烟处理器、旋流板塔油烟处理器、文式管油烟处理器）；其他措施可行。</w:t>
            </w:r>
          </w:p>
          <w:p w14:paraId="5ABA308D">
            <w:pPr>
              <w:adjustRightInd w:val="0"/>
              <w:snapToGrid w:val="0"/>
              <w:rPr>
                <w:color w:val="0000FF"/>
              </w:rPr>
            </w:pPr>
            <w:r>
              <w:rPr>
                <w:rFonts w:hint="eastAsia"/>
                <w:color w:val="000000" w:themeColor="text1"/>
                <w14:textFill>
                  <w14:solidFill>
                    <w14:schemeClr w14:val="tx1"/>
                  </w14:solidFill>
                </w14:textFill>
              </w:rPr>
              <w:t>项目蒸汽发生器燃烧废气，</w:t>
            </w:r>
            <w:r>
              <w:rPr>
                <w:rFonts w:hint="eastAsia"/>
              </w:rPr>
              <w:t>根据《排污许可证申请与核发技术规范锅炉》（HJ953-2018）表3锅炉烟气污染防治可行技术中燃气锅炉所产生的氮氧化物污染防治可行技术为</w:t>
            </w:r>
            <w:r>
              <w:t>①</w:t>
            </w:r>
            <w:r>
              <w:rPr>
                <w:rFonts w:ascii="Calibri" w:hAnsi="Calibri" w:cs="Calibri"/>
              </w:rPr>
              <w:t>低氮燃烧</w:t>
            </w:r>
            <w:r>
              <w:t>②SCR</w:t>
            </w:r>
            <w:r>
              <w:rPr>
                <w:rFonts w:ascii="Calibri" w:hAnsi="Calibri" w:cs="Calibri"/>
              </w:rPr>
              <w:t>法</w:t>
            </w:r>
            <w:r>
              <w:t>③低氮燃烧+SCR法</w:t>
            </w:r>
            <w:r>
              <w:fldChar w:fldCharType="begin"/>
            </w:r>
            <w:r>
              <w:instrText xml:space="preserve"> = 4 \* GB3 \* MERGEFORMAT </w:instrText>
            </w:r>
            <w:r>
              <w:fldChar w:fldCharType="separate"/>
            </w:r>
            <w:r>
              <w:t>④</w:t>
            </w:r>
            <w:r>
              <w:fldChar w:fldCharType="end"/>
            </w:r>
            <w:r>
              <w:t>其他</w:t>
            </w:r>
            <w:r>
              <w:rPr>
                <w:rFonts w:hint="eastAsia"/>
              </w:rPr>
              <w:t>。本</w:t>
            </w:r>
            <w:r>
              <w:rPr>
                <w:rFonts w:hint="eastAsia"/>
                <w:color w:val="0000FF"/>
              </w:rPr>
              <w:t>项目蒸汽发生器安装低氮燃烧器，烟气通过15m高排气筒（DA002）排放，为可行技术。</w:t>
            </w:r>
          </w:p>
          <w:p w14:paraId="33E57973">
            <w:pPr>
              <w:adjustRightInd w:val="0"/>
              <w:snapToGrid w:val="0"/>
            </w:pPr>
            <w:r>
              <w:rPr>
                <w:rFonts w:hint="eastAsia"/>
              </w:rPr>
              <w:t>（4）</w:t>
            </w:r>
            <w:r>
              <w:t>非正常工况分析</w:t>
            </w:r>
          </w:p>
          <w:p w14:paraId="0570FDA8">
            <w:pPr>
              <w:widowControl/>
              <w:adjustRightInd w:val="0"/>
              <w:snapToGrid w:val="0"/>
              <w:jc w:val="left"/>
            </w:pPr>
            <w:r>
              <w:t>非正常工况是指生产运行阶段的检修、操作不正常或设备故障等引起的一般性事故排放。根据本项目的污染物特点及工程分析，项目非正</w:t>
            </w:r>
            <w:r>
              <w:rPr>
                <w:rFonts w:hint="eastAsia"/>
              </w:rPr>
              <w:t>常</w:t>
            </w:r>
            <w:r>
              <w:t>工况污染源主要是</w:t>
            </w:r>
            <w:r>
              <w:rPr>
                <w:rFonts w:hint="eastAsia"/>
              </w:rPr>
              <w:t>蒸汽发生器燃烧废气处理设施“</w:t>
            </w:r>
            <w:r>
              <w:t>低氮燃烧</w:t>
            </w:r>
            <w:r>
              <w:rPr>
                <w:rFonts w:hint="eastAsia"/>
              </w:rPr>
              <w:t>器”，炒制废气处理设施“静电油烟净化器”</w:t>
            </w:r>
            <w:r>
              <w:rPr>
                <w:rFonts w:hint="eastAsia" w:ascii="宋体" w:hAnsi="宋体" w:cs="宋体"/>
              </w:rPr>
              <w:t>处</w:t>
            </w:r>
            <w:r>
              <w:t>理</w:t>
            </w:r>
            <w:r>
              <w:rPr>
                <w:lang w:bidi="ar"/>
              </w:rPr>
              <w:t>效率下降或</w:t>
            </w:r>
            <w:r>
              <w:t>故障</w:t>
            </w:r>
            <w:r>
              <w:rPr>
                <w:lang w:bidi="ar"/>
              </w:rPr>
              <w:t>，引起的</w:t>
            </w:r>
            <w:r>
              <w:rPr>
                <w:rFonts w:hint="eastAsia"/>
              </w:rPr>
              <w:t>氮氧化物、油烟</w:t>
            </w:r>
            <w:r>
              <w:rPr>
                <w:lang w:bidi="ar"/>
              </w:rPr>
              <w:t>事故排放。事故持续时间在</w:t>
            </w:r>
            <w:r>
              <w:rPr>
                <w:rFonts w:hint="eastAsia"/>
                <w:lang w:bidi="ar"/>
              </w:rPr>
              <w:t>0.5</w:t>
            </w:r>
            <w:r>
              <w:rPr>
                <w:lang w:bidi="ar"/>
              </w:rPr>
              <w:t>小时之内，非正常工况条件下废气排放源强及排放情况见下表</w:t>
            </w:r>
            <w:r>
              <w:t>：</w:t>
            </w:r>
          </w:p>
          <w:p w14:paraId="5ABFD771">
            <w:pPr>
              <w:adjustRightInd w:val="0"/>
              <w:snapToGrid w:val="0"/>
              <w:spacing w:line="240" w:lineRule="auto"/>
              <w:ind w:firstLine="482"/>
              <w:jc w:val="center"/>
              <w:rPr>
                <w:b/>
                <w:bCs/>
              </w:rPr>
            </w:pPr>
            <w:r>
              <w:rPr>
                <w:b/>
                <w:bCs/>
              </w:rPr>
              <w:t>表4</w:t>
            </w:r>
            <w:r>
              <w:rPr>
                <w:rFonts w:hint="eastAsia"/>
                <w:b/>
                <w:bCs/>
              </w:rPr>
              <w:t>-4</w:t>
            </w:r>
            <w:r>
              <w:rPr>
                <w:b/>
                <w:bCs/>
              </w:rPr>
              <w:t xml:space="preserve">  非正常工况下污染物排放一览表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828"/>
              <w:gridCol w:w="1360"/>
              <w:gridCol w:w="665"/>
              <w:gridCol w:w="781"/>
              <w:gridCol w:w="1110"/>
              <w:gridCol w:w="772"/>
              <w:gridCol w:w="671"/>
              <w:gridCol w:w="1162"/>
            </w:tblGrid>
            <w:tr w14:paraId="3012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vAlign w:val="center"/>
                </w:tcPr>
                <w:p w14:paraId="0CB8F9D9">
                  <w:pPr>
                    <w:adjustRightInd w:val="0"/>
                    <w:snapToGrid w:val="0"/>
                    <w:spacing w:line="240" w:lineRule="auto"/>
                    <w:ind w:firstLine="0" w:firstLineChars="0"/>
                    <w:jc w:val="center"/>
                    <w:outlineLvl w:val="0"/>
                    <w:rPr>
                      <w:sz w:val="21"/>
                      <w:szCs w:val="21"/>
                    </w:rPr>
                  </w:pPr>
                  <w:r>
                    <w:rPr>
                      <w:sz w:val="21"/>
                      <w:szCs w:val="21"/>
                    </w:rPr>
                    <w:t>序号</w:t>
                  </w:r>
                </w:p>
              </w:tc>
              <w:tc>
                <w:tcPr>
                  <w:tcW w:w="519" w:type="pct"/>
                  <w:vAlign w:val="center"/>
                </w:tcPr>
                <w:p w14:paraId="2F55AD9C">
                  <w:pPr>
                    <w:adjustRightInd w:val="0"/>
                    <w:snapToGrid w:val="0"/>
                    <w:spacing w:line="240" w:lineRule="auto"/>
                    <w:ind w:firstLine="0" w:firstLineChars="0"/>
                    <w:jc w:val="center"/>
                    <w:outlineLvl w:val="0"/>
                    <w:rPr>
                      <w:sz w:val="21"/>
                      <w:szCs w:val="21"/>
                    </w:rPr>
                  </w:pPr>
                  <w:r>
                    <w:rPr>
                      <w:sz w:val="21"/>
                      <w:szCs w:val="21"/>
                    </w:rPr>
                    <w:t>污染源</w:t>
                  </w:r>
                </w:p>
              </w:tc>
              <w:tc>
                <w:tcPr>
                  <w:tcW w:w="852" w:type="pct"/>
                  <w:vAlign w:val="center"/>
                </w:tcPr>
                <w:p w14:paraId="04F200DC">
                  <w:pPr>
                    <w:adjustRightInd w:val="0"/>
                    <w:snapToGrid w:val="0"/>
                    <w:spacing w:line="240" w:lineRule="auto"/>
                    <w:ind w:firstLine="0" w:firstLineChars="0"/>
                    <w:jc w:val="center"/>
                    <w:outlineLvl w:val="0"/>
                    <w:rPr>
                      <w:sz w:val="21"/>
                      <w:szCs w:val="21"/>
                    </w:rPr>
                  </w:pPr>
                  <w:r>
                    <w:rPr>
                      <w:sz w:val="21"/>
                      <w:szCs w:val="21"/>
                    </w:rPr>
                    <w:t>非正常排放原因</w:t>
                  </w:r>
                </w:p>
              </w:tc>
              <w:tc>
                <w:tcPr>
                  <w:tcW w:w="417" w:type="pct"/>
                  <w:vAlign w:val="center"/>
                </w:tcPr>
                <w:p w14:paraId="53179A77">
                  <w:pPr>
                    <w:adjustRightInd w:val="0"/>
                    <w:snapToGrid w:val="0"/>
                    <w:spacing w:line="240" w:lineRule="auto"/>
                    <w:ind w:firstLine="0" w:firstLineChars="0"/>
                    <w:jc w:val="center"/>
                    <w:outlineLvl w:val="0"/>
                    <w:rPr>
                      <w:sz w:val="21"/>
                      <w:szCs w:val="21"/>
                    </w:rPr>
                  </w:pPr>
                  <w:r>
                    <w:rPr>
                      <w:sz w:val="21"/>
                      <w:szCs w:val="21"/>
                    </w:rPr>
                    <w:t>污染物</w:t>
                  </w:r>
                </w:p>
              </w:tc>
              <w:tc>
                <w:tcPr>
                  <w:tcW w:w="490" w:type="pct"/>
                  <w:vAlign w:val="center"/>
                </w:tcPr>
                <w:p w14:paraId="4B8D96F4">
                  <w:pPr>
                    <w:adjustRightInd w:val="0"/>
                    <w:snapToGrid w:val="0"/>
                    <w:spacing w:line="240" w:lineRule="auto"/>
                    <w:ind w:firstLine="0" w:firstLineChars="0"/>
                    <w:jc w:val="center"/>
                    <w:outlineLvl w:val="0"/>
                    <w:rPr>
                      <w:sz w:val="21"/>
                      <w:szCs w:val="21"/>
                    </w:rPr>
                  </w:pPr>
                  <w:r>
                    <w:rPr>
                      <w:sz w:val="21"/>
                      <w:szCs w:val="21"/>
                    </w:rPr>
                    <w:t>频次</w:t>
                  </w:r>
                </w:p>
              </w:tc>
              <w:tc>
                <w:tcPr>
                  <w:tcW w:w="695" w:type="pct"/>
                  <w:vAlign w:val="center"/>
                </w:tcPr>
                <w:p w14:paraId="11E4F2AC">
                  <w:pPr>
                    <w:adjustRightInd w:val="0"/>
                    <w:snapToGrid w:val="0"/>
                    <w:spacing w:line="240" w:lineRule="auto"/>
                    <w:ind w:firstLine="0" w:firstLineChars="0"/>
                    <w:jc w:val="center"/>
                    <w:outlineLvl w:val="0"/>
                    <w:rPr>
                      <w:sz w:val="21"/>
                      <w:szCs w:val="21"/>
                    </w:rPr>
                  </w:pPr>
                  <w:r>
                    <w:rPr>
                      <w:sz w:val="21"/>
                      <w:szCs w:val="21"/>
                    </w:rPr>
                    <w:t>排放量t/a</w:t>
                  </w:r>
                </w:p>
              </w:tc>
              <w:tc>
                <w:tcPr>
                  <w:tcW w:w="484" w:type="pct"/>
                  <w:vAlign w:val="center"/>
                </w:tcPr>
                <w:p w14:paraId="173E76C5">
                  <w:pPr>
                    <w:adjustRightInd w:val="0"/>
                    <w:snapToGrid w:val="0"/>
                    <w:spacing w:line="240" w:lineRule="auto"/>
                    <w:ind w:firstLine="0" w:firstLineChars="0"/>
                    <w:jc w:val="center"/>
                    <w:outlineLvl w:val="0"/>
                    <w:rPr>
                      <w:sz w:val="21"/>
                      <w:szCs w:val="21"/>
                    </w:rPr>
                  </w:pPr>
                  <w:r>
                    <w:rPr>
                      <w:sz w:val="21"/>
                      <w:szCs w:val="21"/>
                    </w:rPr>
                    <w:t>排放浓度mg/m</w:t>
                  </w:r>
                  <w:r>
                    <w:rPr>
                      <w:sz w:val="21"/>
                      <w:szCs w:val="21"/>
                      <w:vertAlign w:val="superscript"/>
                    </w:rPr>
                    <w:t>3</w:t>
                  </w:r>
                </w:p>
              </w:tc>
              <w:tc>
                <w:tcPr>
                  <w:tcW w:w="421" w:type="pct"/>
                  <w:vAlign w:val="center"/>
                </w:tcPr>
                <w:p w14:paraId="525F2594">
                  <w:pPr>
                    <w:adjustRightInd w:val="0"/>
                    <w:snapToGrid w:val="0"/>
                    <w:spacing w:line="240" w:lineRule="auto"/>
                    <w:ind w:firstLine="0" w:firstLineChars="0"/>
                    <w:jc w:val="center"/>
                    <w:outlineLvl w:val="0"/>
                    <w:rPr>
                      <w:sz w:val="21"/>
                      <w:szCs w:val="21"/>
                    </w:rPr>
                  </w:pPr>
                  <w:r>
                    <w:rPr>
                      <w:sz w:val="21"/>
                      <w:szCs w:val="21"/>
                    </w:rPr>
                    <w:t>持续时间/h</w:t>
                  </w:r>
                </w:p>
              </w:tc>
              <w:tc>
                <w:tcPr>
                  <w:tcW w:w="728" w:type="pct"/>
                  <w:vAlign w:val="center"/>
                </w:tcPr>
                <w:p w14:paraId="27317995">
                  <w:pPr>
                    <w:adjustRightInd w:val="0"/>
                    <w:snapToGrid w:val="0"/>
                    <w:spacing w:line="240" w:lineRule="auto"/>
                    <w:ind w:firstLine="0" w:firstLineChars="0"/>
                    <w:jc w:val="center"/>
                    <w:outlineLvl w:val="0"/>
                    <w:rPr>
                      <w:sz w:val="21"/>
                      <w:szCs w:val="21"/>
                    </w:rPr>
                  </w:pPr>
                  <w:r>
                    <w:rPr>
                      <w:sz w:val="21"/>
                      <w:szCs w:val="21"/>
                    </w:rPr>
                    <w:t>措施</w:t>
                  </w:r>
                </w:p>
              </w:tc>
            </w:tr>
            <w:tr w14:paraId="2053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vAlign w:val="center"/>
                </w:tcPr>
                <w:p w14:paraId="3DEF0E27">
                  <w:pPr>
                    <w:adjustRightInd w:val="0"/>
                    <w:snapToGrid w:val="0"/>
                    <w:spacing w:line="240" w:lineRule="auto"/>
                    <w:ind w:firstLine="0" w:firstLineChars="0"/>
                    <w:jc w:val="center"/>
                    <w:outlineLvl w:val="0"/>
                    <w:rPr>
                      <w:sz w:val="21"/>
                      <w:szCs w:val="21"/>
                    </w:rPr>
                  </w:pPr>
                  <w:r>
                    <w:rPr>
                      <w:rFonts w:hint="eastAsia"/>
                      <w:sz w:val="21"/>
                      <w:szCs w:val="21"/>
                    </w:rPr>
                    <w:t>1</w:t>
                  </w:r>
                </w:p>
              </w:tc>
              <w:tc>
                <w:tcPr>
                  <w:tcW w:w="519" w:type="pct"/>
                  <w:vAlign w:val="center"/>
                </w:tcPr>
                <w:p w14:paraId="16FEC144">
                  <w:pPr>
                    <w:adjustRightInd w:val="0"/>
                    <w:snapToGrid w:val="0"/>
                    <w:spacing w:line="240" w:lineRule="auto"/>
                    <w:ind w:firstLine="0" w:firstLineChars="0"/>
                    <w:jc w:val="center"/>
                    <w:outlineLvl w:val="0"/>
                    <w:rPr>
                      <w:sz w:val="21"/>
                      <w:szCs w:val="21"/>
                    </w:rPr>
                  </w:pPr>
                  <w:r>
                    <w:rPr>
                      <w:rFonts w:hint="eastAsia"/>
                      <w:sz w:val="21"/>
                      <w:szCs w:val="21"/>
                    </w:rPr>
                    <w:t>DA001</w:t>
                  </w:r>
                </w:p>
              </w:tc>
              <w:tc>
                <w:tcPr>
                  <w:tcW w:w="852" w:type="pct"/>
                  <w:vAlign w:val="center"/>
                </w:tcPr>
                <w:p w14:paraId="4649120A">
                  <w:pPr>
                    <w:adjustRightInd w:val="0"/>
                    <w:snapToGrid w:val="0"/>
                    <w:spacing w:line="240" w:lineRule="auto"/>
                    <w:ind w:firstLine="0" w:firstLineChars="0"/>
                    <w:jc w:val="center"/>
                    <w:outlineLvl w:val="0"/>
                    <w:rPr>
                      <w:sz w:val="21"/>
                      <w:szCs w:val="21"/>
                    </w:rPr>
                  </w:pPr>
                  <w:r>
                    <w:rPr>
                      <w:rFonts w:hint="eastAsia"/>
                      <w:sz w:val="21"/>
                      <w:szCs w:val="21"/>
                    </w:rPr>
                    <w:t>炒制废气</w:t>
                  </w:r>
                  <w:r>
                    <w:rPr>
                      <w:sz w:val="21"/>
                      <w:szCs w:val="21"/>
                    </w:rPr>
                    <w:t>处理设施“</w:t>
                  </w:r>
                  <w:r>
                    <w:rPr>
                      <w:rFonts w:hint="eastAsia"/>
                      <w:sz w:val="21"/>
                      <w:szCs w:val="21"/>
                    </w:rPr>
                    <w:t>静电油烟净化器</w:t>
                  </w:r>
                  <w:r>
                    <w:rPr>
                      <w:sz w:val="21"/>
                      <w:szCs w:val="21"/>
                    </w:rPr>
                    <w:t>”处理效率下降或故障，处理效率为0</w:t>
                  </w:r>
                </w:p>
              </w:tc>
              <w:tc>
                <w:tcPr>
                  <w:tcW w:w="417" w:type="pct"/>
                  <w:vAlign w:val="center"/>
                </w:tcPr>
                <w:p w14:paraId="7C45D648">
                  <w:pPr>
                    <w:adjustRightInd w:val="0"/>
                    <w:snapToGrid w:val="0"/>
                    <w:spacing w:line="240" w:lineRule="auto"/>
                    <w:ind w:firstLine="0" w:firstLineChars="0"/>
                    <w:jc w:val="center"/>
                    <w:rPr>
                      <w:sz w:val="21"/>
                      <w:szCs w:val="21"/>
                    </w:rPr>
                  </w:pPr>
                  <w:r>
                    <w:rPr>
                      <w:rFonts w:hint="eastAsia"/>
                      <w:sz w:val="21"/>
                      <w:szCs w:val="21"/>
                    </w:rPr>
                    <w:t>油烟</w:t>
                  </w:r>
                </w:p>
              </w:tc>
              <w:tc>
                <w:tcPr>
                  <w:tcW w:w="490" w:type="pct"/>
                  <w:shd w:val="clear" w:color="auto" w:fill="auto"/>
                  <w:vAlign w:val="center"/>
                </w:tcPr>
                <w:p w14:paraId="1E3A8165">
                  <w:pPr>
                    <w:adjustRightInd w:val="0"/>
                    <w:snapToGrid w:val="0"/>
                    <w:spacing w:line="240" w:lineRule="auto"/>
                    <w:ind w:firstLine="0" w:firstLineChars="0"/>
                    <w:jc w:val="center"/>
                    <w:outlineLvl w:val="0"/>
                    <w:rPr>
                      <w:sz w:val="21"/>
                      <w:szCs w:val="21"/>
                    </w:rPr>
                  </w:pPr>
                  <w:r>
                    <w:rPr>
                      <w:sz w:val="21"/>
                      <w:szCs w:val="21"/>
                    </w:rPr>
                    <w:t>1~2次/年</w:t>
                  </w:r>
                </w:p>
              </w:tc>
              <w:tc>
                <w:tcPr>
                  <w:tcW w:w="695" w:type="pct"/>
                  <w:shd w:val="clear" w:color="auto" w:fill="auto"/>
                  <w:vAlign w:val="center"/>
                </w:tcPr>
                <w:p w14:paraId="4582AF45">
                  <w:pPr>
                    <w:autoSpaceDE w:val="0"/>
                    <w:autoSpaceDN w:val="0"/>
                    <w:adjustRightInd w:val="0"/>
                    <w:snapToGrid w:val="0"/>
                    <w:spacing w:line="240" w:lineRule="auto"/>
                    <w:ind w:firstLine="0" w:firstLineChars="0"/>
                    <w:jc w:val="center"/>
                    <w:rPr>
                      <w:color w:val="0000FF"/>
                      <w:sz w:val="21"/>
                      <w:szCs w:val="21"/>
                    </w:rPr>
                  </w:pPr>
                  <w:r>
                    <w:rPr>
                      <w:rFonts w:hint="eastAsia"/>
                      <w:color w:val="0000FF"/>
                      <w:sz w:val="21"/>
                      <w:szCs w:val="21"/>
                    </w:rPr>
                    <w:t>0.061</w:t>
                  </w:r>
                </w:p>
              </w:tc>
              <w:tc>
                <w:tcPr>
                  <w:tcW w:w="484" w:type="pct"/>
                  <w:shd w:val="clear" w:color="auto" w:fill="auto"/>
                  <w:vAlign w:val="center"/>
                </w:tcPr>
                <w:p w14:paraId="418AD105">
                  <w:pPr>
                    <w:adjustRightInd w:val="0"/>
                    <w:snapToGrid w:val="0"/>
                    <w:spacing w:line="240" w:lineRule="auto"/>
                    <w:ind w:firstLine="0" w:firstLineChars="0"/>
                    <w:jc w:val="center"/>
                    <w:rPr>
                      <w:color w:val="0000FF"/>
                      <w:sz w:val="21"/>
                      <w:szCs w:val="21"/>
                    </w:rPr>
                  </w:pPr>
                  <w:r>
                    <w:rPr>
                      <w:rFonts w:hint="eastAsia"/>
                      <w:color w:val="0000FF"/>
                      <w:sz w:val="21"/>
                      <w:szCs w:val="21"/>
                    </w:rPr>
                    <w:t>6.79</w:t>
                  </w:r>
                </w:p>
              </w:tc>
              <w:tc>
                <w:tcPr>
                  <w:tcW w:w="421" w:type="pct"/>
                  <w:vMerge w:val="restart"/>
                  <w:shd w:val="clear" w:color="auto" w:fill="auto"/>
                  <w:vAlign w:val="center"/>
                </w:tcPr>
                <w:p w14:paraId="05817653">
                  <w:pPr>
                    <w:adjustRightInd w:val="0"/>
                    <w:snapToGrid w:val="0"/>
                    <w:spacing w:line="240" w:lineRule="auto"/>
                    <w:ind w:firstLine="0" w:firstLineChars="0"/>
                    <w:jc w:val="center"/>
                    <w:outlineLvl w:val="0"/>
                    <w:rPr>
                      <w:color w:val="0000FF"/>
                      <w:sz w:val="21"/>
                      <w:szCs w:val="21"/>
                    </w:rPr>
                  </w:pPr>
                  <w:r>
                    <w:rPr>
                      <w:color w:val="0000FF"/>
                      <w:sz w:val="21"/>
                      <w:szCs w:val="21"/>
                    </w:rPr>
                    <w:t>0.5</w:t>
                  </w:r>
                </w:p>
              </w:tc>
              <w:tc>
                <w:tcPr>
                  <w:tcW w:w="728" w:type="pct"/>
                  <w:vMerge w:val="restart"/>
                  <w:vAlign w:val="center"/>
                </w:tcPr>
                <w:p w14:paraId="52A508E5">
                  <w:pPr>
                    <w:adjustRightInd w:val="0"/>
                    <w:snapToGrid w:val="0"/>
                    <w:spacing w:line="240" w:lineRule="auto"/>
                    <w:ind w:firstLine="0" w:firstLineChars="0"/>
                    <w:jc w:val="center"/>
                    <w:outlineLvl w:val="0"/>
                    <w:rPr>
                      <w:sz w:val="21"/>
                      <w:szCs w:val="21"/>
                    </w:rPr>
                  </w:pPr>
                  <w:r>
                    <w:rPr>
                      <w:sz w:val="21"/>
                      <w:szCs w:val="21"/>
                    </w:rPr>
                    <w:t>立即停止生产进行检修，直至废气治理设施正常运行。并定期对废气处理装置维护、维修、保养。</w:t>
                  </w:r>
                </w:p>
              </w:tc>
            </w:tr>
            <w:tr w14:paraId="3232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0" w:type="pct"/>
                  <w:vAlign w:val="center"/>
                </w:tcPr>
                <w:p w14:paraId="3063D0AE">
                  <w:pPr>
                    <w:adjustRightInd w:val="0"/>
                    <w:snapToGrid w:val="0"/>
                    <w:spacing w:line="240" w:lineRule="auto"/>
                    <w:ind w:firstLine="0" w:firstLineChars="0"/>
                    <w:jc w:val="center"/>
                    <w:outlineLvl w:val="0"/>
                    <w:rPr>
                      <w:sz w:val="21"/>
                      <w:szCs w:val="21"/>
                    </w:rPr>
                  </w:pPr>
                  <w:r>
                    <w:rPr>
                      <w:rFonts w:hint="eastAsia"/>
                      <w:sz w:val="21"/>
                      <w:szCs w:val="21"/>
                    </w:rPr>
                    <w:t>2</w:t>
                  </w:r>
                </w:p>
              </w:tc>
              <w:tc>
                <w:tcPr>
                  <w:tcW w:w="519" w:type="pct"/>
                  <w:shd w:val="clear" w:color="auto" w:fill="auto"/>
                  <w:vAlign w:val="center"/>
                </w:tcPr>
                <w:p w14:paraId="00496F6B">
                  <w:pPr>
                    <w:adjustRightInd w:val="0"/>
                    <w:snapToGrid w:val="0"/>
                    <w:spacing w:line="240" w:lineRule="auto"/>
                    <w:ind w:firstLine="0" w:firstLineChars="0"/>
                    <w:jc w:val="center"/>
                    <w:outlineLvl w:val="0"/>
                    <w:rPr>
                      <w:sz w:val="21"/>
                      <w:szCs w:val="21"/>
                    </w:rPr>
                  </w:pPr>
                  <w:r>
                    <w:rPr>
                      <w:sz w:val="21"/>
                      <w:szCs w:val="21"/>
                    </w:rPr>
                    <w:t>DA00</w:t>
                  </w:r>
                  <w:r>
                    <w:rPr>
                      <w:rFonts w:hint="eastAsia"/>
                      <w:sz w:val="21"/>
                      <w:szCs w:val="21"/>
                    </w:rPr>
                    <w:t>2</w:t>
                  </w:r>
                </w:p>
              </w:tc>
              <w:tc>
                <w:tcPr>
                  <w:tcW w:w="852" w:type="pct"/>
                  <w:shd w:val="clear" w:color="auto" w:fill="auto"/>
                  <w:vAlign w:val="center"/>
                </w:tcPr>
                <w:p w14:paraId="1C4404EF">
                  <w:pPr>
                    <w:adjustRightInd w:val="0"/>
                    <w:snapToGrid w:val="0"/>
                    <w:spacing w:line="240" w:lineRule="auto"/>
                    <w:ind w:firstLine="0" w:firstLineChars="0"/>
                    <w:jc w:val="center"/>
                    <w:outlineLvl w:val="0"/>
                    <w:rPr>
                      <w:sz w:val="21"/>
                      <w:szCs w:val="21"/>
                    </w:rPr>
                  </w:pPr>
                  <w:r>
                    <w:rPr>
                      <w:rFonts w:hint="eastAsia"/>
                      <w:sz w:val="21"/>
                      <w:szCs w:val="21"/>
                    </w:rPr>
                    <w:t>蒸汽发生器</w:t>
                  </w:r>
                  <w:r>
                    <w:rPr>
                      <w:sz w:val="21"/>
                      <w:szCs w:val="21"/>
                    </w:rPr>
                    <w:t>处理设施“低氮燃烧器”处理效率下降或故障，处理效率为0</w:t>
                  </w:r>
                </w:p>
              </w:tc>
              <w:tc>
                <w:tcPr>
                  <w:tcW w:w="417" w:type="pct"/>
                  <w:shd w:val="clear" w:color="auto" w:fill="auto"/>
                  <w:vAlign w:val="center"/>
                </w:tcPr>
                <w:p w14:paraId="787E0CFA">
                  <w:pPr>
                    <w:adjustRightInd w:val="0"/>
                    <w:snapToGrid w:val="0"/>
                    <w:spacing w:line="240" w:lineRule="auto"/>
                    <w:ind w:firstLine="0" w:firstLineChars="0"/>
                    <w:jc w:val="center"/>
                    <w:rPr>
                      <w:sz w:val="21"/>
                      <w:szCs w:val="21"/>
                    </w:rPr>
                  </w:pPr>
                  <w:r>
                    <w:rPr>
                      <w:sz w:val="21"/>
                      <w:szCs w:val="21"/>
                    </w:rPr>
                    <w:t>氮氧化物</w:t>
                  </w:r>
                </w:p>
              </w:tc>
              <w:tc>
                <w:tcPr>
                  <w:tcW w:w="490" w:type="pct"/>
                  <w:shd w:val="clear" w:color="auto" w:fill="auto"/>
                  <w:vAlign w:val="center"/>
                </w:tcPr>
                <w:p w14:paraId="16C4DE57">
                  <w:pPr>
                    <w:adjustRightInd w:val="0"/>
                    <w:snapToGrid w:val="0"/>
                    <w:spacing w:line="240" w:lineRule="auto"/>
                    <w:ind w:firstLine="0" w:firstLineChars="0"/>
                    <w:jc w:val="center"/>
                    <w:outlineLvl w:val="0"/>
                    <w:rPr>
                      <w:sz w:val="21"/>
                      <w:szCs w:val="21"/>
                    </w:rPr>
                  </w:pPr>
                  <w:r>
                    <w:rPr>
                      <w:sz w:val="21"/>
                      <w:szCs w:val="21"/>
                    </w:rPr>
                    <w:t>1~2次/年</w:t>
                  </w:r>
                </w:p>
              </w:tc>
              <w:tc>
                <w:tcPr>
                  <w:tcW w:w="695" w:type="pct"/>
                  <w:shd w:val="clear" w:color="auto" w:fill="auto"/>
                  <w:vAlign w:val="center"/>
                </w:tcPr>
                <w:p w14:paraId="19926B7A">
                  <w:pPr>
                    <w:autoSpaceDE w:val="0"/>
                    <w:autoSpaceDN w:val="0"/>
                    <w:adjustRightInd w:val="0"/>
                    <w:snapToGrid w:val="0"/>
                    <w:spacing w:line="240" w:lineRule="auto"/>
                    <w:ind w:firstLine="0" w:firstLineChars="0"/>
                    <w:jc w:val="center"/>
                    <w:rPr>
                      <w:color w:val="0000FF"/>
                      <w:sz w:val="21"/>
                      <w:szCs w:val="21"/>
                    </w:rPr>
                  </w:pPr>
                  <w:r>
                    <w:rPr>
                      <w:rFonts w:hint="eastAsia"/>
                      <w:color w:val="0000FF"/>
                      <w:sz w:val="21"/>
                      <w:szCs w:val="21"/>
                    </w:rPr>
                    <w:t>0.012</w:t>
                  </w:r>
                </w:p>
              </w:tc>
              <w:tc>
                <w:tcPr>
                  <w:tcW w:w="484" w:type="pct"/>
                  <w:shd w:val="clear" w:color="auto" w:fill="auto"/>
                  <w:vAlign w:val="center"/>
                </w:tcPr>
                <w:p w14:paraId="2131DFD2">
                  <w:pPr>
                    <w:adjustRightInd w:val="0"/>
                    <w:snapToGrid w:val="0"/>
                    <w:spacing w:line="240" w:lineRule="auto"/>
                    <w:ind w:firstLine="0" w:firstLineChars="0"/>
                    <w:jc w:val="center"/>
                    <w:rPr>
                      <w:color w:val="0000FF"/>
                      <w:sz w:val="21"/>
                      <w:szCs w:val="21"/>
                    </w:rPr>
                  </w:pPr>
                  <w:r>
                    <w:rPr>
                      <w:rFonts w:hint="eastAsia"/>
                      <w:color w:val="0000FF"/>
                      <w:sz w:val="21"/>
                      <w:szCs w:val="21"/>
                    </w:rPr>
                    <w:t>12.2</w:t>
                  </w:r>
                </w:p>
              </w:tc>
              <w:tc>
                <w:tcPr>
                  <w:tcW w:w="421" w:type="pct"/>
                  <w:vMerge w:val="continue"/>
                  <w:shd w:val="clear" w:color="auto" w:fill="auto"/>
                  <w:vAlign w:val="center"/>
                </w:tcPr>
                <w:p w14:paraId="11642D1F">
                  <w:pPr>
                    <w:adjustRightInd w:val="0"/>
                    <w:snapToGrid w:val="0"/>
                    <w:spacing w:line="240" w:lineRule="auto"/>
                    <w:ind w:firstLine="0" w:firstLineChars="0"/>
                    <w:jc w:val="center"/>
                    <w:outlineLvl w:val="0"/>
                    <w:rPr>
                      <w:color w:val="0000FF"/>
                      <w:sz w:val="21"/>
                      <w:szCs w:val="21"/>
                    </w:rPr>
                  </w:pPr>
                </w:p>
              </w:tc>
              <w:tc>
                <w:tcPr>
                  <w:tcW w:w="728" w:type="pct"/>
                  <w:vMerge w:val="continue"/>
                  <w:vAlign w:val="center"/>
                </w:tcPr>
                <w:p w14:paraId="4B23A9B8">
                  <w:pPr>
                    <w:adjustRightInd w:val="0"/>
                    <w:snapToGrid w:val="0"/>
                    <w:spacing w:line="240" w:lineRule="auto"/>
                    <w:ind w:firstLine="0" w:firstLineChars="0"/>
                    <w:jc w:val="center"/>
                    <w:rPr>
                      <w:sz w:val="21"/>
                      <w:szCs w:val="21"/>
                    </w:rPr>
                  </w:pPr>
                </w:p>
              </w:tc>
            </w:tr>
          </w:tbl>
          <w:p w14:paraId="64A860F7">
            <w:pPr>
              <w:pStyle w:val="11"/>
              <w:adjustRightInd w:val="0"/>
              <w:snapToGrid w:val="0"/>
              <w:spacing w:before="156" w:beforeLines="50" w:after="0"/>
              <w:ind w:left="0" w:leftChars="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废气影响分析</w:t>
            </w:r>
          </w:p>
          <w:p w14:paraId="2A9CD699">
            <w:pPr>
              <w:pStyle w:val="11"/>
              <w:adjustRightInd w:val="0"/>
              <w:snapToGrid w:val="0"/>
              <w:spacing w:after="0"/>
              <w:ind w:left="0" w:leftChars="0" w:firstLine="480"/>
            </w:pPr>
            <w:r>
              <w:t>项目位于</w:t>
            </w:r>
            <w:r>
              <w:rPr>
                <w:rFonts w:hint="eastAsia"/>
              </w:rPr>
              <w:t>安徽淮北相山经济开发区凤冠路3号，根</w:t>
            </w:r>
            <w:r>
              <w:t>据《</w:t>
            </w:r>
            <w:r>
              <w:rPr>
                <w:rFonts w:hint="eastAsia"/>
              </w:rPr>
              <w:t>淮北市2023年度生态环境状况公报</w:t>
            </w:r>
            <w:r>
              <w:t>》，项自所在地为大气环境空气质量不达标区。</w:t>
            </w:r>
          </w:p>
          <w:p w14:paraId="5DE17084">
            <w:pPr>
              <w:pStyle w:val="11"/>
              <w:adjustRightInd w:val="0"/>
              <w:snapToGrid w:val="0"/>
              <w:spacing w:after="0"/>
              <w:ind w:left="0" w:leftChars="0" w:firstLine="480"/>
              <w:rPr>
                <w:color w:val="0000FF"/>
              </w:rPr>
            </w:pPr>
            <w:r>
              <w:rPr>
                <w:rFonts w:hint="eastAsia"/>
                <w:color w:val="0000FF"/>
              </w:rPr>
              <w:t>本项目蒸汽发生器安装低氮燃烧器，烟气通过15m高排气筒（DA002）排放</w:t>
            </w:r>
            <w:r>
              <w:rPr>
                <w:color w:val="0000FF"/>
              </w:rPr>
              <w:t>，排放浓度满足《锅炉大气污染物排放标准》（GB13271-2014）表</w:t>
            </w:r>
            <w:r>
              <w:rPr>
                <w:rFonts w:hint="eastAsia"/>
                <w:color w:val="0000FF"/>
              </w:rPr>
              <w:t>3</w:t>
            </w:r>
            <w:r>
              <w:rPr>
                <w:color w:val="0000FF"/>
              </w:rPr>
              <w:t>中</w:t>
            </w:r>
            <w:r>
              <w:rPr>
                <w:rFonts w:hint="eastAsia"/>
                <w:color w:val="0000FF"/>
              </w:rPr>
              <w:t>大气污染物特别</w:t>
            </w:r>
            <w:r>
              <w:rPr>
                <w:color w:val="0000FF"/>
              </w:rPr>
              <w:t>排放限值</w:t>
            </w:r>
            <w:r>
              <w:rPr>
                <w:rFonts w:hint="eastAsia"/>
                <w:color w:val="0000FF"/>
              </w:rPr>
              <w:t>中燃气</w:t>
            </w:r>
            <w:r>
              <w:rPr>
                <w:color w:val="0000FF"/>
              </w:rPr>
              <w:t>锅炉</w:t>
            </w:r>
            <w:r>
              <w:rPr>
                <w:rFonts w:hint="eastAsia"/>
                <w:color w:val="0000FF"/>
              </w:rPr>
              <w:t>相应排放限值要求；</w:t>
            </w:r>
            <w:r>
              <w:rPr>
                <w:rFonts w:hint="eastAsia"/>
                <w:bCs/>
                <w:color w:val="0000FF"/>
              </w:rPr>
              <w:t>氮氧化物执行</w:t>
            </w:r>
            <w:r>
              <w:rPr>
                <w:color w:val="0000FF"/>
              </w:rPr>
              <w:t>安徽省大气办关于印发《安徽省 2020年大气污染防治重点工作任务》的通知</w:t>
            </w:r>
            <w:r>
              <w:rPr>
                <w:rFonts w:hint="eastAsia"/>
                <w:color w:val="0000FF"/>
              </w:rPr>
              <w:t>皖大气办〔2020〕2号中浓度限值要求。炒制废气经静电油烟净化器处理通过15m高排气筒（DA001）排放，</w:t>
            </w:r>
            <w:r>
              <w:rPr>
                <w:color w:val="0000FF"/>
              </w:rPr>
              <w:t>排放执行《</w:t>
            </w:r>
            <w:r>
              <w:rPr>
                <w:rFonts w:hint="eastAsia"/>
                <w:color w:val="0000FF"/>
              </w:rPr>
              <w:t>饮食业油烟排放标准（试行）</w:t>
            </w:r>
            <w:r>
              <w:rPr>
                <w:color w:val="0000FF"/>
              </w:rPr>
              <w:t>》（GB</w:t>
            </w:r>
            <w:r>
              <w:rPr>
                <w:rFonts w:hint="eastAsia"/>
                <w:color w:val="0000FF"/>
              </w:rPr>
              <w:t>18483-2001</w:t>
            </w:r>
            <w:r>
              <w:rPr>
                <w:color w:val="0000FF"/>
              </w:rPr>
              <w:t>）表2中排放标准限值</w:t>
            </w:r>
            <w:r>
              <w:rPr>
                <w:rFonts w:hint="eastAsia"/>
                <w:color w:val="0000FF"/>
              </w:rPr>
              <w:t>。</w:t>
            </w:r>
          </w:p>
          <w:p w14:paraId="2CA655FD">
            <w:pPr>
              <w:autoSpaceDE w:val="0"/>
              <w:autoSpaceDN w:val="0"/>
              <w:adjustRightInd w:val="0"/>
              <w:snapToGrid w:val="0"/>
              <w:rPr>
                <w:color w:val="0000FF"/>
              </w:rPr>
            </w:pPr>
            <w:r>
              <w:rPr>
                <w:color w:val="0000FF"/>
              </w:rPr>
              <w:t>综上，该项目产生的大气污染物在落实本次评价的废气防治措施后，对区域大气环境质量影响较小。</w:t>
            </w:r>
          </w:p>
          <w:p w14:paraId="043DA32E">
            <w:pPr>
              <w:ind w:firstLine="482"/>
              <w:rPr>
                <w:b/>
                <w:bCs/>
              </w:rPr>
            </w:pPr>
            <w:r>
              <w:rPr>
                <w:rFonts w:hint="eastAsia"/>
                <w:b/>
                <w:bCs/>
              </w:rPr>
              <w:t>2、废水</w:t>
            </w:r>
          </w:p>
          <w:p w14:paraId="4BA9CE23">
            <w:r>
              <w:rPr>
                <w:rFonts w:hint="eastAsia"/>
              </w:rPr>
              <w:t>（1）源强分析</w:t>
            </w:r>
          </w:p>
          <w:p w14:paraId="4C55F7EB">
            <w:r>
              <w:t>本项目用水主要</w:t>
            </w:r>
            <w:r>
              <w:rPr>
                <w:rFonts w:hint="eastAsia"/>
              </w:rPr>
              <w:t>为员工生活用水、泡米用水、纯净水设备用水、原辅料清洗用水、解冻用水、设备清洗用水、地面冲洗用水、员工消毒用水</w:t>
            </w:r>
            <w:r>
              <w:t>。</w:t>
            </w:r>
          </w:p>
          <w:p w14:paraId="1914DF18">
            <w:r>
              <w:rPr>
                <w:rFonts w:hint="eastAsia"/>
              </w:rPr>
              <w:t>①员工生活用水</w:t>
            </w:r>
          </w:p>
          <w:p w14:paraId="50BF64B3">
            <w:pPr>
              <w:rPr>
                <w:color w:val="0000FF"/>
              </w:rPr>
            </w:pPr>
            <w:r>
              <w:rPr>
                <w:rFonts w:hint="eastAsia"/>
                <w:color w:val="0000FF"/>
              </w:rPr>
              <w:t>本项目职工人数为10人，根据</w:t>
            </w:r>
            <w:r>
              <w:rPr>
                <w:color w:val="0000FF"/>
              </w:rPr>
              <w:t>《安徽省行业用水定额》（DB34/T</w:t>
            </w:r>
            <w:r>
              <w:rPr>
                <w:rFonts w:hint="eastAsia"/>
                <w:color w:val="0000FF"/>
              </w:rPr>
              <w:t xml:space="preserve"> 679-2019</w:t>
            </w:r>
            <w:r>
              <w:rPr>
                <w:color w:val="0000FF"/>
              </w:rPr>
              <w:t>）</w:t>
            </w:r>
            <w:r>
              <w:rPr>
                <w:rFonts w:hint="eastAsia"/>
                <w:color w:val="0000FF"/>
              </w:rPr>
              <w:t>，本项目人均用水量按60L/d计，则用水量0.6m</w:t>
            </w:r>
            <w:r>
              <w:rPr>
                <w:rFonts w:hint="eastAsia"/>
                <w:color w:val="0000FF"/>
                <w:vertAlign w:val="superscript"/>
              </w:rPr>
              <w:t>3</w:t>
            </w:r>
            <w:r>
              <w:rPr>
                <w:rFonts w:hint="eastAsia"/>
                <w:color w:val="0000FF"/>
              </w:rPr>
              <w:t>/d（180m</w:t>
            </w:r>
            <w:r>
              <w:rPr>
                <w:rFonts w:hint="eastAsia"/>
                <w:color w:val="0000FF"/>
                <w:vertAlign w:val="superscript"/>
              </w:rPr>
              <w:t>3</w:t>
            </w:r>
            <w:r>
              <w:rPr>
                <w:rFonts w:hint="eastAsia"/>
                <w:color w:val="0000FF"/>
              </w:rPr>
              <w:t>/a）。产污系数为0.8，则生活污水量为0.48m</w:t>
            </w:r>
            <w:r>
              <w:rPr>
                <w:rFonts w:hint="eastAsia"/>
                <w:color w:val="0000FF"/>
                <w:vertAlign w:val="superscript"/>
              </w:rPr>
              <w:t>3</w:t>
            </w:r>
            <w:r>
              <w:rPr>
                <w:rFonts w:hint="eastAsia"/>
                <w:color w:val="0000FF"/>
              </w:rPr>
              <w:t>/d（144m</w:t>
            </w:r>
            <w:r>
              <w:rPr>
                <w:rFonts w:hint="eastAsia"/>
                <w:color w:val="0000FF"/>
                <w:vertAlign w:val="superscript"/>
              </w:rPr>
              <w:t>3</w:t>
            </w:r>
            <w:r>
              <w:rPr>
                <w:rFonts w:hint="eastAsia"/>
                <w:color w:val="0000FF"/>
              </w:rPr>
              <w:t>/a）。</w:t>
            </w:r>
          </w:p>
          <w:p w14:paraId="5986FDB8">
            <w:r>
              <w:rPr>
                <w:rFonts w:hint="eastAsia"/>
              </w:rPr>
              <w:t>②泡米用水</w:t>
            </w:r>
          </w:p>
          <w:p w14:paraId="2AC05BC1">
            <w:r>
              <w:rPr>
                <w:rFonts w:hint="eastAsia"/>
                <w:color w:val="0000FF"/>
              </w:rPr>
              <w:t>糯米需要提前进行浸泡后进行蒸制，无需进行淘米</w:t>
            </w:r>
            <w:r>
              <w:rPr>
                <w:rFonts w:hint="eastAsia"/>
              </w:rPr>
              <w:t>。根据建设单位提供资料所需水量为1t/t-米，项目烧麦生产所消耗米量为60m</w:t>
            </w:r>
            <w:r>
              <w:rPr>
                <w:rFonts w:hint="eastAsia"/>
                <w:vertAlign w:val="superscript"/>
              </w:rPr>
              <w:t>3</w:t>
            </w:r>
            <w:r>
              <w:rPr>
                <w:rFonts w:hint="eastAsia"/>
              </w:rPr>
              <w:t>/a，则泡米所需用水量为60m</w:t>
            </w:r>
            <w:r>
              <w:rPr>
                <w:rFonts w:hint="eastAsia"/>
                <w:vertAlign w:val="superscript"/>
              </w:rPr>
              <w:t>3</w:t>
            </w:r>
            <w:r>
              <w:rPr>
                <w:rFonts w:hint="eastAsia"/>
              </w:rPr>
              <w:t>/a，即0.2m</w:t>
            </w:r>
            <w:r>
              <w:rPr>
                <w:rFonts w:hint="eastAsia"/>
                <w:vertAlign w:val="superscript"/>
              </w:rPr>
              <w:t>3</w:t>
            </w:r>
            <w:r>
              <w:rPr>
                <w:rFonts w:hint="eastAsia"/>
              </w:rPr>
              <w:t>/d（60m</w:t>
            </w:r>
            <w:r>
              <w:rPr>
                <w:rFonts w:hint="eastAsia"/>
                <w:vertAlign w:val="superscript"/>
              </w:rPr>
              <w:t>3</w:t>
            </w:r>
            <w:r>
              <w:rPr>
                <w:rFonts w:hint="eastAsia"/>
              </w:rPr>
              <w:t>/a）。其中80%的水被糯米吸收进入产品中，约产生20%废水，泡米废水产生量0.04m</w:t>
            </w:r>
            <w:r>
              <w:rPr>
                <w:rFonts w:hint="eastAsia"/>
                <w:vertAlign w:val="superscript"/>
              </w:rPr>
              <w:t>3</w:t>
            </w:r>
            <w:r>
              <w:rPr>
                <w:rFonts w:hint="eastAsia"/>
              </w:rPr>
              <w:t>/d（12m</w:t>
            </w:r>
            <w:r>
              <w:rPr>
                <w:rFonts w:hint="eastAsia"/>
                <w:vertAlign w:val="superscript"/>
              </w:rPr>
              <w:t>3</w:t>
            </w:r>
            <w:r>
              <w:rPr>
                <w:rFonts w:hint="eastAsia"/>
              </w:rPr>
              <w:t>/a）。</w:t>
            </w:r>
          </w:p>
          <w:p w14:paraId="308CC1C6">
            <w:r>
              <w:rPr>
                <w:rFonts w:hint="eastAsia"/>
              </w:rPr>
              <w:t>③纯净水设备用水</w:t>
            </w:r>
          </w:p>
          <w:p w14:paraId="22F2876C">
            <w:pPr>
              <w:rPr>
                <w:color w:val="0000FF"/>
                <w:highlight w:val="yellow"/>
              </w:rPr>
            </w:pPr>
            <w:r>
              <w:rPr>
                <w:rFonts w:hint="eastAsia"/>
                <w:color w:val="0000FF"/>
              </w:rPr>
              <w:t>根据建设单位提供资料，本项目蒸汽发生器规格为0.03t/h，每天工作3小时，年工作300天，则蒸汽发生器用水为0.09m</w:t>
            </w:r>
            <w:r>
              <w:rPr>
                <w:rFonts w:hint="eastAsia"/>
                <w:color w:val="0000FF"/>
                <w:vertAlign w:val="superscript"/>
              </w:rPr>
              <w:t>3</w:t>
            </w:r>
            <w:r>
              <w:rPr>
                <w:rFonts w:hint="eastAsia"/>
                <w:color w:val="0000FF"/>
              </w:rPr>
              <w:t>/d（27m</w:t>
            </w:r>
            <w:r>
              <w:rPr>
                <w:rFonts w:hint="eastAsia"/>
                <w:color w:val="0000FF"/>
                <w:vertAlign w:val="superscript"/>
              </w:rPr>
              <w:t>3</w:t>
            </w:r>
            <w:r>
              <w:rPr>
                <w:rFonts w:hint="eastAsia"/>
                <w:color w:val="0000FF"/>
              </w:rPr>
              <w:t>/a）。蒸汽发生器所使用的水先经过蒸汽发生器配置的纯净水设备处理后再进入蒸汽发生器，纯净水设备采用反渗透的方式净水，根据硬水水质1~2年定期更换滤膜。该设备软水处理效率为70%，蒸汽发生器用水0.09m</w:t>
            </w:r>
            <w:r>
              <w:rPr>
                <w:rFonts w:hint="eastAsia"/>
                <w:color w:val="0000FF"/>
                <w:vertAlign w:val="superscript"/>
              </w:rPr>
              <w:t>3</w:t>
            </w:r>
            <w:r>
              <w:rPr>
                <w:rFonts w:hint="eastAsia"/>
                <w:color w:val="0000FF"/>
              </w:rPr>
              <w:t>/d，则纯净水设备用水量为0.13m</w:t>
            </w:r>
            <w:r>
              <w:rPr>
                <w:rFonts w:hint="eastAsia"/>
                <w:color w:val="0000FF"/>
                <w:vertAlign w:val="superscript"/>
              </w:rPr>
              <w:t>3</w:t>
            </w:r>
            <w:r>
              <w:rPr>
                <w:rFonts w:hint="eastAsia"/>
                <w:color w:val="0000FF"/>
              </w:rPr>
              <w:t>/d（39m</w:t>
            </w:r>
            <w:r>
              <w:rPr>
                <w:rFonts w:hint="eastAsia"/>
                <w:color w:val="0000FF"/>
                <w:vertAlign w:val="superscript"/>
              </w:rPr>
              <w:t>3</w:t>
            </w:r>
            <w:r>
              <w:rPr>
                <w:rFonts w:hint="eastAsia"/>
                <w:color w:val="0000FF"/>
              </w:rPr>
              <w:t>/a）。纯净水设备浓水产生率约为30%，则每天产生的废水量约为0.04m</w:t>
            </w:r>
            <w:r>
              <w:rPr>
                <w:rFonts w:hint="eastAsia"/>
                <w:color w:val="0000FF"/>
                <w:vertAlign w:val="superscript"/>
              </w:rPr>
              <w:t>3</w:t>
            </w:r>
            <w:r>
              <w:rPr>
                <w:rFonts w:hint="eastAsia"/>
                <w:color w:val="0000FF"/>
              </w:rPr>
              <w:t>/d（12m</w:t>
            </w:r>
            <w:r>
              <w:rPr>
                <w:rFonts w:hint="eastAsia"/>
                <w:color w:val="0000FF"/>
                <w:vertAlign w:val="superscript"/>
              </w:rPr>
              <w:t>3</w:t>
            </w:r>
            <w:r>
              <w:rPr>
                <w:rFonts w:hint="eastAsia"/>
                <w:color w:val="0000FF"/>
              </w:rPr>
              <w:t>/a），该废水全部用于地面清洁且添加新鲜水2.398m</w:t>
            </w:r>
            <w:r>
              <w:rPr>
                <w:rFonts w:hint="eastAsia"/>
                <w:color w:val="0000FF"/>
                <w:vertAlign w:val="superscript"/>
              </w:rPr>
              <w:t>3</w:t>
            </w:r>
            <w:r>
              <w:rPr>
                <w:rFonts w:hint="eastAsia"/>
                <w:color w:val="0000FF"/>
              </w:rPr>
              <w:t>/d（719.4m</w:t>
            </w:r>
            <w:r>
              <w:rPr>
                <w:rFonts w:hint="eastAsia"/>
                <w:color w:val="0000FF"/>
                <w:vertAlign w:val="superscript"/>
              </w:rPr>
              <w:t>3</w:t>
            </w:r>
            <w:r>
              <w:rPr>
                <w:rFonts w:hint="eastAsia"/>
                <w:color w:val="0000FF"/>
              </w:rPr>
              <w:t>/a）作为地面清洁用水。</w:t>
            </w:r>
          </w:p>
          <w:p w14:paraId="4D420071">
            <w:r>
              <w:rPr>
                <w:rFonts w:hint="eastAsia"/>
              </w:rPr>
              <w:t>④原辅料清洗用水</w:t>
            </w:r>
          </w:p>
          <w:p w14:paraId="7817D074">
            <w:pPr>
              <w:pStyle w:val="6"/>
              <w:rPr>
                <w:color w:val="0000FF"/>
              </w:rPr>
            </w:pPr>
            <w:r>
              <w:rPr>
                <w:rFonts w:hint="eastAsia"/>
                <w:color w:val="0000FF"/>
              </w:rPr>
              <w:t>项目外购葱、姜、蒜、蔬菜、粉丝后，需对外购的食材进行清洗然后加工。</w:t>
            </w:r>
            <w:r>
              <w:rPr>
                <w:rFonts w:hint="eastAsia"/>
              </w:rPr>
              <w:t>根据建设单位提供资料所需水量为1t/t-原辅料，清洗两遍，则</w:t>
            </w:r>
            <w:r>
              <w:rPr>
                <w:rFonts w:hint="eastAsia"/>
                <w:color w:val="0000FF"/>
              </w:rPr>
              <w:t>原辅料清洗用水约为4.63m</w:t>
            </w:r>
            <w:r>
              <w:rPr>
                <w:rFonts w:hint="eastAsia"/>
                <w:color w:val="0000FF"/>
                <w:vertAlign w:val="superscript"/>
              </w:rPr>
              <w:t>3</w:t>
            </w:r>
            <w:r>
              <w:rPr>
                <w:rFonts w:hint="eastAsia"/>
                <w:color w:val="0000FF"/>
              </w:rPr>
              <w:t>/d（1390m</w:t>
            </w:r>
            <w:r>
              <w:rPr>
                <w:rFonts w:hint="eastAsia"/>
                <w:color w:val="0000FF"/>
                <w:vertAlign w:val="superscript"/>
              </w:rPr>
              <w:t>3</w:t>
            </w:r>
            <w:r>
              <w:rPr>
                <w:rFonts w:hint="eastAsia"/>
                <w:color w:val="0000FF"/>
              </w:rPr>
              <w:t>/a）。产污系数为0.8，则原辅料废水量为3.71m</w:t>
            </w:r>
            <w:r>
              <w:rPr>
                <w:rFonts w:hint="eastAsia"/>
                <w:color w:val="0000FF"/>
                <w:vertAlign w:val="superscript"/>
              </w:rPr>
              <w:t>3</w:t>
            </w:r>
            <w:r>
              <w:rPr>
                <w:rFonts w:hint="eastAsia"/>
                <w:color w:val="0000FF"/>
              </w:rPr>
              <w:t>/d（1112m</w:t>
            </w:r>
            <w:r>
              <w:rPr>
                <w:rFonts w:hint="eastAsia"/>
                <w:color w:val="0000FF"/>
                <w:vertAlign w:val="superscript"/>
              </w:rPr>
              <w:t>3</w:t>
            </w:r>
            <w:r>
              <w:rPr>
                <w:rFonts w:hint="eastAsia"/>
                <w:color w:val="0000FF"/>
              </w:rPr>
              <w:t>/a）。</w:t>
            </w:r>
          </w:p>
          <w:p w14:paraId="44A4F770">
            <w:pPr>
              <w:rPr>
                <w:color w:val="0000FF"/>
              </w:rPr>
            </w:pPr>
            <w:r>
              <w:rPr>
                <w:rFonts w:hint="eastAsia"/>
              </w:rPr>
              <w:t>⑤</w:t>
            </w:r>
            <w:r>
              <w:rPr>
                <w:rFonts w:hint="eastAsia"/>
                <w:color w:val="0000FF"/>
              </w:rPr>
              <w:t>解冻用水</w:t>
            </w:r>
          </w:p>
          <w:p w14:paraId="07B562ED">
            <w:pPr>
              <w:pStyle w:val="6"/>
              <w:rPr>
                <w:color w:val="0000FF"/>
              </w:rPr>
            </w:pPr>
            <w:r>
              <w:rPr>
                <w:rFonts w:hint="eastAsia"/>
                <w:color w:val="0000FF"/>
              </w:rPr>
              <w:t>本项目肉类需要用水进行解冻，肉类年用65t，所需水量按照1.5t/t-肉，则肉类解冻用水97.5m</w:t>
            </w:r>
            <w:r>
              <w:rPr>
                <w:rFonts w:hint="eastAsia"/>
                <w:color w:val="0000FF"/>
                <w:vertAlign w:val="superscript"/>
              </w:rPr>
              <w:t>3</w:t>
            </w:r>
            <w:r>
              <w:rPr>
                <w:rFonts w:hint="eastAsia"/>
                <w:color w:val="0000FF"/>
              </w:rPr>
              <w:t>/a。产污系数为0.8，则原辅料废水量为0.26m</w:t>
            </w:r>
            <w:r>
              <w:rPr>
                <w:rFonts w:hint="eastAsia"/>
                <w:color w:val="0000FF"/>
                <w:vertAlign w:val="superscript"/>
              </w:rPr>
              <w:t>3</w:t>
            </w:r>
            <w:r>
              <w:rPr>
                <w:rFonts w:hint="eastAsia"/>
                <w:color w:val="0000FF"/>
              </w:rPr>
              <w:t>/d（78m</w:t>
            </w:r>
            <w:r>
              <w:rPr>
                <w:rFonts w:hint="eastAsia"/>
                <w:color w:val="0000FF"/>
                <w:vertAlign w:val="superscript"/>
              </w:rPr>
              <w:t>3</w:t>
            </w:r>
            <w:r>
              <w:rPr>
                <w:rFonts w:hint="eastAsia"/>
                <w:color w:val="0000FF"/>
              </w:rPr>
              <w:t>/a）。</w:t>
            </w:r>
          </w:p>
          <w:p w14:paraId="54A0CC67">
            <w:r>
              <w:rPr>
                <w:rFonts w:hint="eastAsia"/>
              </w:rPr>
              <w:t>⑥设备清洗用水</w:t>
            </w:r>
          </w:p>
          <w:p w14:paraId="37CE6F00">
            <w:r>
              <w:rPr>
                <w:rFonts w:hint="eastAsia"/>
              </w:rPr>
              <w:t>项目生产设备每天下班前需用洗洁精进行清洗，此外内包间柜台清洗后还需用酒精进行消毒，根据建设单位提供资料，烧麦设备、肉馅设备每天清洗，用水约2m</w:t>
            </w:r>
            <w:r>
              <w:rPr>
                <w:rFonts w:hint="eastAsia"/>
                <w:vertAlign w:val="superscript"/>
              </w:rPr>
              <w:t>3</w:t>
            </w:r>
            <w:r>
              <w:rPr>
                <w:rFonts w:hint="eastAsia"/>
              </w:rPr>
              <w:t>/d（600m</w:t>
            </w:r>
            <w:r>
              <w:rPr>
                <w:rFonts w:hint="eastAsia"/>
                <w:vertAlign w:val="superscript"/>
              </w:rPr>
              <w:t>3</w:t>
            </w:r>
            <w:r>
              <w:rPr>
                <w:rFonts w:hint="eastAsia"/>
              </w:rPr>
              <w:t>/a）。产污系数为0.8，则设备清洗废水量为1.6m</w:t>
            </w:r>
            <w:r>
              <w:rPr>
                <w:rFonts w:hint="eastAsia"/>
                <w:vertAlign w:val="superscript"/>
              </w:rPr>
              <w:t>3</w:t>
            </w:r>
            <w:r>
              <w:rPr>
                <w:rFonts w:hint="eastAsia"/>
              </w:rPr>
              <w:t>/d（480m</w:t>
            </w:r>
            <w:r>
              <w:rPr>
                <w:rFonts w:hint="eastAsia"/>
                <w:vertAlign w:val="superscript"/>
              </w:rPr>
              <w:t>3</w:t>
            </w:r>
            <w:r>
              <w:rPr>
                <w:rFonts w:hint="eastAsia"/>
              </w:rPr>
              <w:t xml:space="preserve">/a）。    </w:t>
            </w:r>
          </w:p>
          <w:p w14:paraId="058515D7">
            <w:r>
              <w:rPr>
                <w:rFonts w:hint="eastAsia"/>
              </w:rPr>
              <w:t>⑦地面清洗用水</w:t>
            </w:r>
          </w:p>
          <w:p w14:paraId="5DA38D7B">
            <w:pPr>
              <w:rPr>
                <w:color w:val="0000FF"/>
              </w:rPr>
            </w:pPr>
            <w:r>
              <w:rPr>
                <w:rFonts w:hint="eastAsia"/>
                <w:color w:val="0000FF"/>
              </w:rPr>
              <w:t>本项目参考《建筑给水排水设计标准》（GB 50015-2019）中停车库地面冲洗水用水定额，2~3L/m</w:t>
            </w:r>
            <w:r>
              <w:rPr>
                <w:rFonts w:hint="eastAsia"/>
                <w:color w:val="0000FF"/>
                <w:vertAlign w:val="superscript"/>
              </w:rPr>
              <w:t>2</w:t>
            </w:r>
            <w:r>
              <w:rPr>
                <w:rFonts w:hint="eastAsia"/>
                <w:color w:val="0000FF"/>
              </w:rPr>
              <w:t>·次，由于本项目厂房地面主要采取拖洗的方式进行清洁，其中拌馅间需要进行冲洗，针对有油脂的地面需用洗洁精进行清洗，地面进行2次清洗，按用水定额3L/m</w:t>
            </w:r>
            <w:r>
              <w:rPr>
                <w:rFonts w:hint="eastAsia"/>
                <w:color w:val="0000FF"/>
                <w:vertAlign w:val="superscript"/>
              </w:rPr>
              <w:t>2</w:t>
            </w:r>
            <w:r>
              <w:rPr>
                <w:rFonts w:hint="eastAsia"/>
                <w:color w:val="0000FF"/>
              </w:rPr>
              <w:t>·次计算，需要清洁的面积约405m</w:t>
            </w:r>
            <w:r>
              <w:rPr>
                <w:rFonts w:hint="eastAsia"/>
                <w:color w:val="0000FF"/>
                <w:vertAlign w:val="superscript"/>
              </w:rPr>
              <w:t>2</w:t>
            </w:r>
            <w:r>
              <w:rPr>
                <w:rFonts w:hint="eastAsia"/>
                <w:color w:val="0000FF"/>
              </w:rPr>
              <w:t>，则地面清洗用水为2.43m</w:t>
            </w:r>
            <w:r>
              <w:rPr>
                <w:rFonts w:hint="eastAsia"/>
                <w:color w:val="0000FF"/>
                <w:vertAlign w:val="superscript"/>
              </w:rPr>
              <w:t>3</w:t>
            </w:r>
            <w:r>
              <w:rPr>
                <w:rFonts w:hint="eastAsia"/>
                <w:color w:val="0000FF"/>
              </w:rPr>
              <w:t>/d（729m</w:t>
            </w:r>
            <w:r>
              <w:rPr>
                <w:rFonts w:hint="eastAsia"/>
                <w:color w:val="0000FF"/>
                <w:vertAlign w:val="superscript"/>
              </w:rPr>
              <w:t>3</w:t>
            </w:r>
            <w:r>
              <w:rPr>
                <w:rFonts w:hint="eastAsia"/>
                <w:color w:val="0000FF"/>
              </w:rPr>
              <w:t>/a）。</w:t>
            </w:r>
          </w:p>
          <w:p w14:paraId="6677803F">
            <w:r>
              <w:rPr>
                <w:rFonts w:hint="eastAsia"/>
                <w:color w:val="0000FF"/>
              </w:rPr>
              <w:t>⑧</w:t>
            </w:r>
            <w:r>
              <w:rPr>
                <w:rFonts w:hint="eastAsia"/>
              </w:rPr>
              <w:t>员工消毒用水</w:t>
            </w:r>
          </w:p>
          <w:p w14:paraId="117FE58E">
            <w:r>
              <w:rPr>
                <w:rFonts w:hint="eastAsia"/>
              </w:rPr>
              <w:t>本项目员工进入车间后需使用消毒片对手等部位进行消毒。每次使用约2~4片，将消毒片投入清水中稀释后使用，清洗后废水随车间管网进入污水处理站处理。根据建设单位提供资料，洗手用水定额约为2L/人·d本项目职工约为10人，则洗手用水约为0.02m</w:t>
            </w:r>
            <w:r>
              <w:rPr>
                <w:rFonts w:hint="eastAsia"/>
                <w:vertAlign w:val="superscript"/>
              </w:rPr>
              <w:t>3</w:t>
            </w:r>
            <w:r>
              <w:rPr>
                <w:rFonts w:hint="eastAsia"/>
              </w:rPr>
              <w:t>/d（6m</w:t>
            </w:r>
            <w:r>
              <w:rPr>
                <w:rFonts w:hint="eastAsia"/>
                <w:vertAlign w:val="superscript"/>
              </w:rPr>
              <w:t>3</w:t>
            </w:r>
            <w:r>
              <w:rPr>
                <w:rFonts w:hint="eastAsia"/>
              </w:rPr>
              <w:t>/a）。产污系数为0.8，则洗手废水量为0.016m</w:t>
            </w:r>
            <w:r>
              <w:rPr>
                <w:rFonts w:hint="eastAsia"/>
                <w:vertAlign w:val="superscript"/>
              </w:rPr>
              <w:t>3</w:t>
            </w:r>
            <w:r>
              <w:rPr>
                <w:rFonts w:hint="eastAsia"/>
              </w:rPr>
              <w:t>/d（4.8m</w:t>
            </w:r>
            <w:r>
              <w:rPr>
                <w:rFonts w:hint="eastAsia"/>
                <w:vertAlign w:val="superscript"/>
              </w:rPr>
              <w:t>3</w:t>
            </w:r>
            <w:r>
              <w:rPr>
                <w:rFonts w:hint="eastAsia"/>
              </w:rPr>
              <w:t xml:space="preserve">/a）。    </w:t>
            </w:r>
          </w:p>
          <w:p w14:paraId="729624F1">
            <w:pPr>
              <w:pStyle w:val="32"/>
              <w:keepNext/>
              <w:rPr>
                <w:rFonts w:hint="default"/>
              </w:rPr>
            </w:pPr>
          </w:p>
          <w:p w14:paraId="05141FC6">
            <w:pPr>
              <w:pStyle w:val="32"/>
              <w:keepNext/>
              <w:rPr>
                <w:rFonts w:hint="default"/>
              </w:rPr>
            </w:pPr>
          </w:p>
          <w:p w14:paraId="7013A9E5">
            <w:pPr>
              <w:pStyle w:val="32"/>
              <w:keepNext/>
              <w:rPr>
                <w:rStyle w:val="27"/>
                <w:rFonts w:hint="default"/>
                <w:b w:val="0"/>
              </w:rPr>
            </w:pPr>
            <w:r>
              <w:t>表4-5  项目污水产生情况表</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959"/>
              <w:gridCol w:w="850"/>
              <w:gridCol w:w="926"/>
              <w:gridCol w:w="735"/>
              <w:gridCol w:w="872"/>
              <w:gridCol w:w="612"/>
              <w:gridCol w:w="794"/>
              <w:gridCol w:w="749"/>
              <w:gridCol w:w="877"/>
            </w:tblGrid>
            <w:tr w14:paraId="3B14B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88" w:type="pct"/>
                  <w:gridSpan w:val="4"/>
                  <w:tcBorders>
                    <w:tl2br w:val="nil"/>
                    <w:tr2bl w:val="nil"/>
                  </w:tcBorders>
                  <w:shd w:val="clear" w:color="auto" w:fill="auto"/>
                  <w:noWrap/>
                  <w:vAlign w:val="center"/>
                </w:tcPr>
                <w:p w14:paraId="3D69B485">
                  <w:pPr>
                    <w:pStyle w:val="37"/>
                  </w:pPr>
                  <w:r>
                    <w:t>产生情况</w:t>
                  </w:r>
                </w:p>
              </w:tc>
              <w:tc>
                <w:tcPr>
                  <w:tcW w:w="1008" w:type="pct"/>
                  <w:gridSpan w:val="2"/>
                  <w:tcBorders>
                    <w:tl2br w:val="nil"/>
                    <w:tr2bl w:val="nil"/>
                  </w:tcBorders>
                  <w:shd w:val="clear" w:color="auto" w:fill="auto"/>
                  <w:noWrap/>
                  <w:vAlign w:val="center"/>
                </w:tcPr>
                <w:p w14:paraId="1B3F35C0">
                  <w:pPr>
                    <w:pStyle w:val="37"/>
                  </w:pPr>
                  <w:r>
                    <w:t>处理情况</w:t>
                  </w:r>
                </w:p>
              </w:tc>
              <w:tc>
                <w:tcPr>
                  <w:tcW w:w="1902" w:type="pct"/>
                  <w:gridSpan w:val="4"/>
                  <w:tcBorders>
                    <w:tl2br w:val="nil"/>
                    <w:tr2bl w:val="nil"/>
                  </w:tcBorders>
                  <w:shd w:val="clear" w:color="auto" w:fill="auto"/>
                  <w:noWrap/>
                  <w:vAlign w:val="center"/>
                </w:tcPr>
                <w:p w14:paraId="62FDBBA6">
                  <w:pPr>
                    <w:pStyle w:val="37"/>
                  </w:pPr>
                  <w:r>
                    <w:t>排放情况</w:t>
                  </w:r>
                </w:p>
              </w:tc>
            </w:tr>
            <w:tr w14:paraId="78E9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tcBorders>
                    <w:tl2br w:val="nil"/>
                    <w:tr2bl w:val="nil"/>
                  </w:tcBorders>
                  <w:shd w:val="clear" w:color="auto" w:fill="auto"/>
                  <w:noWrap/>
                  <w:vAlign w:val="center"/>
                </w:tcPr>
                <w:p w14:paraId="24087256">
                  <w:pPr>
                    <w:pStyle w:val="37"/>
                    <w:rPr>
                      <w:color w:val="0000FF"/>
                    </w:rPr>
                  </w:pPr>
                  <w:r>
                    <w:rPr>
                      <w:color w:val="0000FF"/>
                    </w:rPr>
                    <w:t>产生工序</w:t>
                  </w:r>
                </w:p>
              </w:tc>
              <w:tc>
                <w:tcPr>
                  <w:tcW w:w="601" w:type="pct"/>
                  <w:tcBorders>
                    <w:tl2br w:val="nil"/>
                    <w:tr2bl w:val="nil"/>
                  </w:tcBorders>
                  <w:shd w:val="clear" w:color="auto" w:fill="auto"/>
                  <w:noWrap/>
                  <w:vAlign w:val="center"/>
                </w:tcPr>
                <w:p w14:paraId="73172295">
                  <w:pPr>
                    <w:pStyle w:val="37"/>
                    <w:rPr>
                      <w:color w:val="0000FF"/>
                    </w:rPr>
                  </w:pPr>
                  <w:r>
                    <w:rPr>
                      <w:color w:val="0000FF"/>
                    </w:rPr>
                    <w:t>污染物</w:t>
                  </w:r>
                </w:p>
              </w:tc>
              <w:tc>
                <w:tcPr>
                  <w:tcW w:w="533" w:type="pct"/>
                  <w:tcBorders>
                    <w:tl2br w:val="nil"/>
                    <w:tr2bl w:val="nil"/>
                  </w:tcBorders>
                  <w:shd w:val="clear" w:color="auto" w:fill="auto"/>
                  <w:noWrap/>
                  <w:vAlign w:val="center"/>
                </w:tcPr>
                <w:p w14:paraId="5996AA0F">
                  <w:pPr>
                    <w:pStyle w:val="37"/>
                    <w:rPr>
                      <w:color w:val="0000FF"/>
                    </w:rPr>
                  </w:pPr>
                  <w:r>
                    <w:rPr>
                      <w:color w:val="0000FF"/>
                    </w:rPr>
                    <w:t>产生浓度mg/</w:t>
                  </w:r>
                  <w:r>
                    <w:rPr>
                      <w:rFonts w:hint="eastAsia"/>
                      <w:color w:val="0000FF"/>
                    </w:rPr>
                    <w:t>L</w:t>
                  </w:r>
                </w:p>
              </w:tc>
              <w:tc>
                <w:tcPr>
                  <w:tcW w:w="581" w:type="pct"/>
                  <w:tcBorders>
                    <w:tl2br w:val="nil"/>
                    <w:tr2bl w:val="nil"/>
                  </w:tcBorders>
                  <w:shd w:val="clear" w:color="auto" w:fill="auto"/>
                  <w:noWrap/>
                  <w:vAlign w:val="center"/>
                </w:tcPr>
                <w:p w14:paraId="0406EC13">
                  <w:pPr>
                    <w:pStyle w:val="37"/>
                    <w:rPr>
                      <w:color w:val="0000FF"/>
                    </w:rPr>
                  </w:pPr>
                  <w:r>
                    <w:rPr>
                      <w:rFonts w:hint="eastAsia"/>
                      <w:color w:val="0000FF"/>
                    </w:rPr>
                    <w:t>产生</w:t>
                  </w:r>
                  <w:r>
                    <w:rPr>
                      <w:color w:val="0000FF"/>
                    </w:rPr>
                    <w:t>量t/a</w:t>
                  </w:r>
                </w:p>
              </w:tc>
              <w:tc>
                <w:tcPr>
                  <w:tcW w:w="461" w:type="pct"/>
                  <w:tcBorders>
                    <w:tl2br w:val="nil"/>
                    <w:tr2bl w:val="nil"/>
                  </w:tcBorders>
                  <w:shd w:val="clear" w:color="auto" w:fill="auto"/>
                  <w:noWrap/>
                  <w:vAlign w:val="center"/>
                </w:tcPr>
                <w:p w14:paraId="189B5A97">
                  <w:pPr>
                    <w:pStyle w:val="37"/>
                    <w:rPr>
                      <w:color w:val="0000FF"/>
                    </w:rPr>
                  </w:pPr>
                  <w:r>
                    <w:rPr>
                      <w:color w:val="0000FF"/>
                    </w:rPr>
                    <w:t>治污设施</w:t>
                  </w:r>
                </w:p>
              </w:tc>
              <w:tc>
                <w:tcPr>
                  <w:tcW w:w="547" w:type="pct"/>
                  <w:tcBorders>
                    <w:tl2br w:val="nil"/>
                    <w:tr2bl w:val="nil"/>
                  </w:tcBorders>
                  <w:shd w:val="clear" w:color="auto" w:fill="auto"/>
                  <w:noWrap/>
                  <w:vAlign w:val="center"/>
                </w:tcPr>
                <w:p w14:paraId="1AEF037D">
                  <w:pPr>
                    <w:pStyle w:val="37"/>
                    <w:rPr>
                      <w:color w:val="0000FF"/>
                    </w:rPr>
                  </w:pPr>
                  <w:r>
                    <w:rPr>
                      <w:color w:val="0000FF"/>
                    </w:rPr>
                    <w:t>处理效率%</w:t>
                  </w:r>
                </w:p>
              </w:tc>
              <w:tc>
                <w:tcPr>
                  <w:tcW w:w="384" w:type="pct"/>
                  <w:tcBorders>
                    <w:tl2br w:val="nil"/>
                    <w:tr2bl w:val="nil"/>
                  </w:tcBorders>
                  <w:shd w:val="clear" w:color="auto" w:fill="auto"/>
                  <w:noWrap/>
                  <w:vAlign w:val="center"/>
                </w:tcPr>
                <w:p w14:paraId="5E658177">
                  <w:pPr>
                    <w:pStyle w:val="37"/>
                    <w:rPr>
                      <w:color w:val="0000FF"/>
                    </w:rPr>
                  </w:pPr>
                  <w:r>
                    <w:rPr>
                      <w:color w:val="0000FF"/>
                    </w:rPr>
                    <w:t>排放口</w:t>
                  </w:r>
                </w:p>
              </w:tc>
              <w:tc>
                <w:tcPr>
                  <w:tcW w:w="498" w:type="pct"/>
                  <w:tcBorders>
                    <w:tl2br w:val="nil"/>
                    <w:tr2bl w:val="nil"/>
                  </w:tcBorders>
                  <w:shd w:val="clear" w:color="auto" w:fill="auto"/>
                  <w:noWrap/>
                  <w:vAlign w:val="center"/>
                </w:tcPr>
                <w:p w14:paraId="77248EC4">
                  <w:pPr>
                    <w:pStyle w:val="37"/>
                    <w:rPr>
                      <w:color w:val="0000FF"/>
                    </w:rPr>
                  </w:pPr>
                  <w:r>
                    <w:rPr>
                      <w:color w:val="0000FF"/>
                    </w:rPr>
                    <w:t>污染物</w:t>
                  </w:r>
                </w:p>
              </w:tc>
              <w:tc>
                <w:tcPr>
                  <w:tcW w:w="470" w:type="pct"/>
                  <w:tcBorders>
                    <w:tl2br w:val="nil"/>
                    <w:tr2bl w:val="nil"/>
                  </w:tcBorders>
                  <w:shd w:val="clear" w:color="auto" w:fill="auto"/>
                  <w:noWrap/>
                  <w:vAlign w:val="center"/>
                </w:tcPr>
                <w:p w14:paraId="5085DB8E">
                  <w:pPr>
                    <w:pStyle w:val="37"/>
                    <w:rPr>
                      <w:color w:val="0000FF"/>
                    </w:rPr>
                  </w:pPr>
                  <w:r>
                    <w:rPr>
                      <w:color w:val="0000FF"/>
                    </w:rPr>
                    <w:t>排放浓度mg/</w:t>
                  </w:r>
                  <w:r>
                    <w:rPr>
                      <w:rFonts w:hint="eastAsia"/>
                      <w:color w:val="0000FF"/>
                    </w:rPr>
                    <w:t>L</w:t>
                  </w:r>
                </w:p>
              </w:tc>
              <w:tc>
                <w:tcPr>
                  <w:tcW w:w="548" w:type="pct"/>
                  <w:tcBorders>
                    <w:tl2br w:val="nil"/>
                    <w:tr2bl w:val="nil"/>
                  </w:tcBorders>
                  <w:shd w:val="clear" w:color="auto" w:fill="auto"/>
                  <w:noWrap/>
                  <w:vAlign w:val="center"/>
                </w:tcPr>
                <w:p w14:paraId="3A44B539">
                  <w:pPr>
                    <w:pStyle w:val="37"/>
                    <w:rPr>
                      <w:color w:val="0000FF"/>
                    </w:rPr>
                  </w:pPr>
                  <w:r>
                    <w:rPr>
                      <w:color w:val="0000FF"/>
                    </w:rPr>
                    <w:t>排放量t/a</w:t>
                  </w:r>
                </w:p>
              </w:tc>
            </w:tr>
            <w:tr w14:paraId="13A4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restart"/>
                  <w:tcBorders>
                    <w:tl2br w:val="nil"/>
                    <w:tr2bl w:val="nil"/>
                  </w:tcBorders>
                  <w:shd w:val="clear" w:color="auto" w:fill="auto"/>
                  <w:vAlign w:val="center"/>
                </w:tcPr>
                <w:p w14:paraId="1FF10476">
                  <w:pPr>
                    <w:pStyle w:val="37"/>
                    <w:rPr>
                      <w:color w:val="0000FF"/>
                    </w:rPr>
                  </w:pPr>
                  <w:r>
                    <w:rPr>
                      <w:color w:val="0000FF"/>
                    </w:rPr>
                    <w:t>生产废水（</w:t>
                  </w:r>
                  <w:r>
                    <w:rPr>
                      <w:rFonts w:hint="eastAsia"/>
                      <w:color w:val="0000FF"/>
                    </w:rPr>
                    <w:t>1709.4m</w:t>
                  </w:r>
                  <w:r>
                    <w:rPr>
                      <w:rFonts w:hint="eastAsia"/>
                      <w:color w:val="0000FF"/>
                      <w:vertAlign w:val="superscript"/>
                    </w:rPr>
                    <w:t>3</w:t>
                  </w:r>
                  <w:r>
                    <w:rPr>
                      <w:color w:val="0000FF"/>
                    </w:rPr>
                    <w:t>/a）</w:t>
                  </w:r>
                </w:p>
              </w:tc>
              <w:tc>
                <w:tcPr>
                  <w:tcW w:w="601" w:type="pct"/>
                  <w:tcBorders>
                    <w:tl2br w:val="nil"/>
                    <w:tr2bl w:val="nil"/>
                  </w:tcBorders>
                  <w:shd w:val="clear" w:color="auto" w:fill="auto"/>
                  <w:vAlign w:val="center"/>
                </w:tcPr>
                <w:p w14:paraId="7C44E2C7">
                  <w:pPr>
                    <w:pStyle w:val="37"/>
                    <w:rPr>
                      <w:color w:val="0000FF"/>
                    </w:rPr>
                  </w:pPr>
                  <w:r>
                    <w:rPr>
                      <w:color w:val="0000FF"/>
                    </w:rPr>
                    <w:t>COD</w:t>
                  </w:r>
                </w:p>
              </w:tc>
              <w:tc>
                <w:tcPr>
                  <w:tcW w:w="533" w:type="pct"/>
                  <w:tcBorders>
                    <w:tl2br w:val="nil"/>
                    <w:tr2bl w:val="nil"/>
                  </w:tcBorders>
                  <w:shd w:val="clear" w:color="auto" w:fill="auto"/>
                  <w:noWrap/>
                  <w:vAlign w:val="center"/>
                </w:tcPr>
                <w:p w14:paraId="79BCEA2B">
                  <w:pPr>
                    <w:pStyle w:val="37"/>
                    <w:rPr>
                      <w:color w:val="0000FF"/>
                    </w:rPr>
                  </w:pPr>
                  <w:r>
                    <w:rPr>
                      <w:rFonts w:hint="eastAsia"/>
                      <w:color w:val="0000FF"/>
                    </w:rPr>
                    <w:t>3500</w:t>
                  </w:r>
                </w:p>
              </w:tc>
              <w:tc>
                <w:tcPr>
                  <w:tcW w:w="581" w:type="pct"/>
                  <w:tcBorders>
                    <w:tl2br w:val="nil"/>
                    <w:tr2bl w:val="nil"/>
                  </w:tcBorders>
                  <w:shd w:val="clear" w:color="auto" w:fill="auto"/>
                  <w:vAlign w:val="center"/>
                </w:tcPr>
                <w:p w14:paraId="5F7079D1">
                  <w:pPr>
                    <w:pStyle w:val="37"/>
                    <w:rPr>
                      <w:color w:val="0000FF"/>
                    </w:rPr>
                  </w:pPr>
                  <w:r>
                    <w:rPr>
                      <w:rFonts w:hint="eastAsia"/>
                      <w:color w:val="0000FF"/>
                    </w:rPr>
                    <w:t>5.98</w:t>
                  </w:r>
                </w:p>
              </w:tc>
              <w:tc>
                <w:tcPr>
                  <w:tcW w:w="461" w:type="pct"/>
                  <w:vMerge w:val="restart"/>
                  <w:tcBorders>
                    <w:tl2br w:val="nil"/>
                    <w:tr2bl w:val="nil"/>
                  </w:tcBorders>
                  <w:shd w:val="clear" w:color="auto" w:fill="auto"/>
                  <w:vAlign w:val="center"/>
                </w:tcPr>
                <w:p w14:paraId="78FE2D0D">
                  <w:pPr>
                    <w:pStyle w:val="37"/>
                    <w:rPr>
                      <w:color w:val="0000FF"/>
                    </w:rPr>
                  </w:pPr>
                  <w:r>
                    <w:rPr>
                      <w:color w:val="0000FF"/>
                    </w:rPr>
                    <w:t>污水处理站</w:t>
                  </w:r>
                </w:p>
              </w:tc>
              <w:tc>
                <w:tcPr>
                  <w:tcW w:w="547" w:type="pct"/>
                  <w:tcBorders>
                    <w:tl2br w:val="nil"/>
                    <w:tr2bl w:val="nil"/>
                  </w:tcBorders>
                  <w:shd w:val="clear" w:color="auto" w:fill="auto"/>
                  <w:noWrap/>
                  <w:vAlign w:val="center"/>
                </w:tcPr>
                <w:p w14:paraId="4A133BAA">
                  <w:pPr>
                    <w:pStyle w:val="37"/>
                    <w:rPr>
                      <w:color w:val="0000FF"/>
                    </w:rPr>
                  </w:pPr>
                  <w:r>
                    <w:rPr>
                      <w:rFonts w:hint="eastAsia"/>
                      <w:color w:val="0000FF"/>
                    </w:rPr>
                    <w:t>92</w:t>
                  </w:r>
                </w:p>
              </w:tc>
              <w:tc>
                <w:tcPr>
                  <w:tcW w:w="384" w:type="pct"/>
                  <w:vMerge w:val="restart"/>
                  <w:tcBorders>
                    <w:tl2br w:val="nil"/>
                    <w:tr2bl w:val="nil"/>
                  </w:tcBorders>
                  <w:shd w:val="clear" w:color="auto" w:fill="auto"/>
                  <w:noWrap/>
                  <w:vAlign w:val="center"/>
                </w:tcPr>
                <w:p w14:paraId="5EE4D0FB">
                  <w:pPr>
                    <w:pStyle w:val="37"/>
                    <w:rPr>
                      <w:color w:val="0000FF"/>
                    </w:rPr>
                  </w:pPr>
                  <w:r>
                    <w:rPr>
                      <w:color w:val="0000FF"/>
                    </w:rPr>
                    <w:t>DW001</w:t>
                  </w:r>
                </w:p>
              </w:tc>
              <w:tc>
                <w:tcPr>
                  <w:tcW w:w="498" w:type="pct"/>
                  <w:tcBorders>
                    <w:tl2br w:val="nil"/>
                    <w:tr2bl w:val="nil"/>
                  </w:tcBorders>
                  <w:shd w:val="clear" w:color="auto" w:fill="auto"/>
                  <w:noWrap/>
                  <w:vAlign w:val="center"/>
                </w:tcPr>
                <w:p w14:paraId="0B32206D">
                  <w:pPr>
                    <w:pStyle w:val="37"/>
                    <w:rPr>
                      <w:color w:val="0000FF"/>
                    </w:rPr>
                  </w:pPr>
                  <w:r>
                    <w:rPr>
                      <w:color w:val="0000FF"/>
                    </w:rPr>
                    <w:t>COD</w:t>
                  </w:r>
                </w:p>
              </w:tc>
              <w:tc>
                <w:tcPr>
                  <w:tcW w:w="470" w:type="pct"/>
                  <w:tcBorders>
                    <w:tl2br w:val="nil"/>
                    <w:tr2bl w:val="nil"/>
                  </w:tcBorders>
                  <w:shd w:val="clear" w:color="auto" w:fill="auto"/>
                  <w:noWrap/>
                  <w:vAlign w:val="center"/>
                </w:tcPr>
                <w:p w14:paraId="1D12B703">
                  <w:pPr>
                    <w:pStyle w:val="37"/>
                    <w:rPr>
                      <w:color w:val="0000FF"/>
                    </w:rPr>
                  </w:pPr>
                  <w:r>
                    <w:rPr>
                      <w:rFonts w:hint="eastAsia"/>
                      <w:color w:val="0000FF"/>
                    </w:rPr>
                    <w:t>280</w:t>
                  </w:r>
                </w:p>
              </w:tc>
              <w:tc>
                <w:tcPr>
                  <w:tcW w:w="548" w:type="pct"/>
                  <w:tcBorders>
                    <w:tl2br w:val="nil"/>
                    <w:tr2bl w:val="nil"/>
                  </w:tcBorders>
                  <w:shd w:val="clear" w:color="auto" w:fill="auto"/>
                  <w:noWrap/>
                  <w:vAlign w:val="center"/>
                </w:tcPr>
                <w:p w14:paraId="7203B784">
                  <w:pPr>
                    <w:pStyle w:val="37"/>
                    <w:rPr>
                      <w:color w:val="0000FF"/>
                    </w:rPr>
                  </w:pPr>
                  <w:r>
                    <w:rPr>
                      <w:rFonts w:hint="eastAsia"/>
                      <w:color w:val="0000FF"/>
                    </w:rPr>
                    <w:t>0.479</w:t>
                  </w:r>
                </w:p>
              </w:tc>
            </w:tr>
            <w:tr w14:paraId="7F7B9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1FBCA6C3">
                  <w:pPr>
                    <w:pStyle w:val="37"/>
                    <w:rPr>
                      <w:color w:val="0000FF"/>
                    </w:rPr>
                  </w:pPr>
                </w:p>
              </w:tc>
              <w:tc>
                <w:tcPr>
                  <w:tcW w:w="601" w:type="pct"/>
                  <w:tcBorders>
                    <w:tl2br w:val="nil"/>
                    <w:tr2bl w:val="nil"/>
                  </w:tcBorders>
                  <w:shd w:val="clear" w:color="auto" w:fill="auto"/>
                  <w:vAlign w:val="center"/>
                </w:tcPr>
                <w:p w14:paraId="235656B7">
                  <w:pPr>
                    <w:pStyle w:val="37"/>
                    <w:rPr>
                      <w:color w:val="0000FF"/>
                    </w:rPr>
                  </w:pPr>
                  <w:r>
                    <w:rPr>
                      <w:color w:val="0000FF"/>
                    </w:rPr>
                    <w:t>BOD</w:t>
                  </w:r>
                  <w:r>
                    <w:rPr>
                      <w:color w:val="0000FF"/>
                      <w:vertAlign w:val="subscript"/>
                    </w:rPr>
                    <w:t>5</w:t>
                  </w:r>
                </w:p>
              </w:tc>
              <w:tc>
                <w:tcPr>
                  <w:tcW w:w="533" w:type="pct"/>
                  <w:tcBorders>
                    <w:tl2br w:val="nil"/>
                    <w:tr2bl w:val="nil"/>
                  </w:tcBorders>
                  <w:shd w:val="clear" w:color="auto" w:fill="auto"/>
                  <w:noWrap/>
                  <w:vAlign w:val="center"/>
                </w:tcPr>
                <w:p w14:paraId="42497615">
                  <w:pPr>
                    <w:pStyle w:val="37"/>
                    <w:rPr>
                      <w:color w:val="0000FF"/>
                    </w:rPr>
                  </w:pPr>
                  <w:r>
                    <w:rPr>
                      <w:rFonts w:hint="eastAsia"/>
                      <w:color w:val="0000FF"/>
                    </w:rPr>
                    <w:t>1000</w:t>
                  </w:r>
                </w:p>
              </w:tc>
              <w:tc>
                <w:tcPr>
                  <w:tcW w:w="581" w:type="pct"/>
                  <w:tcBorders>
                    <w:tl2br w:val="nil"/>
                    <w:tr2bl w:val="nil"/>
                  </w:tcBorders>
                  <w:shd w:val="clear" w:color="auto" w:fill="auto"/>
                  <w:vAlign w:val="center"/>
                </w:tcPr>
                <w:p w14:paraId="1743E809">
                  <w:pPr>
                    <w:pStyle w:val="37"/>
                    <w:rPr>
                      <w:color w:val="0000FF"/>
                    </w:rPr>
                  </w:pPr>
                  <w:r>
                    <w:rPr>
                      <w:rFonts w:hint="eastAsia"/>
                      <w:color w:val="0000FF"/>
                    </w:rPr>
                    <w:t>1.71</w:t>
                  </w:r>
                </w:p>
              </w:tc>
              <w:tc>
                <w:tcPr>
                  <w:tcW w:w="461" w:type="pct"/>
                  <w:vMerge w:val="continue"/>
                  <w:tcBorders>
                    <w:tl2br w:val="nil"/>
                    <w:tr2bl w:val="nil"/>
                  </w:tcBorders>
                  <w:shd w:val="clear" w:color="auto" w:fill="auto"/>
                  <w:vAlign w:val="center"/>
                </w:tcPr>
                <w:p w14:paraId="23296408">
                  <w:pPr>
                    <w:pStyle w:val="37"/>
                    <w:rPr>
                      <w:color w:val="0000FF"/>
                    </w:rPr>
                  </w:pPr>
                </w:p>
              </w:tc>
              <w:tc>
                <w:tcPr>
                  <w:tcW w:w="547" w:type="pct"/>
                  <w:tcBorders>
                    <w:tl2br w:val="nil"/>
                    <w:tr2bl w:val="nil"/>
                  </w:tcBorders>
                  <w:shd w:val="clear" w:color="auto" w:fill="auto"/>
                  <w:noWrap/>
                  <w:vAlign w:val="center"/>
                </w:tcPr>
                <w:p w14:paraId="05EF5AAE">
                  <w:pPr>
                    <w:pStyle w:val="37"/>
                    <w:rPr>
                      <w:color w:val="0000FF"/>
                    </w:rPr>
                  </w:pPr>
                  <w:r>
                    <w:rPr>
                      <w:rFonts w:hint="eastAsia"/>
                      <w:color w:val="0000FF"/>
                    </w:rPr>
                    <w:t>75</w:t>
                  </w:r>
                </w:p>
              </w:tc>
              <w:tc>
                <w:tcPr>
                  <w:tcW w:w="384" w:type="pct"/>
                  <w:vMerge w:val="continue"/>
                  <w:tcBorders>
                    <w:tl2br w:val="nil"/>
                    <w:tr2bl w:val="nil"/>
                  </w:tcBorders>
                  <w:shd w:val="clear" w:color="auto" w:fill="auto"/>
                  <w:noWrap/>
                  <w:vAlign w:val="center"/>
                </w:tcPr>
                <w:p w14:paraId="4A767B89">
                  <w:pPr>
                    <w:pStyle w:val="37"/>
                    <w:rPr>
                      <w:color w:val="0000FF"/>
                    </w:rPr>
                  </w:pPr>
                </w:p>
              </w:tc>
              <w:tc>
                <w:tcPr>
                  <w:tcW w:w="498" w:type="pct"/>
                  <w:tcBorders>
                    <w:tl2br w:val="nil"/>
                    <w:tr2bl w:val="nil"/>
                  </w:tcBorders>
                  <w:shd w:val="clear" w:color="auto" w:fill="auto"/>
                  <w:noWrap/>
                  <w:vAlign w:val="center"/>
                </w:tcPr>
                <w:p w14:paraId="3E6E04B2">
                  <w:pPr>
                    <w:pStyle w:val="37"/>
                    <w:rPr>
                      <w:color w:val="0000FF"/>
                    </w:rPr>
                  </w:pPr>
                  <w:r>
                    <w:rPr>
                      <w:color w:val="0000FF"/>
                    </w:rPr>
                    <w:t>BOD</w:t>
                  </w:r>
                  <w:r>
                    <w:rPr>
                      <w:color w:val="0000FF"/>
                      <w:vertAlign w:val="subscript"/>
                    </w:rPr>
                    <w:t>5</w:t>
                  </w:r>
                </w:p>
              </w:tc>
              <w:tc>
                <w:tcPr>
                  <w:tcW w:w="470" w:type="pct"/>
                  <w:tcBorders>
                    <w:tl2br w:val="nil"/>
                    <w:tr2bl w:val="nil"/>
                  </w:tcBorders>
                  <w:shd w:val="clear" w:color="auto" w:fill="auto"/>
                  <w:noWrap/>
                  <w:vAlign w:val="center"/>
                </w:tcPr>
                <w:p w14:paraId="1DB6F6E9">
                  <w:pPr>
                    <w:pStyle w:val="37"/>
                    <w:rPr>
                      <w:color w:val="0000FF"/>
                    </w:rPr>
                  </w:pPr>
                  <w:r>
                    <w:rPr>
                      <w:rFonts w:hint="eastAsia"/>
                      <w:color w:val="0000FF"/>
                    </w:rPr>
                    <w:t>250</w:t>
                  </w:r>
                </w:p>
              </w:tc>
              <w:tc>
                <w:tcPr>
                  <w:tcW w:w="548" w:type="pct"/>
                  <w:tcBorders>
                    <w:tl2br w:val="nil"/>
                    <w:tr2bl w:val="nil"/>
                  </w:tcBorders>
                  <w:shd w:val="clear" w:color="auto" w:fill="auto"/>
                  <w:noWrap/>
                  <w:vAlign w:val="center"/>
                </w:tcPr>
                <w:p w14:paraId="0F2AFEBF">
                  <w:pPr>
                    <w:pStyle w:val="37"/>
                    <w:rPr>
                      <w:color w:val="0000FF"/>
                    </w:rPr>
                  </w:pPr>
                  <w:r>
                    <w:rPr>
                      <w:rFonts w:hint="eastAsia"/>
                      <w:color w:val="0000FF"/>
                    </w:rPr>
                    <w:t>0.427</w:t>
                  </w:r>
                </w:p>
              </w:tc>
            </w:tr>
            <w:tr w14:paraId="6368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4478DE63">
                  <w:pPr>
                    <w:pStyle w:val="37"/>
                    <w:rPr>
                      <w:color w:val="0000FF"/>
                    </w:rPr>
                  </w:pPr>
                </w:p>
              </w:tc>
              <w:tc>
                <w:tcPr>
                  <w:tcW w:w="601" w:type="pct"/>
                  <w:tcBorders>
                    <w:tl2br w:val="nil"/>
                    <w:tr2bl w:val="nil"/>
                  </w:tcBorders>
                  <w:shd w:val="clear" w:color="auto" w:fill="auto"/>
                  <w:vAlign w:val="center"/>
                </w:tcPr>
                <w:p w14:paraId="6BF8574D">
                  <w:pPr>
                    <w:pStyle w:val="37"/>
                    <w:rPr>
                      <w:color w:val="0000FF"/>
                    </w:rPr>
                  </w:pPr>
                  <w:r>
                    <w:rPr>
                      <w:color w:val="0000FF"/>
                    </w:rPr>
                    <w:t>SS</w:t>
                  </w:r>
                </w:p>
              </w:tc>
              <w:tc>
                <w:tcPr>
                  <w:tcW w:w="533" w:type="pct"/>
                  <w:tcBorders>
                    <w:tl2br w:val="nil"/>
                    <w:tr2bl w:val="nil"/>
                  </w:tcBorders>
                  <w:shd w:val="clear" w:color="auto" w:fill="auto"/>
                  <w:noWrap/>
                  <w:vAlign w:val="center"/>
                </w:tcPr>
                <w:p w14:paraId="313A0EEC">
                  <w:pPr>
                    <w:pStyle w:val="37"/>
                    <w:rPr>
                      <w:color w:val="0000FF"/>
                    </w:rPr>
                  </w:pPr>
                  <w:r>
                    <w:rPr>
                      <w:rFonts w:hint="eastAsia"/>
                      <w:color w:val="0000FF"/>
                    </w:rPr>
                    <w:t>800</w:t>
                  </w:r>
                </w:p>
              </w:tc>
              <w:tc>
                <w:tcPr>
                  <w:tcW w:w="581" w:type="pct"/>
                  <w:tcBorders>
                    <w:tl2br w:val="nil"/>
                    <w:tr2bl w:val="nil"/>
                  </w:tcBorders>
                  <w:shd w:val="clear" w:color="auto" w:fill="auto"/>
                  <w:vAlign w:val="center"/>
                </w:tcPr>
                <w:p w14:paraId="1B5B4795">
                  <w:pPr>
                    <w:pStyle w:val="37"/>
                    <w:rPr>
                      <w:color w:val="0000FF"/>
                    </w:rPr>
                  </w:pPr>
                  <w:r>
                    <w:rPr>
                      <w:rFonts w:hint="eastAsia"/>
                      <w:color w:val="0000FF"/>
                    </w:rPr>
                    <w:t>1.37</w:t>
                  </w:r>
                </w:p>
              </w:tc>
              <w:tc>
                <w:tcPr>
                  <w:tcW w:w="461" w:type="pct"/>
                  <w:vMerge w:val="continue"/>
                  <w:tcBorders>
                    <w:tl2br w:val="nil"/>
                    <w:tr2bl w:val="nil"/>
                  </w:tcBorders>
                  <w:shd w:val="clear" w:color="auto" w:fill="auto"/>
                  <w:vAlign w:val="center"/>
                </w:tcPr>
                <w:p w14:paraId="17D5DC6C">
                  <w:pPr>
                    <w:pStyle w:val="37"/>
                    <w:rPr>
                      <w:color w:val="0000FF"/>
                    </w:rPr>
                  </w:pPr>
                </w:p>
              </w:tc>
              <w:tc>
                <w:tcPr>
                  <w:tcW w:w="547" w:type="pct"/>
                  <w:tcBorders>
                    <w:tl2br w:val="nil"/>
                    <w:tr2bl w:val="nil"/>
                  </w:tcBorders>
                  <w:shd w:val="clear" w:color="auto" w:fill="auto"/>
                  <w:noWrap/>
                  <w:vAlign w:val="center"/>
                </w:tcPr>
                <w:p w14:paraId="0275E50B">
                  <w:pPr>
                    <w:pStyle w:val="37"/>
                    <w:rPr>
                      <w:color w:val="0000FF"/>
                    </w:rPr>
                  </w:pPr>
                  <w:r>
                    <w:rPr>
                      <w:rFonts w:hint="eastAsia"/>
                      <w:color w:val="0000FF"/>
                    </w:rPr>
                    <w:t>80</w:t>
                  </w:r>
                </w:p>
              </w:tc>
              <w:tc>
                <w:tcPr>
                  <w:tcW w:w="384" w:type="pct"/>
                  <w:vMerge w:val="continue"/>
                  <w:tcBorders>
                    <w:tl2br w:val="nil"/>
                    <w:tr2bl w:val="nil"/>
                  </w:tcBorders>
                  <w:shd w:val="clear" w:color="auto" w:fill="auto"/>
                  <w:noWrap/>
                  <w:vAlign w:val="center"/>
                </w:tcPr>
                <w:p w14:paraId="7FE0873F">
                  <w:pPr>
                    <w:pStyle w:val="37"/>
                    <w:rPr>
                      <w:color w:val="0000FF"/>
                    </w:rPr>
                  </w:pPr>
                </w:p>
              </w:tc>
              <w:tc>
                <w:tcPr>
                  <w:tcW w:w="498" w:type="pct"/>
                  <w:tcBorders>
                    <w:tl2br w:val="nil"/>
                    <w:tr2bl w:val="nil"/>
                  </w:tcBorders>
                  <w:shd w:val="clear" w:color="auto" w:fill="auto"/>
                  <w:noWrap/>
                  <w:vAlign w:val="center"/>
                </w:tcPr>
                <w:p w14:paraId="63B17B31">
                  <w:pPr>
                    <w:pStyle w:val="37"/>
                    <w:rPr>
                      <w:color w:val="0000FF"/>
                    </w:rPr>
                  </w:pPr>
                  <w:r>
                    <w:rPr>
                      <w:color w:val="0000FF"/>
                    </w:rPr>
                    <w:t>SS</w:t>
                  </w:r>
                </w:p>
              </w:tc>
              <w:tc>
                <w:tcPr>
                  <w:tcW w:w="470" w:type="pct"/>
                  <w:tcBorders>
                    <w:tl2br w:val="nil"/>
                    <w:tr2bl w:val="nil"/>
                  </w:tcBorders>
                  <w:shd w:val="clear" w:color="auto" w:fill="auto"/>
                  <w:noWrap/>
                  <w:vAlign w:val="center"/>
                </w:tcPr>
                <w:p w14:paraId="2ACFE895">
                  <w:pPr>
                    <w:pStyle w:val="37"/>
                    <w:rPr>
                      <w:color w:val="0000FF"/>
                    </w:rPr>
                  </w:pPr>
                  <w:r>
                    <w:rPr>
                      <w:rFonts w:hint="eastAsia"/>
                      <w:color w:val="0000FF"/>
                    </w:rPr>
                    <w:t>160</w:t>
                  </w:r>
                </w:p>
              </w:tc>
              <w:tc>
                <w:tcPr>
                  <w:tcW w:w="548" w:type="pct"/>
                  <w:tcBorders>
                    <w:tl2br w:val="nil"/>
                    <w:tr2bl w:val="nil"/>
                  </w:tcBorders>
                  <w:shd w:val="clear" w:color="auto" w:fill="auto"/>
                  <w:noWrap/>
                  <w:vAlign w:val="center"/>
                </w:tcPr>
                <w:p w14:paraId="051A778C">
                  <w:pPr>
                    <w:pStyle w:val="37"/>
                    <w:rPr>
                      <w:color w:val="0000FF"/>
                    </w:rPr>
                  </w:pPr>
                  <w:r>
                    <w:rPr>
                      <w:rFonts w:hint="eastAsia"/>
                      <w:color w:val="0000FF"/>
                    </w:rPr>
                    <w:t>0.273</w:t>
                  </w:r>
                </w:p>
              </w:tc>
            </w:tr>
            <w:tr w14:paraId="14B1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4881F44C">
                  <w:pPr>
                    <w:pStyle w:val="37"/>
                    <w:rPr>
                      <w:color w:val="0000FF"/>
                    </w:rPr>
                  </w:pPr>
                </w:p>
              </w:tc>
              <w:tc>
                <w:tcPr>
                  <w:tcW w:w="601" w:type="pct"/>
                  <w:tcBorders>
                    <w:tl2br w:val="nil"/>
                    <w:tr2bl w:val="nil"/>
                  </w:tcBorders>
                  <w:shd w:val="clear" w:color="auto" w:fill="auto"/>
                  <w:vAlign w:val="center"/>
                </w:tcPr>
                <w:p w14:paraId="3C85DDB4">
                  <w:pPr>
                    <w:pStyle w:val="37"/>
                    <w:rPr>
                      <w:color w:val="0000FF"/>
                    </w:rPr>
                  </w:pPr>
                  <w:r>
                    <w:rPr>
                      <w:color w:val="0000FF"/>
                    </w:rPr>
                    <w:t>NH</w:t>
                  </w:r>
                  <w:r>
                    <w:rPr>
                      <w:color w:val="0000FF"/>
                      <w:vertAlign w:val="subscript"/>
                    </w:rPr>
                    <w:t>3</w:t>
                  </w:r>
                  <w:r>
                    <w:rPr>
                      <w:color w:val="0000FF"/>
                    </w:rPr>
                    <w:t>-N</w:t>
                  </w:r>
                </w:p>
              </w:tc>
              <w:tc>
                <w:tcPr>
                  <w:tcW w:w="533" w:type="pct"/>
                  <w:tcBorders>
                    <w:tl2br w:val="nil"/>
                    <w:tr2bl w:val="nil"/>
                  </w:tcBorders>
                  <w:shd w:val="clear" w:color="auto" w:fill="auto"/>
                  <w:noWrap/>
                  <w:vAlign w:val="center"/>
                </w:tcPr>
                <w:p w14:paraId="769710EA">
                  <w:pPr>
                    <w:pStyle w:val="37"/>
                    <w:rPr>
                      <w:color w:val="0000FF"/>
                    </w:rPr>
                  </w:pPr>
                  <w:r>
                    <w:rPr>
                      <w:rFonts w:hint="eastAsia"/>
                      <w:color w:val="0000FF"/>
                    </w:rPr>
                    <w:t>50</w:t>
                  </w:r>
                </w:p>
              </w:tc>
              <w:tc>
                <w:tcPr>
                  <w:tcW w:w="581" w:type="pct"/>
                  <w:tcBorders>
                    <w:tl2br w:val="nil"/>
                    <w:tr2bl w:val="nil"/>
                  </w:tcBorders>
                  <w:shd w:val="clear" w:color="auto" w:fill="auto"/>
                  <w:vAlign w:val="center"/>
                </w:tcPr>
                <w:p w14:paraId="1C70C8A3">
                  <w:pPr>
                    <w:pStyle w:val="37"/>
                    <w:rPr>
                      <w:color w:val="0000FF"/>
                    </w:rPr>
                  </w:pPr>
                  <w:r>
                    <w:rPr>
                      <w:rFonts w:hint="eastAsia"/>
                      <w:color w:val="0000FF"/>
                    </w:rPr>
                    <w:t>0.0855</w:t>
                  </w:r>
                </w:p>
              </w:tc>
              <w:tc>
                <w:tcPr>
                  <w:tcW w:w="461" w:type="pct"/>
                  <w:vMerge w:val="continue"/>
                  <w:tcBorders>
                    <w:tl2br w:val="nil"/>
                    <w:tr2bl w:val="nil"/>
                  </w:tcBorders>
                  <w:shd w:val="clear" w:color="auto" w:fill="auto"/>
                  <w:vAlign w:val="center"/>
                </w:tcPr>
                <w:p w14:paraId="2DCDD0C9">
                  <w:pPr>
                    <w:pStyle w:val="37"/>
                    <w:rPr>
                      <w:color w:val="0000FF"/>
                    </w:rPr>
                  </w:pPr>
                </w:p>
              </w:tc>
              <w:tc>
                <w:tcPr>
                  <w:tcW w:w="547" w:type="pct"/>
                  <w:tcBorders>
                    <w:tl2br w:val="nil"/>
                    <w:tr2bl w:val="nil"/>
                  </w:tcBorders>
                  <w:shd w:val="clear" w:color="auto" w:fill="auto"/>
                  <w:noWrap/>
                  <w:vAlign w:val="center"/>
                </w:tcPr>
                <w:p w14:paraId="4BCF7201">
                  <w:pPr>
                    <w:pStyle w:val="37"/>
                    <w:rPr>
                      <w:color w:val="0000FF"/>
                    </w:rPr>
                  </w:pPr>
                  <w:r>
                    <w:rPr>
                      <w:rFonts w:hint="eastAsia"/>
                      <w:color w:val="0000FF"/>
                    </w:rPr>
                    <w:t>35</w:t>
                  </w:r>
                </w:p>
              </w:tc>
              <w:tc>
                <w:tcPr>
                  <w:tcW w:w="384" w:type="pct"/>
                  <w:vMerge w:val="continue"/>
                  <w:tcBorders>
                    <w:tl2br w:val="nil"/>
                    <w:tr2bl w:val="nil"/>
                  </w:tcBorders>
                  <w:shd w:val="clear" w:color="auto" w:fill="auto"/>
                  <w:noWrap/>
                  <w:vAlign w:val="center"/>
                </w:tcPr>
                <w:p w14:paraId="70557909">
                  <w:pPr>
                    <w:pStyle w:val="37"/>
                    <w:rPr>
                      <w:color w:val="0000FF"/>
                    </w:rPr>
                  </w:pPr>
                </w:p>
              </w:tc>
              <w:tc>
                <w:tcPr>
                  <w:tcW w:w="498" w:type="pct"/>
                  <w:tcBorders>
                    <w:tl2br w:val="nil"/>
                    <w:tr2bl w:val="nil"/>
                  </w:tcBorders>
                  <w:shd w:val="clear" w:color="auto" w:fill="auto"/>
                  <w:noWrap/>
                  <w:vAlign w:val="center"/>
                </w:tcPr>
                <w:p w14:paraId="1A1144F5">
                  <w:pPr>
                    <w:pStyle w:val="37"/>
                    <w:rPr>
                      <w:color w:val="0000FF"/>
                    </w:rPr>
                  </w:pPr>
                  <w:r>
                    <w:rPr>
                      <w:color w:val="0000FF"/>
                    </w:rPr>
                    <w:t>NH</w:t>
                  </w:r>
                  <w:r>
                    <w:rPr>
                      <w:color w:val="0000FF"/>
                      <w:vertAlign w:val="subscript"/>
                    </w:rPr>
                    <w:t>3</w:t>
                  </w:r>
                  <w:r>
                    <w:rPr>
                      <w:color w:val="0000FF"/>
                    </w:rPr>
                    <w:t>-N</w:t>
                  </w:r>
                </w:p>
              </w:tc>
              <w:tc>
                <w:tcPr>
                  <w:tcW w:w="470" w:type="pct"/>
                  <w:tcBorders>
                    <w:tl2br w:val="nil"/>
                    <w:tr2bl w:val="nil"/>
                  </w:tcBorders>
                  <w:shd w:val="clear" w:color="auto" w:fill="auto"/>
                  <w:noWrap/>
                  <w:vAlign w:val="center"/>
                </w:tcPr>
                <w:p w14:paraId="238F3A0E">
                  <w:pPr>
                    <w:pStyle w:val="37"/>
                    <w:rPr>
                      <w:color w:val="0000FF"/>
                    </w:rPr>
                  </w:pPr>
                  <w:r>
                    <w:rPr>
                      <w:rFonts w:hint="eastAsia"/>
                      <w:color w:val="0000FF"/>
                    </w:rPr>
                    <w:t>32.5</w:t>
                  </w:r>
                </w:p>
              </w:tc>
              <w:tc>
                <w:tcPr>
                  <w:tcW w:w="548" w:type="pct"/>
                  <w:tcBorders>
                    <w:tl2br w:val="nil"/>
                    <w:tr2bl w:val="nil"/>
                  </w:tcBorders>
                  <w:shd w:val="clear" w:color="auto" w:fill="auto"/>
                  <w:noWrap/>
                  <w:vAlign w:val="center"/>
                </w:tcPr>
                <w:p w14:paraId="48B2F6C3">
                  <w:pPr>
                    <w:pStyle w:val="37"/>
                    <w:rPr>
                      <w:color w:val="0000FF"/>
                    </w:rPr>
                  </w:pPr>
                  <w:r>
                    <w:rPr>
                      <w:rFonts w:hint="eastAsia"/>
                      <w:color w:val="0000FF"/>
                    </w:rPr>
                    <w:t>0.056</w:t>
                  </w:r>
                </w:p>
              </w:tc>
            </w:tr>
            <w:tr w14:paraId="3954C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78DD369E">
                  <w:pPr>
                    <w:pStyle w:val="37"/>
                    <w:rPr>
                      <w:color w:val="0000FF"/>
                    </w:rPr>
                  </w:pPr>
                </w:p>
              </w:tc>
              <w:tc>
                <w:tcPr>
                  <w:tcW w:w="601" w:type="pct"/>
                  <w:tcBorders>
                    <w:tl2br w:val="nil"/>
                    <w:tr2bl w:val="nil"/>
                  </w:tcBorders>
                  <w:shd w:val="clear" w:color="auto" w:fill="auto"/>
                  <w:vAlign w:val="center"/>
                </w:tcPr>
                <w:p w14:paraId="598545E8">
                  <w:pPr>
                    <w:pStyle w:val="37"/>
                    <w:rPr>
                      <w:color w:val="0000FF"/>
                    </w:rPr>
                  </w:pPr>
                  <w:r>
                    <w:rPr>
                      <w:color w:val="0000FF"/>
                    </w:rPr>
                    <w:t>动植物油</w:t>
                  </w:r>
                </w:p>
              </w:tc>
              <w:tc>
                <w:tcPr>
                  <w:tcW w:w="533" w:type="pct"/>
                  <w:tcBorders>
                    <w:tl2br w:val="nil"/>
                    <w:tr2bl w:val="nil"/>
                  </w:tcBorders>
                  <w:shd w:val="clear" w:color="auto" w:fill="auto"/>
                  <w:noWrap/>
                  <w:vAlign w:val="center"/>
                </w:tcPr>
                <w:p w14:paraId="68D7AE85">
                  <w:pPr>
                    <w:pStyle w:val="37"/>
                    <w:rPr>
                      <w:color w:val="0000FF"/>
                    </w:rPr>
                  </w:pPr>
                  <w:r>
                    <w:rPr>
                      <w:rFonts w:hint="eastAsia"/>
                      <w:color w:val="0000FF"/>
                    </w:rPr>
                    <w:t>200</w:t>
                  </w:r>
                </w:p>
              </w:tc>
              <w:tc>
                <w:tcPr>
                  <w:tcW w:w="581" w:type="pct"/>
                  <w:tcBorders>
                    <w:tl2br w:val="nil"/>
                    <w:tr2bl w:val="nil"/>
                  </w:tcBorders>
                  <w:shd w:val="clear" w:color="auto" w:fill="auto"/>
                  <w:vAlign w:val="center"/>
                </w:tcPr>
                <w:p w14:paraId="354F0AF8">
                  <w:pPr>
                    <w:pStyle w:val="37"/>
                    <w:rPr>
                      <w:color w:val="0000FF"/>
                    </w:rPr>
                  </w:pPr>
                  <w:r>
                    <w:rPr>
                      <w:rFonts w:hint="eastAsia"/>
                      <w:color w:val="0000FF"/>
                    </w:rPr>
                    <w:t>0.342</w:t>
                  </w:r>
                </w:p>
              </w:tc>
              <w:tc>
                <w:tcPr>
                  <w:tcW w:w="461" w:type="pct"/>
                  <w:vMerge w:val="continue"/>
                  <w:tcBorders>
                    <w:tl2br w:val="nil"/>
                    <w:tr2bl w:val="nil"/>
                  </w:tcBorders>
                  <w:shd w:val="clear" w:color="auto" w:fill="auto"/>
                  <w:vAlign w:val="center"/>
                </w:tcPr>
                <w:p w14:paraId="3464A017">
                  <w:pPr>
                    <w:pStyle w:val="37"/>
                    <w:rPr>
                      <w:color w:val="0000FF"/>
                    </w:rPr>
                  </w:pPr>
                </w:p>
              </w:tc>
              <w:tc>
                <w:tcPr>
                  <w:tcW w:w="547" w:type="pct"/>
                  <w:tcBorders>
                    <w:tl2br w:val="nil"/>
                    <w:tr2bl w:val="nil"/>
                  </w:tcBorders>
                  <w:shd w:val="clear" w:color="auto" w:fill="auto"/>
                  <w:noWrap/>
                  <w:vAlign w:val="center"/>
                </w:tcPr>
                <w:p w14:paraId="135E5D96">
                  <w:pPr>
                    <w:pStyle w:val="37"/>
                    <w:rPr>
                      <w:color w:val="0000FF"/>
                    </w:rPr>
                  </w:pPr>
                  <w:r>
                    <w:rPr>
                      <w:rFonts w:hint="eastAsia"/>
                      <w:color w:val="0000FF"/>
                    </w:rPr>
                    <w:t>80</w:t>
                  </w:r>
                </w:p>
              </w:tc>
              <w:tc>
                <w:tcPr>
                  <w:tcW w:w="384" w:type="pct"/>
                  <w:vMerge w:val="continue"/>
                  <w:tcBorders>
                    <w:tl2br w:val="nil"/>
                    <w:tr2bl w:val="nil"/>
                  </w:tcBorders>
                  <w:shd w:val="clear" w:color="auto" w:fill="auto"/>
                  <w:noWrap/>
                  <w:vAlign w:val="center"/>
                </w:tcPr>
                <w:p w14:paraId="2639050E">
                  <w:pPr>
                    <w:pStyle w:val="37"/>
                    <w:rPr>
                      <w:color w:val="0000FF"/>
                    </w:rPr>
                  </w:pPr>
                </w:p>
              </w:tc>
              <w:tc>
                <w:tcPr>
                  <w:tcW w:w="498" w:type="pct"/>
                  <w:tcBorders>
                    <w:tl2br w:val="nil"/>
                    <w:tr2bl w:val="nil"/>
                  </w:tcBorders>
                  <w:shd w:val="clear" w:color="auto" w:fill="auto"/>
                  <w:noWrap/>
                  <w:vAlign w:val="center"/>
                </w:tcPr>
                <w:p w14:paraId="7483C173">
                  <w:pPr>
                    <w:pStyle w:val="37"/>
                    <w:rPr>
                      <w:color w:val="0000FF"/>
                    </w:rPr>
                  </w:pPr>
                  <w:r>
                    <w:rPr>
                      <w:color w:val="0000FF"/>
                    </w:rPr>
                    <w:t>动植物油</w:t>
                  </w:r>
                </w:p>
              </w:tc>
              <w:tc>
                <w:tcPr>
                  <w:tcW w:w="470" w:type="pct"/>
                  <w:tcBorders>
                    <w:tl2br w:val="nil"/>
                    <w:tr2bl w:val="nil"/>
                  </w:tcBorders>
                  <w:shd w:val="clear" w:color="auto" w:fill="auto"/>
                  <w:noWrap/>
                  <w:vAlign w:val="center"/>
                </w:tcPr>
                <w:p w14:paraId="7DA15109">
                  <w:pPr>
                    <w:pStyle w:val="37"/>
                    <w:rPr>
                      <w:color w:val="0000FF"/>
                    </w:rPr>
                  </w:pPr>
                  <w:r>
                    <w:rPr>
                      <w:rFonts w:hint="eastAsia"/>
                      <w:color w:val="0000FF"/>
                    </w:rPr>
                    <w:t>40</w:t>
                  </w:r>
                </w:p>
              </w:tc>
              <w:tc>
                <w:tcPr>
                  <w:tcW w:w="548" w:type="pct"/>
                  <w:tcBorders>
                    <w:tl2br w:val="nil"/>
                    <w:tr2bl w:val="nil"/>
                  </w:tcBorders>
                  <w:shd w:val="clear" w:color="auto" w:fill="auto"/>
                  <w:noWrap/>
                  <w:vAlign w:val="center"/>
                </w:tcPr>
                <w:p w14:paraId="30AEB4A4">
                  <w:pPr>
                    <w:pStyle w:val="37"/>
                    <w:rPr>
                      <w:color w:val="0000FF"/>
                    </w:rPr>
                  </w:pPr>
                  <w:r>
                    <w:rPr>
                      <w:rFonts w:hint="eastAsia"/>
                      <w:color w:val="0000FF"/>
                    </w:rPr>
                    <w:t>0.068</w:t>
                  </w:r>
                </w:p>
              </w:tc>
            </w:tr>
            <w:tr w14:paraId="1E7D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036924C6">
                  <w:pPr>
                    <w:pStyle w:val="37"/>
                    <w:rPr>
                      <w:color w:val="0000FF"/>
                    </w:rPr>
                  </w:pPr>
                </w:p>
              </w:tc>
              <w:tc>
                <w:tcPr>
                  <w:tcW w:w="601" w:type="pct"/>
                  <w:tcBorders>
                    <w:tl2br w:val="nil"/>
                    <w:tr2bl w:val="nil"/>
                  </w:tcBorders>
                  <w:shd w:val="clear" w:color="auto" w:fill="auto"/>
                  <w:noWrap/>
                  <w:vAlign w:val="center"/>
                </w:tcPr>
                <w:p w14:paraId="73B47D98">
                  <w:pPr>
                    <w:pStyle w:val="37"/>
                    <w:rPr>
                      <w:color w:val="0000FF"/>
                    </w:rPr>
                  </w:pPr>
                  <w:r>
                    <w:rPr>
                      <w:color w:val="0000FF"/>
                    </w:rPr>
                    <w:t>TP</w:t>
                  </w:r>
                </w:p>
              </w:tc>
              <w:tc>
                <w:tcPr>
                  <w:tcW w:w="533" w:type="pct"/>
                  <w:tcBorders>
                    <w:tl2br w:val="nil"/>
                    <w:tr2bl w:val="nil"/>
                  </w:tcBorders>
                  <w:shd w:val="clear" w:color="auto" w:fill="auto"/>
                  <w:noWrap/>
                  <w:vAlign w:val="center"/>
                </w:tcPr>
                <w:p w14:paraId="6E431CDD">
                  <w:pPr>
                    <w:pStyle w:val="37"/>
                    <w:rPr>
                      <w:color w:val="0000FF"/>
                    </w:rPr>
                  </w:pPr>
                  <w:r>
                    <w:rPr>
                      <w:rFonts w:hint="eastAsia"/>
                      <w:color w:val="0000FF"/>
                    </w:rPr>
                    <w:t>75</w:t>
                  </w:r>
                </w:p>
              </w:tc>
              <w:tc>
                <w:tcPr>
                  <w:tcW w:w="581" w:type="pct"/>
                  <w:tcBorders>
                    <w:tl2br w:val="nil"/>
                    <w:tr2bl w:val="nil"/>
                  </w:tcBorders>
                  <w:shd w:val="clear" w:color="auto" w:fill="auto"/>
                  <w:vAlign w:val="center"/>
                </w:tcPr>
                <w:p w14:paraId="1FB732D0">
                  <w:pPr>
                    <w:pStyle w:val="37"/>
                    <w:rPr>
                      <w:color w:val="0000FF"/>
                    </w:rPr>
                  </w:pPr>
                  <w:r>
                    <w:rPr>
                      <w:rFonts w:hint="eastAsia"/>
                      <w:color w:val="0000FF"/>
                    </w:rPr>
                    <w:t>0.137</w:t>
                  </w:r>
                </w:p>
              </w:tc>
              <w:tc>
                <w:tcPr>
                  <w:tcW w:w="461" w:type="pct"/>
                  <w:vMerge w:val="continue"/>
                  <w:tcBorders>
                    <w:tl2br w:val="nil"/>
                    <w:tr2bl w:val="nil"/>
                  </w:tcBorders>
                  <w:shd w:val="clear" w:color="auto" w:fill="auto"/>
                  <w:vAlign w:val="center"/>
                </w:tcPr>
                <w:p w14:paraId="52251806">
                  <w:pPr>
                    <w:pStyle w:val="37"/>
                    <w:rPr>
                      <w:color w:val="0000FF"/>
                    </w:rPr>
                  </w:pPr>
                </w:p>
              </w:tc>
              <w:tc>
                <w:tcPr>
                  <w:tcW w:w="547" w:type="pct"/>
                  <w:tcBorders>
                    <w:tl2br w:val="nil"/>
                    <w:tr2bl w:val="nil"/>
                  </w:tcBorders>
                  <w:shd w:val="clear" w:color="auto" w:fill="auto"/>
                  <w:noWrap/>
                  <w:vAlign w:val="center"/>
                </w:tcPr>
                <w:p w14:paraId="74177C70">
                  <w:pPr>
                    <w:pStyle w:val="37"/>
                    <w:rPr>
                      <w:color w:val="0000FF"/>
                    </w:rPr>
                  </w:pPr>
                  <w:r>
                    <w:rPr>
                      <w:rFonts w:hint="eastAsia"/>
                      <w:color w:val="0000FF"/>
                    </w:rPr>
                    <w:t>90</w:t>
                  </w:r>
                </w:p>
              </w:tc>
              <w:tc>
                <w:tcPr>
                  <w:tcW w:w="384" w:type="pct"/>
                  <w:vMerge w:val="continue"/>
                  <w:tcBorders>
                    <w:tl2br w:val="nil"/>
                    <w:tr2bl w:val="nil"/>
                  </w:tcBorders>
                  <w:shd w:val="clear" w:color="auto" w:fill="auto"/>
                  <w:noWrap/>
                  <w:vAlign w:val="center"/>
                </w:tcPr>
                <w:p w14:paraId="440DC1DC">
                  <w:pPr>
                    <w:pStyle w:val="37"/>
                    <w:rPr>
                      <w:color w:val="0000FF"/>
                    </w:rPr>
                  </w:pPr>
                </w:p>
              </w:tc>
              <w:tc>
                <w:tcPr>
                  <w:tcW w:w="498" w:type="pct"/>
                  <w:tcBorders>
                    <w:tl2br w:val="nil"/>
                    <w:tr2bl w:val="nil"/>
                  </w:tcBorders>
                  <w:shd w:val="clear" w:color="auto" w:fill="auto"/>
                  <w:noWrap/>
                  <w:vAlign w:val="center"/>
                </w:tcPr>
                <w:p w14:paraId="5ED2E16C">
                  <w:pPr>
                    <w:pStyle w:val="37"/>
                    <w:rPr>
                      <w:color w:val="0000FF"/>
                    </w:rPr>
                  </w:pPr>
                  <w:r>
                    <w:rPr>
                      <w:color w:val="0000FF"/>
                    </w:rPr>
                    <w:t>TP</w:t>
                  </w:r>
                </w:p>
              </w:tc>
              <w:tc>
                <w:tcPr>
                  <w:tcW w:w="470" w:type="pct"/>
                  <w:tcBorders>
                    <w:tl2br w:val="nil"/>
                    <w:tr2bl w:val="nil"/>
                  </w:tcBorders>
                  <w:shd w:val="clear" w:color="auto" w:fill="auto"/>
                  <w:noWrap/>
                  <w:vAlign w:val="center"/>
                </w:tcPr>
                <w:p w14:paraId="5B1ED788">
                  <w:pPr>
                    <w:pStyle w:val="37"/>
                    <w:rPr>
                      <w:color w:val="0000FF"/>
                    </w:rPr>
                  </w:pPr>
                  <w:r>
                    <w:rPr>
                      <w:rFonts w:hint="eastAsia"/>
                      <w:color w:val="0000FF"/>
                    </w:rPr>
                    <w:t>7.5</w:t>
                  </w:r>
                </w:p>
              </w:tc>
              <w:tc>
                <w:tcPr>
                  <w:tcW w:w="548" w:type="pct"/>
                  <w:tcBorders>
                    <w:tl2br w:val="nil"/>
                    <w:tr2bl w:val="nil"/>
                  </w:tcBorders>
                  <w:shd w:val="clear" w:color="auto" w:fill="auto"/>
                  <w:noWrap/>
                  <w:vAlign w:val="center"/>
                </w:tcPr>
                <w:p w14:paraId="493F5A71">
                  <w:pPr>
                    <w:pStyle w:val="37"/>
                    <w:rPr>
                      <w:color w:val="0000FF"/>
                    </w:rPr>
                  </w:pPr>
                  <w:r>
                    <w:rPr>
                      <w:rFonts w:hint="eastAsia"/>
                      <w:color w:val="0000FF"/>
                    </w:rPr>
                    <w:t>0.0128</w:t>
                  </w:r>
                </w:p>
              </w:tc>
            </w:tr>
            <w:tr w14:paraId="264B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4EA3F137">
                  <w:pPr>
                    <w:pStyle w:val="37"/>
                    <w:rPr>
                      <w:color w:val="0000FF"/>
                    </w:rPr>
                  </w:pPr>
                </w:p>
              </w:tc>
              <w:tc>
                <w:tcPr>
                  <w:tcW w:w="601" w:type="pct"/>
                  <w:tcBorders>
                    <w:tl2br w:val="nil"/>
                    <w:tr2bl w:val="nil"/>
                  </w:tcBorders>
                  <w:shd w:val="clear" w:color="auto" w:fill="auto"/>
                  <w:noWrap/>
                  <w:vAlign w:val="center"/>
                </w:tcPr>
                <w:p w14:paraId="0269AE31">
                  <w:pPr>
                    <w:pStyle w:val="37"/>
                    <w:rPr>
                      <w:color w:val="0000FF"/>
                    </w:rPr>
                  </w:pPr>
                  <w:r>
                    <w:rPr>
                      <w:rFonts w:hint="eastAsia"/>
                      <w:color w:val="0000FF"/>
                    </w:rPr>
                    <w:t>LAS</w:t>
                  </w:r>
                </w:p>
              </w:tc>
              <w:tc>
                <w:tcPr>
                  <w:tcW w:w="533" w:type="pct"/>
                  <w:tcBorders>
                    <w:tl2br w:val="nil"/>
                    <w:tr2bl w:val="nil"/>
                  </w:tcBorders>
                  <w:shd w:val="clear" w:color="auto" w:fill="auto"/>
                  <w:noWrap/>
                  <w:vAlign w:val="center"/>
                </w:tcPr>
                <w:p w14:paraId="2B4C2DCC">
                  <w:pPr>
                    <w:pStyle w:val="37"/>
                    <w:rPr>
                      <w:color w:val="0000FF"/>
                    </w:rPr>
                  </w:pPr>
                  <w:r>
                    <w:rPr>
                      <w:rFonts w:hint="eastAsia"/>
                      <w:color w:val="0000FF"/>
                    </w:rPr>
                    <w:t>100</w:t>
                  </w:r>
                </w:p>
              </w:tc>
              <w:tc>
                <w:tcPr>
                  <w:tcW w:w="581" w:type="pct"/>
                  <w:tcBorders>
                    <w:tl2br w:val="nil"/>
                    <w:tr2bl w:val="nil"/>
                  </w:tcBorders>
                  <w:shd w:val="clear" w:color="auto" w:fill="auto"/>
                  <w:vAlign w:val="center"/>
                </w:tcPr>
                <w:p w14:paraId="2485B418">
                  <w:pPr>
                    <w:pStyle w:val="37"/>
                    <w:rPr>
                      <w:color w:val="0000FF"/>
                    </w:rPr>
                  </w:pPr>
                  <w:r>
                    <w:rPr>
                      <w:rFonts w:hint="eastAsia"/>
                      <w:color w:val="0000FF"/>
                    </w:rPr>
                    <w:t>0.205</w:t>
                  </w:r>
                </w:p>
              </w:tc>
              <w:tc>
                <w:tcPr>
                  <w:tcW w:w="461" w:type="pct"/>
                  <w:vMerge w:val="continue"/>
                  <w:tcBorders>
                    <w:tl2br w:val="nil"/>
                    <w:tr2bl w:val="nil"/>
                  </w:tcBorders>
                  <w:shd w:val="clear" w:color="auto" w:fill="auto"/>
                  <w:vAlign w:val="center"/>
                </w:tcPr>
                <w:p w14:paraId="385AC40D">
                  <w:pPr>
                    <w:pStyle w:val="37"/>
                    <w:rPr>
                      <w:color w:val="0000FF"/>
                    </w:rPr>
                  </w:pPr>
                </w:p>
              </w:tc>
              <w:tc>
                <w:tcPr>
                  <w:tcW w:w="547" w:type="pct"/>
                  <w:tcBorders>
                    <w:tl2br w:val="nil"/>
                    <w:tr2bl w:val="nil"/>
                  </w:tcBorders>
                  <w:shd w:val="clear" w:color="auto" w:fill="auto"/>
                  <w:noWrap/>
                  <w:vAlign w:val="center"/>
                </w:tcPr>
                <w:p w14:paraId="0D1FFD91">
                  <w:pPr>
                    <w:pStyle w:val="37"/>
                    <w:rPr>
                      <w:color w:val="0000FF"/>
                    </w:rPr>
                  </w:pPr>
                  <w:r>
                    <w:rPr>
                      <w:rFonts w:hint="eastAsia"/>
                      <w:color w:val="0000FF"/>
                    </w:rPr>
                    <w:t>93</w:t>
                  </w:r>
                </w:p>
              </w:tc>
              <w:tc>
                <w:tcPr>
                  <w:tcW w:w="384" w:type="pct"/>
                  <w:vMerge w:val="continue"/>
                  <w:tcBorders>
                    <w:tl2br w:val="nil"/>
                    <w:tr2bl w:val="nil"/>
                  </w:tcBorders>
                  <w:shd w:val="clear" w:color="auto" w:fill="auto"/>
                  <w:noWrap/>
                  <w:vAlign w:val="center"/>
                </w:tcPr>
                <w:p w14:paraId="1F4F6B29">
                  <w:pPr>
                    <w:pStyle w:val="37"/>
                    <w:rPr>
                      <w:color w:val="0000FF"/>
                    </w:rPr>
                  </w:pPr>
                </w:p>
              </w:tc>
              <w:tc>
                <w:tcPr>
                  <w:tcW w:w="498" w:type="pct"/>
                  <w:tcBorders>
                    <w:tl2br w:val="nil"/>
                    <w:tr2bl w:val="nil"/>
                  </w:tcBorders>
                  <w:shd w:val="clear" w:color="auto" w:fill="auto"/>
                  <w:noWrap/>
                  <w:vAlign w:val="center"/>
                </w:tcPr>
                <w:p w14:paraId="44CEC24F">
                  <w:pPr>
                    <w:pStyle w:val="37"/>
                    <w:rPr>
                      <w:color w:val="0000FF"/>
                    </w:rPr>
                  </w:pPr>
                  <w:r>
                    <w:rPr>
                      <w:rFonts w:hint="eastAsia"/>
                      <w:color w:val="0000FF"/>
                    </w:rPr>
                    <w:t>LAS</w:t>
                  </w:r>
                </w:p>
              </w:tc>
              <w:tc>
                <w:tcPr>
                  <w:tcW w:w="470" w:type="pct"/>
                  <w:tcBorders>
                    <w:tl2br w:val="nil"/>
                    <w:tr2bl w:val="nil"/>
                  </w:tcBorders>
                  <w:shd w:val="clear" w:color="auto" w:fill="auto"/>
                  <w:noWrap/>
                  <w:vAlign w:val="center"/>
                </w:tcPr>
                <w:p w14:paraId="4B01364D">
                  <w:pPr>
                    <w:pStyle w:val="37"/>
                    <w:rPr>
                      <w:color w:val="0000FF"/>
                    </w:rPr>
                  </w:pPr>
                  <w:r>
                    <w:rPr>
                      <w:rFonts w:hint="eastAsia"/>
                      <w:color w:val="0000FF"/>
                    </w:rPr>
                    <w:t>7</w:t>
                  </w:r>
                </w:p>
              </w:tc>
              <w:tc>
                <w:tcPr>
                  <w:tcW w:w="548" w:type="pct"/>
                  <w:tcBorders>
                    <w:tl2br w:val="nil"/>
                    <w:tr2bl w:val="nil"/>
                  </w:tcBorders>
                  <w:shd w:val="clear" w:color="auto" w:fill="auto"/>
                  <w:noWrap/>
                  <w:vAlign w:val="center"/>
                </w:tcPr>
                <w:p w14:paraId="088D0D81">
                  <w:pPr>
                    <w:pStyle w:val="37"/>
                    <w:rPr>
                      <w:color w:val="0000FF"/>
                    </w:rPr>
                  </w:pPr>
                  <w:r>
                    <w:rPr>
                      <w:rFonts w:hint="eastAsia"/>
                      <w:color w:val="0000FF"/>
                    </w:rPr>
                    <w:t>0.012</w:t>
                  </w:r>
                </w:p>
              </w:tc>
            </w:tr>
            <w:tr w14:paraId="33152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restart"/>
                  <w:tcBorders>
                    <w:tl2br w:val="nil"/>
                    <w:tr2bl w:val="nil"/>
                  </w:tcBorders>
                  <w:shd w:val="clear" w:color="auto" w:fill="auto"/>
                  <w:vAlign w:val="center"/>
                </w:tcPr>
                <w:p w14:paraId="43FA1021">
                  <w:pPr>
                    <w:pStyle w:val="37"/>
                    <w:rPr>
                      <w:color w:val="0000FF"/>
                    </w:rPr>
                  </w:pPr>
                  <w:r>
                    <w:rPr>
                      <w:color w:val="0000FF"/>
                    </w:rPr>
                    <w:t>生活污水（</w:t>
                  </w:r>
                  <w:r>
                    <w:rPr>
                      <w:rFonts w:hint="eastAsia"/>
                      <w:color w:val="0000FF"/>
                    </w:rPr>
                    <w:t>144m</w:t>
                  </w:r>
                  <w:r>
                    <w:rPr>
                      <w:rFonts w:hint="eastAsia"/>
                      <w:color w:val="0000FF"/>
                      <w:vertAlign w:val="superscript"/>
                    </w:rPr>
                    <w:t>3</w:t>
                  </w:r>
                  <w:r>
                    <w:rPr>
                      <w:color w:val="0000FF"/>
                    </w:rPr>
                    <w:t>/a）</w:t>
                  </w:r>
                </w:p>
              </w:tc>
              <w:tc>
                <w:tcPr>
                  <w:tcW w:w="601" w:type="pct"/>
                  <w:tcBorders>
                    <w:tl2br w:val="nil"/>
                    <w:tr2bl w:val="nil"/>
                  </w:tcBorders>
                  <w:shd w:val="clear" w:color="auto" w:fill="auto"/>
                  <w:vAlign w:val="center"/>
                </w:tcPr>
                <w:p w14:paraId="6B49A44B">
                  <w:pPr>
                    <w:pStyle w:val="37"/>
                    <w:rPr>
                      <w:color w:val="0000FF"/>
                    </w:rPr>
                  </w:pPr>
                  <w:r>
                    <w:rPr>
                      <w:color w:val="0000FF"/>
                    </w:rPr>
                    <w:t>COD</w:t>
                  </w:r>
                </w:p>
              </w:tc>
              <w:tc>
                <w:tcPr>
                  <w:tcW w:w="533" w:type="pct"/>
                  <w:tcBorders>
                    <w:tl2br w:val="nil"/>
                    <w:tr2bl w:val="nil"/>
                  </w:tcBorders>
                  <w:shd w:val="clear" w:color="auto" w:fill="auto"/>
                  <w:noWrap/>
                  <w:vAlign w:val="center"/>
                </w:tcPr>
                <w:p w14:paraId="0330B714">
                  <w:pPr>
                    <w:pStyle w:val="37"/>
                    <w:rPr>
                      <w:color w:val="0000FF"/>
                    </w:rPr>
                  </w:pPr>
                  <w:r>
                    <w:rPr>
                      <w:rFonts w:hint="eastAsia"/>
                      <w:color w:val="0000FF"/>
                    </w:rPr>
                    <w:t>300</w:t>
                  </w:r>
                </w:p>
              </w:tc>
              <w:tc>
                <w:tcPr>
                  <w:tcW w:w="581" w:type="pct"/>
                  <w:tcBorders>
                    <w:tl2br w:val="nil"/>
                    <w:tr2bl w:val="nil"/>
                  </w:tcBorders>
                  <w:shd w:val="clear" w:color="auto" w:fill="auto"/>
                  <w:noWrap/>
                  <w:vAlign w:val="center"/>
                </w:tcPr>
                <w:p w14:paraId="7EEC280B">
                  <w:pPr>
                    <w:pStyle w:val="37"/>
                    <w:rPr>
                      <w:color w:val="0000FF"/>
                    </w:rPr>
                  </w:pPr>
                  <w:r>
                    <w:rPr>
                      <w:rFonts w:hint="eastAsia"/>
                      <w:color w:val="0000FF"/>
                    </w:rPr>
                    <w:t>0.0432</w:t>
                  </w:r>
                </w:p>
              </w:tc>
              <w:tc>
                <w:tcPr>
                  <w:tcW w:w="461" w:type="pct"/>
                  <w:vMerge w:val="restart"/>
                  <w:tcBorders>
                    <w:tl2br w:val="nil"/>
                    <w:tr2bl w:val="nil"/>
                  </w:tcBorders>
                  <w:shd w:val="clear" w:color="auto" w:fill="auto"/>
                  <w:noWrap/>
                  <w:vAlign w:val="center"/>
                </w:tcPr>
                <w:p w14:paraId="44C92D87">
                  <w:pPr>
                    <w:pStyle w:val="37"/>
                    <w:rPr>
                      <w:color w:val="0000FF"/>
                    </w:rPr>
                  </w:pPr>
                  <w:r>
                    <w:rPr>
                      <w:color w:val="0000FF"/>
                    </w:rPr>
                    <w:t>化粪池</w:t>
                  </w:r>
                </w:p>
              </w:tc>
              <w:tc>
                <w:tcPr>
                  <w:tcW w:w="547" w:type="pct"/>
                  <w:tcBorders>
                    <w:tl2br w:val="nil"/>
                    <w:tr2bl w:val="nil"/>
                  </w:tcBorders>
                  <w:shd w:val="clear" w:color="auto" w:fill="auto"/>
                  <w:noWrap/>
                  <w:vAlign w:val="center"/>
                </w:tcPr>
                <w:p w14:paraId="74E46470">
                  <w:pPr>
                    <w:pStyle w:val="37"/>
                    <w:rPr>
                      <w:color w:val="0000FF"/>
                    </w:rPr>
                  </w:pPr>
                  <w:r>
                    <w:rPr>
                      <w:color w:val="0000FF"/>
                    </w:rPr>
                    <w:t>15</w:t>
                  </w:r>
                </w:p>
              </w:tc>
              <w:tc>
                <w:tcPr>
                  <w:tcW w:w="384" w:type="pct"/>
                  <w:vMerge w:val="continue"/>
                  <w:tcBorders>
                    <w:tl2br w:val="nil"/>
                    <w:tr2bl w:val="nil"/>
                  </w:tcBorders>
                  <w:shd w:val="clear" w:color="auto" w:fill="auto"/>
                  <w:noWrap/>
                  <w:vAlign w:val="center"/>
                </w:tcPr>
                <w:p w14:paraId="78EE1911">
                  <w:pPr>
                    <w:pStyle w:val="37"/>
                    <w:rPr>
                      <w:color w:val="0000FF"/>
                    </w:rPr>
                  </w:pPr>
                </w:p>
              </w:tc>
              <w:tc>
                <w:tcPr>
                  <w:tcW w:w="498" w:type="pct"/>
                  <w:tcBorders>
                    <w:tl2br w:val="nil"/>
                    <w:tr2bl w:val="nil"/>
                  </w:tcBorders>
                  <w:shd w:val="clear" w:color="auto" w:fill="auto"/>
                  <w:noWrap/>
                  <w:vAlign w:val="center"/>
                </w:tcPr>
                <w:p w14:paraId="61448F18">
                  <w:pPr>
                    <w:pStyle w:val="37"/>
                    <w:rPr>
                      <w:color w:val="0000FF"/>
                    </w:rPr>
                  </w:pPr>
                  <w:r>
                    <w:rPr>
                      <w:color w:val="0000FF"/>
                    </w:rPr>
                    <w:t>COD</w:t>
                  </w:r>
                </w:p>
              </w:tc>
              <w:tc>
                <w:tcPr>
                  <w:tcW w:w="470" w:type="pct"/>
                  <w:tcBorders>
                    <w:tl2br w:val="nil"/>
                    <w:tr2bl w:val="nil"/>
                  </w:tcBorders>
                  <w:shd w:val="clear" w:color="auto" w:fill="auto"/>
                  <w:noWrap/>
                  <w:vAlign w:val="center"/>
                </w:tcPr>
                <w:p w14:paraId="1E32778B">
                  <w:pPr>
                    <w:pStyle w:val="37"/>
                    <w:rPr>
                      <w:color w:val="0000FF"/>
                    </w:rPr>
                  </w:pPr>
                  <w:r>
                    <w:rPr>
                      <w:rFonts w:hint="eastAsia"/>
                      <w:color w:val="0000FF"/>
                    </w:rPr>
                    <w:t>255</w:t>
                  </w:r>
                </w:p>
              </w:tc>
              <w:tc>
                <w:tcPr>
                  <w:tcW w:w="548" w:type="pct"/>
                  <w:tcBorders>
                    <w:tl2br w:val="nil"/>
                    <w:tr2bl w:val="nil"/>
                  </w:tcBorders>
                  <w:shd w:val="clear" w:color="auto" w:fill="auto"/>
                  <w:noWrap/>
                  <w:vAlign w:val="center"/>
                </w:tcPr>
                <w:p w14:paraId="1120D196">
                  <w:pPr>
                    <w:pStyle w:val="37"/>
                    <w:rPr>
                      <w:color w:val="0000FF"/>
                    </w:rPr>
                  </w:pPr>
                  <w:r>
                    <w:rPr>
                      <w:rFonts w:hint="eastAsia"/>
                      <w:color w:val="0000FF"/>
                    </w:rPr>
                    <w:t>0.0367</w:t>
                  </w:r>
                </w:p>
              </w:tc>
            </w:tr>
            <w:tr w14:paraId="2BA7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4CE9200E">
                  <w:pPr>
                    <w:pStyle w:val="37"/>
                    <w:rPr>
                      <w:color w:val="0000FF"/>
                    </w:rPr>
                  </w:pPr>
                </w:p>
              </w:tc>
              <w:tc>
                <w:tcPr>
                  <w:tcW w:w="601" w:type="pct"/>
                  <w:tcBorders>
                    <w:tl2br w:val="nil"/>
                    <w:tr2bl w:val="nil"/>
                  </w:tcBorders>
                  <w:shd w:val="clear" w:color="auto" w:fill="auto"/>
                  <w:vAlign w:val="center"/>
                </w:tcPr>
                <w:p w14:paraId="267FAA01">
                  <w:pPr>
                    <w:pStyle w:val="37"/>
                    <w:rPr>
                      <w:color w:val="0000FF"/>
                    </w:rPr>
                  </w:pPr>
                  <w:r>
                    <w:rPr>
                      <w:color w:val="0000FF"/>
                    </w:rPr>
                    <w:t>BOD</w:t>
                  </w:r>
                  <w:r>
                    <w:rPr>
                      <w:color w:val="0000FF"/>
                      <w:vertAlign w:val="subscript"/>
                    </w:rPr>
                    <w:t>5</w:t>
                  </w:r>
                </w:p>
              </w:tc>
              <w:tc>
                <w:tcPr>
                  <w:tcW w:w="533" w:type="pct"/>
                  <w:tcBorders>
                    <w:tl2br w:val="nil"/>
                    <w:tr2bl w:val="nil"/>
                  </w:tcBorders>
                  <w:shd w:val="clear" w:color="auto" w:fill="auto"/>
                  <w:noWrap/>
                  <w:vAlign w:val="center"/>
                </w:tcPr>
                <w:p w14:paraId="0AA9B7F1">
                  <w:pPr>
                    <w:pStyle w:val="37"/>
                    <w:rPr>
                      <w:color w:val="0000FF"/>
                    </w:rPr>
                  </w:pPr>
                  <w:r>
                    <w:rPr>
                      <w:rFonts w:hint="eastAsia"/>
                      <w:color w:val="0000FF"/>
                    </w:rPr>
                    <w:t>250</w:t>
                  </w:r>
                </w:p>
              </w:tc>
              <w:tc>
                <w:tcPr>
                  <w:tcW w:w="581" w:type="pct"/>
                  <w:tcBorders>
                    <w:tl2br w:val="nil"/>
                    <w:tr2bl w:val="nil"/>
                  </w:tcBorders>
                  <w:shd w:val="clear" w:color="auto" w:fill="auto"/>
                  <w:noWrap/>
                  <w:vAlign w:val="center"/>
                </w:tcPr>
                <w:p w14:paraId="2C024848">
                  <w:pPr>
                    <w:pStyle w:val="37"/>
                    <w:rPr>
                      <w:color w:val="0000FF"/>
                    </w:rPr>
                  </w:pPr>
                  <w:r>
                    <w:rPr>
                      <w:rFonts w:hint="eastAsia"/>
                      <w:color w:val="0000FF"/>
                    </w:rPr>
                    <w:t>0.036</w:t>
                  </w:r>
                </w:p>
              </w:tc>
              <w:tc>
                <w:tcPr>
                  <w:tcW w:w="461" w:type="pct"/>
                  <w:vMerge w:val="continue"/>
                  <w:tcBorders>
                    <w:tl2br w:val="nil"/>
                    <w:tr2bl w:val="nil"/>
                  </w:tcBorders>
                  <w:shd w:val="clear" w:color="auto" w:fill="auto"/>
                  <w:noWrap/>
                  <w:vAlign w:val="center"/>
                </w:tcPr>
                <w:p w14:paraId="6E9BC0AE">
                  <w:pPr>
                    <w:pStyle w:val="37"/>
                    <w:rPr>
                      <w:color w:val="0000FF"/>
                    </w:rPr>
                  </w:pPr>
                </w:p>
              </w:tc>
              <w:tc>
                <w:tcPr>
                  <w:tcW w:w="547" w:type="pct"/>
                  <w:tcBorders>
                    <w:tl2br w:val="nil"/>
                    <w:tr2bl w:val="nil"/>
                  </w:tcBorders>
                  <w:shd w:val="clear" w:color="auto" w:fill="auto"/>
                  <w:noWrap/>
                  <w:vAlign w:val="center"/>
                </w:tcPr>
                <w:p w14:paraId="683BBAD6">
                  <w:pPr>
                    <w:pStyle w:val="37"/>
                    <w:rPr>
                      <w:color w:val="0000FF"/>
                    </w:rPr>
                  </w:pPr>
                  <w:r>
                    <w:rPr>
                      <w:color w:val="0000FF"/>
                    </w:rPr>
                    <w:t>9</w:t>
                  </w:r>
                </w:p>
              </w:tc>
              <w:tc>
                <w:tcPr>
                  <w:tcW w:w="384" w:type="pct"/>
                  <w:vMerge w:val="continue"/>
                  <w:tcBorders>
                    <w:tl2br w:val="nil"/>
                    <w:tr2bl w:val="nil"/>
                  </w:tcBorders>
                  <w:shd w:val="clear" w:color="auto" w:fill="auto"/>
                  <w:noWrap/>
                  <w:vAlign w:val="center"/>
                </w:tcPr>
                <w:p w14:paraId="567B85AC">
                  <w:pPr>
                    <w:pStyle w:val="37"/>
                    <w:rPr>
                      <w:color w:val="0000FF"/>
                    </w:rPr>
                  </w:pPr>
                </w:p>
              </w:tc>
              <w:tc>
                <w:tcPr>
                  <w:tcW w:w="498" w:type="pct"/>
                  <w:tcBorders>
                    <w:tl2br w:val="nil"/>
                    <w:tr2bl w:val="nil"/>
                  </w:tcBorders>
                  <w:shd w:val="clear" w:color="auto" w:fill="auto"/>
                  <w:noWrap/>
                  <w:vAlign w:val="center"/>
                </w:tcPr>
                <w:p w14:paraId="5BC400D5">
                  <w:pPr>
                    <w:pStyle w:val="37"/>
                    <w:rPr>
                      <w:color w:val="0000FF"/>
                    </w:rPr>
                  </w:pPr>
                  <w:r>
                    <w:rPr>
                      <w:color w:val="0000FF"/>
                    </w:rPr>
                    <w:t>BOD</w:t>
                  </w:r>
                  <w:r>
                    <w:rPr>
                      <w:color w:val="0000FF"/>
                      <w:vertAlign w:val="subscript"/>
                    </w:rPr>
                    <w:t>5</w:t>
                  </w:r>
                </w:p>
              </w:tc>
              <w:tc>
                <w:tcPr>
                  <w:tcW w:w="470" w:type="pct"/>
                  <w:tcBorders>
                    <w:tl2br w:val="nil"/>
                    <w:tr2bl w:val="nil"/>
                  </w:tcBorders>
                  <w:shd w:val="clear" w:color="auto" w:fill="auto"/>
                  <w:noWrap/>
                  <w:vAlign w:val="center"/>
                </w:tcPr>
                <w:p w14:paraId="0960D40F">
                  <w:pPr>
                    <w:pStyle w:val="37"/>
                    <w:rPr>
                      <w:color w:val="0000FF"/>
                    </w:rPr>
                  </w:pPr>
                  <w:r>
                    <w:rPr>
                      <w:rFonts w:hint="eastAsia"/>
                      <w:color w:val="0000FF"/>
                    </w:rPr>
                    <w:t>227.5</w:t>
                  </w:r>
                </w:p>
              </w:tc>
              <w:tc>
                <w:tcPr>
                  <w:tcW w:w="548" w:type="pct"/>
                  <w:tcBorders>
                    <w:tl2br w:val="nil"/>
                    <w:tr2bl w:val="nil"/>
                  </w:tcBorders>
                  <w:shd w:val="clear" w:color="auto" w:fill="auto"/>
                  <w:noWrap/>
                  <w:vAlign w:val="center"/>
                </w:tcPr>
                <w:p w14:paraId="62B3ED68">
                  <w:pPr>
                    <w:pStyle w:val="37"/>
                    <w:rPr>
                      <w:color w:val="0000FF"/>
                    </w:rPr>
                  </w:pPr>
                  <w:r>
                    <w:rPr>
                      <w:rFonts w:hint="eastAsia"/>
                      <w:color w:val="0000FF"/>
                    </w:rPr>
                    <w:t>0.0328</w:t>
                  </w:r>
                </w:p>
              </w:tc>
            </w:tr>
            <w:tr w14:paraId="2D26D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5952DDD7">
                  <w:pPr>
                    <w:pStyle w:val="37"/>
                    <w:rPr>
                      <w:color w:val="0000FF"/>
                    </w:rPr>
                  </w:pPr>
                </w:p>
              </w:tc>
              <w:tc>
                <w:tcPr>
                  <w:tcW w:w="601" w:type="pct"/>
                  <w:tcBorders>
                    <w:tl2br w:val="nil"/>
                    <w:tr2bl w:val="nil"/>
                  </w:tcBorders>
                  <w:shd w:val="clear" w:color="auto" w:fill="auto"/>
                  <w:vAlign w:val="center"/>
                </w:tcPr>
                <w:p w14:paraId="5B156C7A">
                  <w:pPr>
                    <w:pStyle w:val="37"/>
                    <w:rPr>
                      <w:color w:val="0000FF"/>
                    </w:rPr>
                  </w:pPr>
                  <w:r>
                    <w:rPr>
                      <w:color w:val="0000FF"/>
                    </w:rPr>
                    <w:t>SS</w:t>
                  </w:r>
                </w:p>
              </w:tc>
              <w:tc>
                <w:tcPr>
                  <w:tcW w:w="533" w:type="pct"/>
                  <w:tcBorders>
                    <w:tl2br w:val="nil"/>
                    <w:tr2bl w:val="nil"/>
                  </w:tcBorders>
                  <w:shd w:val="clear" w:color="auto" w:fill="auto"/>
                  <w:noWrap/>
                  <w:vAlign w:val="center"/>
                </w:tcPr>
                <w:p w14:paraId="5FEF6952">
                  <w:pPr>
                    <w:pStyle w:val="37"/>
                    <w:rPr>
                      <w:color w:val="0000FF"/>
                    </w:rPr>
                  </w:pPr>
                  <w:r>
                    <w:rPr>
                      <w:rFonts w:hint="eastAsia"/>
                      <w:color w:val="0000FF"/>
                    </w:rPr>
                    <w:t>200</w:t>
                  </w:r>
                </w:p>
              </w:tc>
              <w:tc>
                <w:tcPr>
                  <w:tcW w:w="581" w:type="pct"/>
                  <w:tcBorders>
                    <w:tl2br w:val="nil"/>
                    <w:tr2bl w:val="nil"/>
                  </w:tcBorders>
                  <w:shd w:val="clear" w:color="auto" w:fill="auto"/>
                  <w:noWrap/>
                  <w:vAlign w:val="center"/>
                </w:tcPr>
                <w:p w14:paraId="7EA8694B">
                  <w:pPr>
                    <w:pStyle w:val="37"/>
                    <w:rPr>
                      <w:color w:val="0000FF"/>
                    </w:rPr>
                  </w:pPr>
                  <w:r>
                    <w:rPr>
                      <w:rFonts w:hint="eastAsia"/>
                      <w:color w:val="0000FF"/>
                    </w:rPr>
                    <w:t>0.0288</w:t>
                  </w:r>
                </w:p>
              </w:tc>
              <w:tc>
                <w:tcPr>
                  <w:tcW w:w="461" w:type="pct"/>
                  <w:vMerge w:val="continue"/>
                  <w:tcBorders>
                    <w:tl2br w:val="nil"/>
                    <w:tr2bl w:val="nil"/>
                  </w:tcBorders>
                  <w:shd w:val="clear" w:color="auto" w:fill="auto"/>
                  <w:noWrap/>
                  <w:vAlign w:val="center"/>
                </w:tcPr>
                <w:p w14:paraId="1DDC61C7">
                  <w:pPr>
                    <w:pStyle w:val="37"/>
                    <w:rPr>
                      <w:color w:val="0000FF"/>
                    </w:rPr>
                  </w:pPr>
                </w:p>
              </w:tc>
              <w:tc>
                <w:tcPr>
                  <w:tcW w:w="547" w:type="pct"/>
                  <w:tcBorders>
                    <w:tl2br w:val="nil"/>
                    <w:tr2bl w:val="nil"/>
                  </w:tcBorders>
                  <w:shd w:val="clear" w:color="auto" w:fill="auto"/>
                  <w:noWrap/>
                  <w:vAlign w:val="center"/>
                </w:tcPr>
                <w:p w14:paraId="2A9FC8C4">
                  <w:pPr>
                    <w:pStyle w:val="37"/>
                    <w:rPr>
                      <w:color w:val="0000FF"/>
                    </w:rPr>
                  </w:pPr>
                  <w:r>
                    <w:rPr>
                      <w:color w:val="0000FF"/>
                    </w:rPr>
                    <w:t>30</w:t>
                  </w:r>
                </w:p>
              </w:tc>
              <w:tc>
                <w:tcPr>
                  <w:tcW w:w="384" w:type="pct"/>
                  <w:vMerge w:val="continue"/>
                  <w:tcBorders>
                    <w:tl2br w:val="nil"/>
                    <w:tr2bl w:val="nil"/>
                  </w:tcBorders>
                  <w:shd w:val="clear" w:color="auto" w:fill="auto"/>
                  <w:noWrap/>
                  <w:vAlign w:val="center"/>
                </w:tcPr>
                <w:p w14:paraId="4EE5C6E4">
                  <w:pPr>
                    <w:pStyle w:val="37"/>
                    <w:rPr>
                      <w:color w:val="0000FF"/>
                    </w:rPr>
                  </w:pPr>
                </w:p>
              </w:tc>
              <w:tc>
                <w:tcPr>
                  <w:tcW w:w="498" w:type="pct"/>
                  <w:tcBorders>
                    <w:tl2br w:val="nil"/>
                    <w:tr2bl w:val="nil"/>
                  </w:tcBorders>
                  <w:shd w:val="clear" w:color="auto" w:fill="auto"/>
                  <w:noWrap/>
                  <w:vAlign w:val="center"/>
                </w:tcPr>
                <w:p w14:paraId="600C01CD">
                  <w:pPr>
                    <w:pStyle w:val="37"/>
                    <w:rPr>
                      <w:color w:val="0000FF"/>
                    </w:rPr>
                  </w:pPr>
                  <w:r>
                    <w:rPr>
                      <w:color w:val="0000FF"/>
                    </w:rPr>
                    <w:t>SS</w:t>
                  </w:r>
                </w:p>
              </w:tc>
              <w:tc>
                <w:tcPr>
                  <w:tcW w:w="470" w:type="pct"/>
                  <w:tcBorders>
                    <w:tl2br w:val="nil"/>
                    <w:tr2bl w:val="nil"/>
                  </w:tcBorders>
                  <w:shd w:val="clear" w:color="auto" w:fill="auto"/>
                  <w:noWrap/>
                  <w:vAlign w:val="center"/>
                </w:tcPr>
                <w:p w14:paraId="47AE01AB">
                  <w:pPr>
                    <w:pStyle w:val="37"/>
                    <w:rPr>
                      <w:color w:val="0000FF"/>
                    </w:rPr>
                  </w:pPr>
                  <w:r>
                    <w:rPr>
                      <w:rFonts w:hint="eastAsia"/>
                      <w:color w:val="0000FF"/>
                    </w:rPr>
                    <w:t>140</w:t>
                  </w:r>
                </w:p>
              </w:tc>
              <w:tc>
                <w:tcPr>
                  <w:tcW w:w="548" w:type="pct"/>
                  <w:tcBorders>
                    <w:tl2br w:val="nil"/>
                    <w:tr2bl w:val="nil"/>
                  </w:tcBorders>
                  <w:shd w:val="clear" w:color="auto" w:fill="auto"/>
                  <w:noWrap/>
                  <w:vAlign w:val="center"/>
                </w:tcPr>
                <w:p w14:paraId="7982E20C">
                  <w:pPr>
                    <w:pStyle w:val="37"/>
                    <w:rPr>
                      <w:color w:val="0000FF"/>
                    </w:rPr>
                  </w:pPr>
                  <w:r>
                    <w:rPr>
                      <w:rFonts w:hint="eastAsia"/>
                      <w:color w:val="0000FF"/>
                    </w:rPr>
                    <w:t>0.02</w:t>
                  </w:r>
                </w:p>
              </w:tc>
            </w:tr>
            <w:tr w14:paraId="2B0F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468229FD">
                  <w:pPr>
                    <w:pStyle w:val="37"/>
                    <w:rPr>
                      <w:color w:val="0000FF"/>
                    </w:rPr>
                  </w:pPr>
                </w:p>
              </w:tc>
              <w:tc>
                <w:tcPr>
                  <w:tcW w:w="601" w:type="pct"/>
                  <w:tcBorders>
                    <w:tl2br w:val="nil"/>
                    <w:tr2bl w:val="nil"/>
                  </w:tcBorders>
                  <w:shd w:val="clear" w:color="auto" w:fill="auto"/>
                  <w:vAlign w:val="center"/>
                </w:tcPr>
                <w:p w14:paraId="0A91BC29">
                  <w:pPr>
                    <w:pStyle w:val="37"/>
                    <w:rPr>
                      <w:color w:val="0000FF"/>
                    </w:rPr>
                  </w:pPr>
                  <w:r>
                    <w:rPr>
                      <w:color w:val="0000FF"/>
                    </w:rPr>
                    <w:t>NH</w:t>
                  </w:r>
                  <w:r>
                    <w:rPr>
                      <w:color w:val="0000FF"/>
                      <w:vertAlign w:val="subscript"/>
                    </w:rPr>
                    <w:t>3</w:t>
                  </w:r>
                  <w:r>
                    <w:rPr>
                      <w:color w:val="0000FF"/>
                    </w:rPr>
                    <w:t>-N</w:t>
                  </w:r>
                </w:p>
              </w:tc>
              <w:tc>
                <w:tcPr>
                  <w:tcW w:w="533" w:type="pct"/>
                  <w:tcBorders>
                    <w:tl2br w:val="nil"/>
                    <w:tr2bl w:val="nil"/>
                  </w:tcBorders>
                  <w:shd w:val="clear" w:color="auto" w:fill="auto"/>
                  <w:noWrap/>
                  <w:vAlign w:val="center"/>
                </w:tcPr>
                <w:p w14:paraId="13EC1DEE">
                  <w:pPr>
                    <w:pStyle w:val="37"/>
                    <w:rPr>
                      <w:color w:val="0000FF"/>
                    </w:rPr>
                  </w:pPr>
                  <w:r>
                    <w:rPr>
                      <w:rFonts w:hint="eastAsia"/>
                      <w:color w:val="0000FF"/>
                    </w:rPr>
                    <w:t>30</w:t>
                  </w:r>
                </w:p>
              </w:tc>
              <w:tc>
                <w:tcPr>
                  <w:tcW w:w="581" w:type="pct"/>
                  <w:tcBorders>
                    <w:tl2br w:val="nil"/>
                    <w:tr2bl w:val="nil"/>
                  </w:tcBorders>
                  <w:shd w:val="clear" w:color="auto" w:fill="auto"/>
                  <w:noWrap/>
                  <w:vAlign w:val="center"/>
                </w:tcPr>
                <w:p w14:paraId="6444ED4E">
                  <w:pPr>
                    <w:pStyle w:val="37"/>
                    <w:rPr>
                      <w:color w:val="0000FF"/>
                    </w:rPr>
                  </w:pPr>
                  <w:r>
                    <w:rPr>
                      <w:rFonts w:hint="eastAsia"/>
                      <w:color w:val="0000FF"/>
                    </w:rPr>
                    <w:t>0.00432</w:t>
                  </w:r>
                </w:p>
              </w:tc>
              <w:tc>
                <w:tcPr>
                  <w:tcW w:w="461" w:type="pct"/>
                  <w:vMerge w:val="continue"/>
                  <w:tcBorders>
                    <w:tl2br w:val="nil"/>
                    <w:tr2bl w:val="nil"/>
                  </w:tcBorders>
                  <w:shd w:val="clear" w:color="auto" w:fill="auto"/>
                  <w:noWrap/>
                  <w:vAlign w:val="center"/>
                </w:tcPr>
                <w:p w14:paraId="4350ABDE">
                  <w:pPr>
                    <w:pStyle w:val="37"/>
                    <w:rPr>
                      <w:color w:val="0000FF"/>
                    </w:rPr>
                  </w:pPr>
                </w:p>
              </w:tc>
              <w:tc>
                <w:tcPr>
                  <w:tcW w:w="547" w:type="pct"/>
                  <w:tcBorders>
                    <w:tl2br w:val="nil"/>
                    <w:tr2bl w:val="nil"/>
                  </w:tcBorders>
                  <w:shd w:val="clear" w:color="auto" w:fill="auto"/>
                  <w:noWrap/>
                  <w:vAlign w:val="center"/>
                </w:tcPr>
                <w:p w14:paraId="08DE3805">
                  <w:pPr>
                    <w:pStyle w:val="37"/>
                    <w:rPr>
                      <w:color w:val="0000FF"/>
                    </w:rPr>
                  </w:pPr>
                  <w:r>
                    <w:rPr>
                      <w:color w:val="0000FF"/>
                    </w:rPr>
                    <w:t>3</w:t>
                  </w:r>
                </w:p>
              </w:tc>
              <w:tc>
                <w:tcPr>
                  <w:tcW w:w="384" w:type="pct"/>
                  <w:vMerge w:val="continue"/>
                  <w:tcBorders>
                    <w:tl2br w:val="nil"/>
                    <w:tr2bl w:val="nil"/>
                  </w:tcBorders>
                  <w:shd w:val="clear" w:color="auto" w:fill="auto"/>
                  <w:noWrap/>
                  <w:vAlign w:val="center"/>
                </w:tcPr>
                <w:p w14:paraId="5017DF86">
                  <w:pPr>
                    <w:pStyle w:val="37"/>
                    <w:rPr>
                      <w:color w:val="0000FF"/>
                    </w:rPr>
                  </w:pPr>
                </w:p>
              </w:tc>
              <w:tc>
                <w:tcPr>
                  <w:tcW w:w="498" w:type="pct"/>
                  <w:tcBorders>
                    <w:tl2br w:val="nil"/>
                    <w:tr2bl w:val="nil"/>
                  </w:tcBorders>
                  <w:shd w:val="clear" w:color="auto" w:fill="auto"/>
                  <w:noWrap/>
                  <w:vAlign w:val="center"/>
                </w:tcPr>
                <w:p w14:paraId="3EE6EB00">
                  <w:pPr>
                    <w:pStyle w:val="37"/>
                    <w:rPr>
                      <w:color w:val="0000FF"/>
                    </w:rPr>
                  </w:pPr>
                  <w:r>
                    <w:rPr>
                      <w:color w:val="0000FF"/>
                    </w:rPr>
                    <w:t>NH</w:t>
                  </w:r>
                  <w:r>
                    <w:rPr>
                      <w:color w:val="0000FF"/>
                      <w:vertAlign w:val="subscript"/>
                    </w:rPr>
                    <w:t>3</w:t>
                  </w:r>
                  <w:r>
                    <w:rPr>
                      <w:color w:val="0000FF"/>
                    </w:rPr>
                    <w:t>-N</w:t>
                  </w:r>
                </w:p>
              </w:tc>
              <w:tc>
                <w:tcPr>
                  <w:tcW w:w="470" w:type="pct"/>
                  <w:tcBorders>
                    <w:tl2br w:val="nil"/>
                    <w:tr2bl w:val="nil"/>
                  </w:tcBorders>
                  <w:shd w:val="clear" w:color="auto" w:fill="auto"/>
                  <w:noWrap/>
                  <w:vAlign w:val="center"/>
                </w:tcPr>
                <w:p w14:paraId="3BD2383D">
                  <w:pPr>
                    <w:pStyle w:val="37"/>
                    <w:rPr>
                      <w:color w:val="0000FF"/>
                    </w:rPr>
                  </w:pPr>
                  <w:r>
                    <w:rPr>
                      <w:rFonts w:hint="eastAsia"/>
                      <w:color w:val="0000FF"/>
                    </w:rPr>
                    <w:t>29.1</w:t>
                  </w:r>
                </w:p>
              </w:tc>
              <w:tc>
                <w:tcPr>
                  <w:tcW w:w="548" w:type="pct"/>
                  <w:tcBorders>
                    <w:tl2br w:val="nil"/>
                    <w:tr2bl w:val="nil"/>
                  </w:tcBorders>
                  <w:shd w:val="clear" w:color="auto" w:fill="auto"/>
                  <w:noWrap/>
                  <w:vAlign w:val="center"/>
                </w:tcPr>
                <w:p w14:paraId="0AC462D1">
                  <w:pPr>
                    <w:pStyle w:val="37"/>
                    <w:rPr>
                      <w:color w:val="0000FF"/>
                    </w:rPr>
                  </w:pPr>
                  <w:r>
                    <w:rPr>
                      <w:rFonts w:hint="eastAsia"/>
                      <w:color w:val="0000FF"/>
                    </w:rPr>
                    <w:t>0.00419</w:t>
                  </w:r>
                </w:p>
              </w:tc>
            </w:tr>
            <w:tr w14:paraId="024F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restart"/>
                  <w:tcBorders>
                    <w:tl2br w:val="nil"/>
                    <w:tr2bl w:val="nil"/>
                  </w:tcBorders>
                  <w:shd w:val="clear" w:color="auto" w:fill="auto"/>
                  <w:vAlign w:val="center"/>
                </w:tcPr>
                <w:p w14:paraId="1082CE2E">
                  <w:pPr>
                    <w:pStyle w:val="37"/>
                    <w:rPr>
                      <w:color w:val="0000FF"/>
                    </w:rPr>
                  </w:pPr>
                  <w:r>
                    <w:rPr>
                      <w:rFonts w:hint="eastAsia"/>
                      <w:color w:val="0000FF"/>
                    </w:rPr>
                    <w:t>综合污水（1853.4m</w:t>
                  </w:r>
                  <w:r>
                    <w:rPr>
                      <w:rFonts w:hint="eastAsia"/>
                      <w:color w:val="0000FF"/>
                      <w:vertAlign w:val="superscript"/>
                    </w:rPr>
                    <w:t>3</w:t>
                  </w:r>
                  <w:r>
                    <w:rPr>
                      <w:color w:val="0000FF"/>
                    </w:rPr>
                    <w:t>/a</w:t>
                  </w:r>
                  <w:r>
                    <w:rPr>
                      <w:rFonts w:hint="eastAsia"/>
                      <w:color w:val="0000FF"/>
                    </w:rPr>
                    <w:t>）</w:t>
                  </w:r>
                </w:p>
              </w:tc>
              <w:tc>
                <w:tcPr>
                  <w:tcW w:w="601" w:type="pct"/>
                  <w:tcBorders>
                    <w:tl2br w:val="nil"/>
                    <w:tr2bl w:val="nil"/>
                  </w:tcBorders>
                  <w:shd w:val="clear" w:color="auto" w:fill="auto"/>
                  <w:vAlign w:val="center"/>
                </w:tcPr>
                <w:p w14:paraId="052C7C47">
                  <w:pPr>
                    <w:pStyle w:val="37"/>
                    <w:rPr>
                      <w:color w:val="0000FF"/>
                    </w:rPr>
                  </w:pPr>
                  <w:r>
                    <w:rPr>
                      <w:color w:val="0000FF"/>
                    </w:rPr>
                    <w:t>COD</w:t>
                  </w:r>
                </w:p>
              </w:tc>
              <w:tc>
                <w:tcPr>
                  <w:tcW w:w="533" w:type="pct"/>
                  <w:tcBorders>
                    <w:tl2br w:val="nil"/>
                    <w:tr2bl w:val="nil"/>
                  </w:tcBorders>
                  <w:shd w:val="clear" w:color="auto" w:fill="auto"/>
                  <w:noWrap/>
                  <w:vAlign w:val="center"/>
                </w:tcPr>
                <w:p w14:paraId="16A860CD">
                  <w:pPr>
                    <w:pStyle w:val="37"/>
                    <w:rPr>
                      <w:color w:val="0000FF"/>
                    </w:rPr>
                  </w:pPr>
                  <w:r>
                    <w:rPr>
                      <w:rFonts w:hint="eastAsia"/>
                      <w:color w:val="0000FF"/>
                    </w:rPr>
                    <w:t>3248.1</w:t>
                  </w:r>
                </w:p>
              </w:tc>
              <w:tc>
                <w:tcPr>
                  <w:tcW w:w="581" w:type="pct"/>
                  <w:tcBorders>
                    <w:tl2br w:val="nil"/>
                    <w:tr2bl w:val="nil"/>
                  </w:tcBorders>
                  <w:shd w:val="clear" w:color="auto" w:fill="auto"/>
                  <w:noWrap/>
                  <w:vAlign w:val="center"/>
                </w:tcPr>
                <w:p w14:paraId="54964401">
                  <w:pPr>
                    <w:pStyle w:val="37"/>
                    <w:rPr>
                      <w:color w:val="0000FF"/>
                    </w:rPr>
                  </w:pPr>
                  <w:r>
                    <w:rPr>
                      <w:rFonts w:hint="eastAsia"/>
                      <w:color w:val="0000FF"/>
                    </w:rPr>
                    <w:t>6.02</w:t>
                  </w:r>
                </w:p>
              </w:tc>
              <w:tc>
                <w:tcPr>
                  <w:tcW w:w="461" w:type="pct"/>
                  <w:vMerge w:val="restart"/>
                  <w:tcBorders>
                    <w:tl2br w:val="nil"/>
                    <w:tr2bl w:val="nil"/>
                  </w:tcBorders>
                  <w:shd w:val="clear" w:color="auto" w:fill="auto"/>
                  <w:noWrap/>
                  <w:vAlign w:val="center"/>
                </w:tcPr>
                <w:p w14:paraId="23BBC8A9">
                  <w:pPr>
                    <w:pStyle w:val="37"/>
                    <w:rPr>
                      <w:color w:val="0000FF"/>
                    </w:rPr>
                  </w:pPr>
                  <w:r>
                    <w:rPr>
                      <w:color w:val="0000FF"/>
                    </w:rPr>
                    <w:t>化粪池</w:t>
                  </w:r>
                  <w:r>
                    <w:rPr>
                      <w:rFonts w:hint="eastAsia"/>
                      <w:color w:val="0000FF"/>
                    </w:rPr>
                    <w:t>+</w:t>
                  </w:r>
                  <w:r>
                    <w:rPr>
                      <w:color w:val="0000FF"/>
                    </w:rPr>
                    <w:t>污水处理站</w:t>
                  </w:r>
                </w:p>
              </w:tc>
              <w:tc>
                <w:tcPr>
                  <w:tcW w:w="547" w:type="pct"/>
                  <w:tcBorders>
                    <w:tl2br w:val="nil"/>
                    <w:tr2bl w:val="nil"/>
                  </w:tcBorders>
                  <w:shd w:val="clear" w:color="auto" w:fill="auto"/>
                  <w:noWrap/>
                  <w:vAlign w:val="center"/>
                </w:tcPr>
                <w:p w14:paraId="760DBD41">
                  <w:pPr>
                    <w:pStyle w:val="37"/>
                    <w:rPr>
                      <w:color w:val="0000FF"/>
                    </w:rPr>
                  </w:pPr>
                  <w:r>
                    <w:rPr>
                      <w:rFonts w:hint="eastAsia"/>
                      <w:color w:val="0000FF"/>
                    </w:rPr>
                    <w:t>91.4</w:t>
                  </w:r>
                </w:p>
              </w:tc>
              <w:tc>
                <w:tcPr>
                  <w:tcW w:w="384" w:type="pct"/>
                  <w:vMerge w:val="restart"/>
                  <w:tcBorders>
                    <w:tl2br w:val="nil"/>
                    <w:tr2bl w:val="nil"/>
                  </w:tcBorders>
                  <w:shd w:val="clear" w:color="auto" w:fill="auto"/>
                  <w:noWrap/>
                  <w:vAlign w:val="center"/>
                </w:tcPr>
                <w:p w14:paraId="082259DB">
                  <w:pPr>
                    <w:pStyle w:val="37"/>
                    <w:rPr>
                      <w:color w:val="0000FF"/>
                    </w:rPr>
                  </w:pPr>
                  <w:r>
                    <w:rPr>
                      <w:color w:val="0000FF"/>
                    </w:rPr>
                    <w:t>DW001</w:t>
                  </w:r>
                </w:p>
              </w:tc>
              <w:tc>
                <w:tcPr>
                  <w:tcW w:w="498" w:type="pct"/>
                  <w:tcBorders>
                    <w:tl2br w:val="nil"/>
                    <w:tr2bl w:val="nil"/>
                  </w:tcBorders>
                  <w:shd w:val="clear" w:color="auto" w:fill="auto"/>
                  <w:noWrap/>
                  <w:vAlign w:val="center"/>
                </w:tcPr>
                <w:p w14:paraId="28DDE81F">
                  <w:pPr>
                    <w:pStyle w:val="37"/>
                    <w:rPr>
                      <w:color w:val="0000FF"/>
                    </w:rPr>
                  </w:pPr>
                  <w:r>
                    <w:rPr>
                      <w:color w:val="0000FF"/>
                    </w:rPr>
                    <w:t>COD</w:t>
                  </w:r>
                </w:p>
              </w:tc>
              <w:tc>
                <w:tcPr>
                  <w:tcW w:w="470" w:type="pct"/>
                  <w:tcBorders>
                    <w:tl2br w:val="nil"/>
                    <w:tr2bl w:val="nil"/>
                  </w:tcBorders>
                  <w:shd w:val="clear" w:color="auto" w:fill="auto"/>
                  <w:noWrap/>
                  <w:vAlign w:val="center"/>
                </w:tcPr>
                <w:p w14:paraId="641EC4A0">
                  <w:pPr>
                    <w:pStyle w:val="37"/>
                    <w:rPr>
                      <w:color w:val="0000FF"/>
                    </w:rPr>
                  </w:pPr>
                  <w:r>
                    <w:rPr>
                      <w:rFonts w:hint="eastAsia"/>
                      <w:color w:val="0000FF"/>
                    </w:rPr>
                    <w:t>278.4</w:t>
                  </w:r>
                </w:p>
              </w:tc>
              <w:tc>
                <w:tcPr>
                  <w:tcW w:w="548" w:type="pct"/>
                  <w:tcBorders>
                    <w:tl2br w:val="nil"/>
                    <w:tr2bl w:val="nil"/>
                  </w:tcBorders>
                  <w:shd w:val="clear" w:color="auto" w:fill="auto"/>
                  <w:noWrap/>
                  <w:vAlign w:val="center"/>
                </w:tcPr>
                <w:p w14:paraId="0B6A2663">
                  <w:pPr>
                    <w:pStyle w:val="37"/>
                    <w:rPr>
                      <w:color w:val="0000FF"/>
                    </w:rPr>
                  </w:pPr>
                  <w:r>
                    <w:rPr>
                      <w:rFonts w:hint="eastAsia"/>
                      <w:color w:val="0000FF"/>
                    </w:rPr>
                    <w:t>0.516</w:t>
                  </w:r>
                </w:p>
              </w:tc>
            </w:tr>
            <w:tr w14:paraId="553A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3BEB186B">
                  <w:pPr>
                    <w:pStyle w:val="37"/>
                    <w:rPr>
                      <w:color w:val="0000FF"/>
                    </w:rPr>
                  </w:pPr>
                </w:p>
              </w:tc>
              <w:tc>
                <w:tcPr>
                  <w:tcW w:w="601" w:type="pct"/>
                  <w:tcBorders>
                    <w:tl2br w:val="nil"/>
                    <w:tr2bl w:val="nil"/>
                  </w:tcBorders>
                  <w:shd w:val="clear" w:color="auto" w:fill="auto"/>
                  <w:vAlign w:val="center"/>
                </w:tcPr>
                <w:p w14:paraId="45148DC0">
                  <w:pPr>
                    <w:pStyle w:val="37"/>
                    <w:rPr>
                      <w:color w:val="0000FF"/>
                    </w:rPr>
                  </w:pPr>
                  <w:r>
                    <w:rPr>
                      <w:color w:val="0000FF"/>
                    </w:rPr>
                    <w:t>BOD</w:t>
                  </w:r>
                  <w:r>
                    <w:rPr>
                      <w:color w:val="0000FF"/>
                      <w:vertAlign w:val="subscript"/>
                    </w:rPr>
                    <w:t>5</w:t>
                  </w:r>
                </w:p>
              </w:tc>
              <w:tc>
                <w:tcPr>
                  <w:tcW w:w="533" w:type="pct"/>
                  <w:tcBorders>
                    <w:tl2br w:val="nil"/>
                    <w:tr2bl w:val="nil"/>
                  </w:tcBorders>
                  <w:shd w:val="clear" w:color="auto" w:fill="auto"/>
                  <w:noWrap/>
                  <w:vAlign w:val="center"/>
                </w:tcPr>
                <w:p w14:paraId="408ED72A">
                  <w:pPr>
                    <w:pStyle w:val="37"/>
                    <w:rPr>
                      <w:color w:val="0000FF"/>
                    </w:rPr>
                  </w:pPr>
                  <w:r>
                    <w:rPr>
                      <w:rFonts w:hint="eastAsia"/>
                      <w:color w:val="0000FF"/>
                    </w:rPr>
                    <w:t>944.2</w:t>
                  </w:r>
                </w:p>
              </w:tc>
              <w:tc>
                <w:tcPr>
                  <w:tcW w:w="581" w:type="pct"/>
                  <w:tcBorders>
                    <w:tl2br w:val="nil"/>
                    <w:tr2bl w:val="nil"/>
                  </w:tcBorders>
                  <w:shd w:val="clear" w:color="auto" w:fill="auto"/>
                  <w:noWrap/>
                  <w:vAlign w:val="center"/>
                </w:tcPr>
                <w:p w14:paraId="42E14CFC">
                  <w:pPr>
                    <w:pStyle w:val="37"/>
                    <w:rPr>
                      <w:color w:val="0000FF"/>
                    </w:rPr>
                  </w:pPr>
                  <w:r>
                    <w:rPr>
                      <w:rFonts w:hint="eastAsia"/>
                      <w:color w:val="0000FF"/>
                    </w:rPr>
                    <w:t>1.75</w:t>
                  </w:r>
                </w:p>
              </w:tc>
              <w:tc>
                <w:tcPr>
                  <w:tcW w:w="461" w:type="pct"/>
                  <w:vMerge w:val="continue"/>
                  <w:tcBorders>
                    <w:tl2br w:val="nil"/>
                    <w:tr2bl w:val="nil"/>
                  </w:tcBorders>
                  <w:shd w:val="clear" w:color="auto" w:fill="auto"/>
                  <w:noWrap/>
                  <w:vAlign w:val="center"/>
                </w:tcPr>
                <w:p w14:paraId="58533A82">
                  <w:pPr>
                    <w:pStyle w:val="37"/>
                    <w:rPr>
                      <w:color w:val="0000FF"/>
                    </w:rPr>
                  </w:pPr>
                </w:p>
              </w:tc>
              <w:tc>
                <w:tcPr>
                  <w:tcW w:w="547" w:type="pct"/>
                  <w:tcBorders>
                    <w:tl2br w:val="nil"/>
                    <w:tr2bl w:val="nil"/>
                  </w:tcBorders>
                  <w:shd w:val="clear" w:color="auto" w:fill="auto"/>
                  <w:noWrap/>
                  <w:vAlign w:val="center"/>
                </w:tcPr>
                <w:p w14:paraId="0BF87AB3">
                  <w:pPr>
                    <w:pStyle w:val="37"/>
                    <w:rPr>
                      <w:color w:val="0000FF"/>
                    </w:rPr>
                  </w:pPr>
                  <w:r>
                    <w:rPr>
                      <w:rFonts w:hint="eastAsia"/>
                      <w:color w:val="0000FF"/>
                    </w:rPr>
                    <w:t>73.7</w:t>
                  </w:r>
                </w:p>
              </w:tc>
              <w:tc>
                <w:tcPr>
                  <w:tcW w:w="384" w:type="pct"/>
                  <w:vMerge w:val="continue"/>
                  <w:tcBorders>
                    <w:tl2br w:val="nil"/>
                    <w:tr2bl w:val="nil"/>
                  </w:tcBorders>
                  <w:shd w:val="clear" w:color="auto" w:fill="auto"/>
                  <w:noWrap/>
                  <w:vAlign w:val="center"/>
                </w:tcPr>
                <w:p w14:paraId="5687E6F7">
                  <w:pPr>
                    <w:pStyle w:val="37"/>
                    <w:rPr>
                      <w:color w:val="0000FF"/>
                    </w:rPr>
                  </w:pPr>
                </w:p>
              </w:tc>
              <w:tc>
                <w:tcPr>
                  <w:tcW w:w="498" w:type="pct"/>
                  <w:tcBorders>
                    <w:tl2br w:val="nil"/>
                    <w:tr2bl w:val="nil"/>
                  </w:tcBorders>
                  <w:shd w:val="clear" w:color="auto" w:fill="auto"/>
                  <w:noWrap/>
                  <w:vAlign w:val="center"/>
                </w:tcPr>
                <w:p w14:paraId="36B46593">
                  <w:pPr>
                    <w:pStyle w:val="37"/>
                    <w:rPr>
                      <w:color w:val="0000FF"/>
                    </w:rPr>
                  </w:pPr>
                  <w:r>
                    <w:rPr>
                      <w:color w:val="0000FF"/>
                    </w:rPr>
                    <w:t>BOD</w:t>
                  </w:r>
                  <w:r>
                    <w:rPr>
                      <w:color w:val="0000FF"/>
                      <w:vertAlign w:val="subscript"/>
                    </w:rPr>
                    <w:t>5</w:t>
                  </w:r>
                </w:p>
              </w:tc>
              <w:tc>
                <w:tcPr>
                  <w:tcW w:w="470" w:type="pct"/>
                  <w:tcBorders>
                    <w:tl2br w:val="nil"/>
                    <w:tr2bl w:val="nil"/>
                  </w:tcBorders>
                  <w:shd w:val="clear" w:color="auto" w:fill="auto"/>
                  <w:noWrap/>
                  <w:vAlign w:val="center"/>
                </w:tcPr>
                <w:p w14:paraId="41A99C0F">
                  <w:pPr>
                    <w:pStyle w:val="37"/>
                    <w:rPr>
                      <w:color w:val="0000FF"/>
                    </w:rPr>
                  </w:pPr>
                  <w:r>
                    <w:rPr>
                      <w:rFonts w:hint="eastAsia"/>
                      <w:color w:val="0000FF"/>
                    </w:rPr>
                    <w:t>248.2</w:t>
                  </w:r>
                </w:p>
              </w:tc>
              <w:tc>
                <w:tcPr>
                  <w:tcW w:w="548" w:type="pct"/>
                  <w:tcBorders>
                    <w:tl2br w:val="nil"/>
                    <w:tr2bl w:val="nil"/>
                  </w:tcBorders>
                  <w:shd w:val="clear" w:color="auto" w:fill="auto"/>
                  <w:noWrap/>
                  <w:vAlign w:val="center"/>
                </w:tcPr>
                <w:p w14:paraId="22D4B541">
                  <w:pPr>
                    <w:pStyle w:val="37"/>
                    <w:rPr>
                      <w:color w:val="0000FF"/>
                    </w:rPr>
                  </w:pPr>
                  <w:r>
                    <w:rPr>
                      <w:rFonts w:hint="eastAsia"/>
                      <w:color w:val="0000FF"/>
                    </w:rPr>
                    <w:t>0.46</w:t>
                  </w:r>
                </w:p>
              </w:tc>
            </w:tr>
            <w:tr w14:paraId="1F66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39E49160">
                  <w:pPr>
                    <w:pStyle w:val="37"/>
                    <w:rPr>
                      <w:color w:val="0000FF"/>
                    </w:rPr>
                  </w:pPr>
                </w:p>
              </w:tc>
              <w:tc>
                <w:tcPr>
                  <w:tcW w:w="601" w:type="pct"/>
                  <w:tcBorders>
                    <w:tl2br w:val="nil"/>
                    <w:tr2bl w:val="nil"/>
                  </w:tcBorders>
                  <w:shd w:val="clear" w:color="auto" w:fill="auto"/>
                  <w:vAlign w:val="center"/>
                </w:tcPr>
                <w:p w14:paraId="10A9DAA8">
                  <w:pPr>
                    <w:pStyle w:val="37"/>
                    <w:rPr>
                      <w:color w:val="0000FF"/>
                    </w:rPr>
                  </w:pPr>
                  <w:r>
                    <w:rPr>
                      <w:color w:val="0000FF"/>
                    </w:rPr>
                    <w:t>SS</w:t>
                  </w:r>
                </w:p>
              </w:tc>
              <w:tc>
                <w:tcPr>
                  <w:tcW w:w="533" w:type="pct"/>
                  <w:tcBorders>
                    <w:tl2br w:val="nil"/>
                    <w:tr2bl w:val="nil"/>
                  </w:tcBorders>
                  <w:shd w:val="clear" w:color="auto" w:fill="auto"/>
                  <w:noWrap/>
                  <w:vAlign w:val="center"/>
                </w:tcPr>
                <w:p w14:paraId="5F361D25">
                  <w:pPr>
                    <w:pStyle w:val="37"/>
                    <w:rPr>
                      <w:color w:val="0000FF"/>
                    </w:rPr>
                  </w:pPr>
                  <w:r>
                    <w:rPr>
                      <w:rFonts w:hint="eastAsia"/>
                      <w:color w:val="0000FF"/>
                    </w:rPr>
                    <w:t>755.4</w:t>
                  </w:r>
                </w:p>
              </w:tc>
              <w:tc>
                <w:tcPr>
                  <w:tcW w:w="581" w:type="pct"/>
                  <w:tcBorders>
                    <w:tl2br w:val="nil"/>
                    <w:tr2bl w:val="nil"/>
                  </w:tcBorders>
                  <w:shd w:val="clear" w:color="auto" w:fill="auto"/>
                  <w:noWrap/>
                  <w:vAlign w:val="center"/>
                </w:tcPr>
                <w:p w14:paraId="3A090489">
                  <w:pPr>
                    <w:pStyle w:val="37"/>
                    <w:rPr>
                      <w:color w:val="0000FF"/>
                    </w:rPr>
                  </w:pPr>
                  <w:r>
                    <w:rPr>
                      <w:rFonts w:hint="eastAsia"/>
                      <w:color w:val="0000FF"/>
                    </w:rPr>
                    <w:t>1.40</w:t>
                  </w:r>
                </w:p>
              </w:tc>
              <w:tc>
                <w:tcPr>
                  <w:tcW w:w="461" w:type="pct"/>
                  <w:vMerge w:val="continue"/>
                  <w:tcBorders>
                    <w:tl2br w:val="nil"/>
                    <w:tr2bl w:val="nil"/>
                  </w:tcBorders>
                  <w:shd w:val="clear" w:color="auto" w:fill="auto"/>
                  <w:noWrap/>
                  <w:vAlign w:val="center"/>
                </w:tcPr>
                <w:p w14:paraId="06FFCB6C">
                  <w:pPr>
                    <w:pStyle w:val="37"/>
                    <w:rPr>
                      <w:color w:val="0000FF"/>
                    </w:rPr>
                  </w:pPr>
                </w:p>
              </w:tc>
              <w:tc>
                <w:tcPr>
                  <w:tcW w:w="547" w:type="pct"/>
                  <w:tcBorders>
                    <w:tl2br w:val="nil"/>
                    <w:tr2bl w:val="nil"/>
                  </w:tcBorders>
                  <w:shd w:val="clear" w:color="auto" w:fill="auto"/>
                  <w:noWrap/>
                  <w:vAlign w:val="center"/>
                </w:tcPr>
                <w:p w14:paraId="1E2BA4EF">
                  <w:pPr>
                    <w:pStyle w:val="37"/>
                    <w:rPr>
                      <w:color w:val="0000FF"/>
                    </w:rPr>
                  </w:pPr>
                  <w:r>
                    <w:rPr>
                      <w:rFonts w:hint="eastAsia"/>
                      <w:color w:val="0000FF"/>
                    </w:rPr>
                    <w:t>79</w:t>
                  </w:r>
                </w:p>
              </w:tc>
              <w:tc>
                <w:tcPr>
                  <w:tcW w:w="384" w:type="pct"/>
                  <w:vMerge w:val="continue"/>
                  <w:tcBorders>
                    <w:tl2br w:val="nil"/>
                    <w:tr2bl w:val="nil"/>
                  </w:tcBorders>
                  <w:shd w:val="clear" w:color="auto" w:fill="auto"/>
                  <w:noWrap/>
                  <w:vAlign w:val="center"/>
                </w:tcPr>
                <w:p w14:paraId="0B632F3B">
                  <w:pPr>
                    <w:pStyle w:val="37"/>
                    <w:rPr>
                      <w:color w:val="0000FF"/>
                    </w:rPr>
                  </w:pPr>
                </w:p>
              </w:tc>
              <w:tc>
                <w:tcPr>
                  <w:tcW w:w="498" w:type="pct"/>
                  <w:tcBorders>
                    <w:tl2br w:val="nil"/>
                    <w:tr2bl w:val="nil"/>
                  </w:tcBorders>
                  <w:shd w:val="clear" w:color="auto" w:fill="auto"/>
                  <w:noWrap/>
                  <w:vAlign w:val="center"/>
                </w:tcPr>
                <w:p w14:paraId="7717AC11">
                  <w:pPr>
                    <w:pStyle w:val="37"/>
                    <w:rPr>
                      <w:color w:val="0000FF"/>
                    </w:rPr>
                  </w:pPr>
                  <w:r>
                    <w:rPr>
                      <w:color w:val="0000FF"/>
                    </w:rPr>
                    <w:t>SS</w:t>
                  </w:r>
                </w:p>
              </w:tc>
              <w:tc>
                <w:tcPr>
                  <w:tcW w:w="470" w:type="pct"/>
                  <w:tcBorders>
                    <w:tl2br w:val="nil"/>
                    <w:tr2bl w:val="nil"/>
                  </w:tcBorders>
                  <w:shd w:val="clear" w:color="auto" w:fill="auto"/>
                  <w:noWrap/>
                  <w:vAlign w:val="center"/>
                </w:tcPr>
                <w:p w14:paraId="62310CDF">
                  <w:pPr>
                    <w:pStyle w:val="37"/>
                    <w:rPr>
                      <w:color w:val="0000FF"/>
                    </w:rPr>
                  </w:pPr>
                  <w:r>
                    <w:rPr>
                      <w:rFonts w:hint="eastAsia"/>
                      <w:color w:val="0000FF"/>
                    </w:rPr>
                    <w:t>158</w:t>
                  </w:r>
                </w:p>
              </w:tc>
              <w:tc>
                <w:tcPr>
                  <w:tcW w:w="548" w:type="pct"/>
                  <w:tcBorders>
                    <w:tl2br w:val="nil"/>
                    <w:tr2bl w:val="nil"/>
                  </w:tcBorders>
                  <w:shd w:val="clear" w:color="auto" w:fill="auto"/>
                  <w:noWrap/>
                  <w:vAlign w:val="center"/>
                </w:tcPr>
                <w:p w14:paraId="0EC7BB3B">
                  <w:pPr>
                    <w:pStyle w:val="37"/>
                    <w:rPr>
                      <w:color w:val="0000FF"/>
                    </w:rPr>
                  </w:pPr>
                  <w:r>
                    <w:rPr>
                      <w:rFonts w:hint="eastAsia"/>
                      <w:color w:val="0000FF"/>
                    </w:rPr>
                    <w:t>0.293</w:t>
                  </w:r>
                </w:p>
              </w:tc>
            </w:tr>
            <w:tr w14:paraId="0D3DF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37CA638D">
                  <w:pPr>
                    <w:pStyle w:val="37"/>
                    <w:rPr>
                      <w:color w:val="0000FF"/>
                    </w:rPr>
                  </w:pPr>
                </w:p>
              </w:tc>
              <w:tc>
                <w:tcPr>
                  <w:tcW w:w="601" w:type="pct"/>
                  <w:tcBorders>
                    <w:tl2br w:val="nil"/>
                    <w:tr2bl w:val="nil"/>
                  </w:tcBorders>
                  <w:shd w:val="clear" w:color="auto" w:fill="auto"/>
                  <w:vAlign w:val="center"/>
                </w:tcPr>
                <w:p w14:paraId="6A59F73B">
                  <w:pPr>
                    <w:pStyle w:val="37"/>
                    <w:rPr>
                      <w:color w:val="0000FF"/>
                    </w:rPr>
                  </w:pPr>
                  <w:r>
                    <w:rPr>
                      <w:color w:val="0000FF"/>
                    </w:rPr>
                    <w:t>NH</w:t>
                  </w:r>
                  <w:r>
                    <w:rPr>
                      <w:color w:val="0000FF"/>
                      <w:vertAlign w:val="subscript"/>
                    </w:rPr>
                    <w:t>3</w:t>
                  </w:r>
                  <w:r>
                    <w:rPr>
                      <w:color w:val="0000FF"/>
                    </w:rPr>
                    <w:t>-N</w:t>
                  </w:r>
                </w:p>
              </w:tc>
              <w:tc>
                <w:tcPr>
                  <w:tcW w:w="533" w:type="pct"/>
                  <w:tcBorders>
                    <w:tl2br w:val="nil"/>
                    <w:tr2bl w:val="nil"/>
                  </w:tcBorders>
                  <w:shd w:val="clear" w:color="auto" w:fill="auto"/>
                  <w:noWrap/>
                  <w:vAlign w:val="center"/>
                </w:tcPr>
                <w:p w14:paraId="186E7890">
                  <w:pPr>
                    <w:pStyle w:val="37"/>
                    <w:rPr>
                      <w:color w:val="0000FF"/>
                    </w:rPr>
                  </w:pPr>
                  <w:r>
                    <w:rPr>
                      <w:rFonts w:hint="eastAsia"/>
                      <w:color w:val="0000FF"/>
                    </w:rPr>
                    <w:t>48.6</w:t>
                  </w:r>
                </w:p>
              </w:tc>
              <w:tc>
                <w:tcPr>
                  <w:tcW w:w="581" w:type="pct"/>
                  <w:tcBorders>
                    <w:tl2br w:val="nil"/>
                    <w:tr2bl w:val="nil"/>
                  </w:tcBorders>
                  <w:shd w:val="clear" w:color="auto" w:fill="auto"/>
                  <w:noWrap/>
                  <w:vAlign w:val="center"/>
                </w:tcPr>
                <w:p w14:paraId="6113F5E4">
                  <w:pPr>
                    <w:pStyle w:val="37"/>
                    <w:rPr>
                      <w:color w:val="0000FF"/>
                    </w:rPr>
                  </w:pPr>
                  <w:r>
                    <w:rPr>
                      <w:rFonts w:hint="eastAsia"/>
                      <w:color w:val="0000FF"/>
                    </w:rPr>
                    <w:t>0.09</w:t>
                  </w:r>
                </w:p>
              </w:tc>
              <w:tc>
                <w:tcPr>
                  <w:tcW w:w="461" w:type="pct"/>
                  <w:vMerge w:val="continue"/>
                  <w:tcBorders>
                    <w:tl2br w:val="nil"/>
                    <w:tr2bl w:val="nil"/>
                  </w:tcBorders>
                  <w:shd w:val="clear" w:color="auto" w:fill="auto"/>
                  <w:noWrap/>
                  <w:vAlign w:val="center"/>
                </w:tcPr>
                <w:p w14:paraId="55CD13E7">
                  <w:pPr>
                    <w:pStyle w:val="37"/>
                    <w:rPr>
                      <w:color w:val="0000FF"/>
                    </w:rPr>
                  </w:pPr>
                </w:p>
              </w:tc>
              <w:tc>
                <w:tcPr>
                  <w:tcW w:w="547" w:type="pct"/>
                  <w:tcBorders>
                    <w:tl2br w:val="nil"/>
                    <w:tr2bl w:val="nil"/>
                  </w:tcBorders>
                  <w:shd w:val="clear" w:color="auto" w:fill="auto"/>
                  <w:noWrap/>
                  <w:vAlign w:val="center"/>
                </w:tcPr>
                <w:p w14:paraId="37816A39">
                  <w:pPr>
                    <w:pStyle w:val="37"/>
                    <w:rPr>
                      <w:color w:val="0000FF"/>
                    </w:rPr>
                  </w:pPr>
                  <w:r>
                    <w:rPr>
                      <w:rFonts w:hint="eastAsia"/>
                      <w:color w:val="0000FF"/>
                    </w:rPr>
                    <w:t>33</w:t>
                  </w:r>
                </w:p>
              </w:tc>
              <w:tc>
                <w:tcPr>
                  <w:tcW w:w="384" w:type="pct"/>
                  <w:vMerge w:val="continue"/>
                  <w:tcBorders>
                    <w:tl2br w:val="nil"/>
                    <w:tr2bl w:val="nil"/>
                  </w:tcBorders>
                  <w:shd w:val="clear" w:color="auto" w:fill="auto"/>
                  <w:noWrap/>
                  <w:vAlign w:val="center"/>
                </w:tcPr>
                <w:p w14:paraId="7AD4D65C">
                  <w:pPr>
                    <w:pStyle w:val="37"/>
                    <w:rPr>
                      <w:color w:val="0000FF"/>
                    </w:rPr>
                  </w:pPr>
                </w:p>
              </w:tc>
              <w:tc>
                <w:tcPr>
                  <w:tcW w:w="498" w:type="pct"/>
                  <w:tcBorders>
                    <w:tl2br w:val="nil"/>
                    <w:tr2bl w:val="nil"/>
                  </w:tcBorders>
                  <w:shd w:val="clear" w:color="auto" w:fill="auto"/>
                  <w:noWrap/>
                  <w:vAlign w:val="center"/>
                </w:tcPr>
                <w:p w14:paraId="52307677">
                  <w:pPr>
                    <w:pStyle w:val="37"/>
                    <w:rPr>
                      <w:color w:val="0000FF"/>
                    </w:rPr>
                  </w:pPr>
                  <w:r>
                    <w:rPr>
                      <w:color w:val="0000FF"/>
                    </w:rPr>
                    <w:t>NH</w:t>
                  </w:r>
                  <w:r>
                    <w:rPr>
                      <w:color w:val="0000FF"/>
                      <w:vertAlign w:val="subscript"/>
                    </w:rPr>
                    <w:t>3</w:t>
                  </w:r>
                  <w:r>
                    <w:rPr>
                      <w:color w:val="0000FF"/>
                    </w:rPr>
                    <w:t>-N</w:t>
                  </w:r>
                </w:p>
              </w:tc>
              <w:tc>
                <w:tcPr>
                  <w:tcW w:w="470" w:type="pct"/>
                  <w:tcBorders>
                    <w:tl2br w:val="nil"/>
                    <w:tr2bl w:val="nil"/>
                  </w:tcBorders>
                  <w:shd w:val="clear" w:color="auto" w:fill="auto"/>
                  <w:noWrap/>
                  <w:vAlign w:val="center"/>
                </w:tcPr>
                <w:p w14:paraId="283D9490">
                  <w:pPr>
                    <w:pStyle w:val="37"/>
                    <w:rPr>
                      <w:color w:val="0000FF"/>
                    </w:rPr>
                  </w:pPr>
                  <w:r>
                    <w:rPr>
                      <w:rFonts w:hint="eastAsia"/>
                      <w:color w:val="0000FF"/>
                    </w:rPr>
                    <w:t>32.4</w:t>
                  </w:r>
                </w:p>
              </w:tc>
              <w:tc>
                <w:tcPr>
                  <w:tcW w:w="548" w:type="pct"/>
                  <w:tcBorders>
                    <w:tl2br w:val="nil"/>
                    <w:tr2bl w:val="nil"/>
                  </w:tcBorders>
                  <w:shd w:val="clear" w:color="auto" w:fill="auto"/>
                  <w:noWrap/>
                  <w:vAlign w:val="center"/>
                </w:tcPr>
                <w:p w14:paraId="5D793047">
                  <w:pPr>
                    <w:pStyle w:val="37"/>
                    <w:rPr>
                      <w:color w:val="0000FF"/>
                    </w:rPr>
                  </w:pPr>
                  <w:r>
                    <w:rPr>
                      <w:rFonts w:hint="eastAsia"/>
                      <w:color w:val="0000FF"/>
                    </w:rPr>
                    <w:t>0.06</w:t>
                  </w:r>
                </w:p>
              </w:tc>
            </w:tr>
            <w:tr w14:paraId="1EE8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1D3C613B">
                  <w:pPr>
                    <w:pStyle w:val="37"/>
                    <w:rPr>
                      <w:color w:val="0000FF"/>
                    </w:rPr>
                  </w:pPr>
                </w:p>
              </w:tc>
              <w:tc>
                <w:tcPr>
                  <w:tcW w:w="601" w:type="pct"/>
                  <w:tcBorders>
                    <w:tl2br w:val="nil"/>
                    <w:tr2bl w:val="nil"/>
                  </w:tcBorders>
                  <w:shd w:val="clear" w:color="auto" w:fill="auto"/>
                  <w:vAlign w:val="center"/>
                </w:tcPr>
                <w:p w14:paraId="306AD94B">
                  <w:pPr>
                    <w:pStyle w:val="37"/>
                    <w:rPr>
                      <w:color w:val="0000FF"/>
                    </w:rPr>
                  </w:pPr>
                  <w:r>
                    <w:rPr>
                      <w:color w:val="0000FF"/>
                    </w:rPr>
                    <w:t>动植物油</w:t>
                  </w:r>
                </w:p>
              </w:tc>
              <w:tc>
                <w:tcPr>
                  <w:tcW w:w="533" w:type="pct"/>
                  <w:tcBorders>
                    <w:tl2br w:val="nil"/>
                    <w:tr2bl w:val="nil"/>
                  </w:tcBorders>
                  <w:shd w:val="clear" w:color="auto" w:fill="auto"/>
                  <w:noWrap/>
                  <w:vAlign w:val="center"/>
                </w:tcPr>
                <w:p w14:paraId="0E1EE951">
                  <w:pPr>
                    <w:pStyle w:val="37"/>
                    <w:rPr>
                      <w:color w:val="0000FF"/>
                    </w:rPr>
                  </w:pPr>
                  <w:r>
                    <w:rPr>
                      <w:rFonts w:hint="eastAsia"/>
                      <w:color w:val="0000FF"/>
                    </w:rPr>
                    <w:t>184.5</w:t>
                  </w:r>
                </w:p>
              </w:tc>
              <w:tc>
                <w:tcPr>
                  <w:tcW w:w="581" w:type="pct"/>
                  <w:tcBorders>
                    <w:tl2br w:val="nil"/>
                    <w:tr2bl w:val="nil"/>
                  </w:tcBorders>
                  <w:shd w:val="clear" w:color="auto" w:fill="auto"/>
                  <w:noWrap/>
                  <w:vAlign w:val="center"/>
                </w:tcPr>
                <w:p w14:paraId="52E97E73">
                  <w:pPr>
                    <w:pStyle w:val="37"/>
                    <w:rPr>
                      <w:color w:val="0000FF"/>
                    </w:rPr>
                  </w:pPr>
                  <w:r>
                    <w:rPr>
                      <w:rFonts w:hint="eastAsia"/>
                      <w:color w:val="0000FF"/>
                    </w:rPr>
                    <w:t>0.342</w:t>
                  </w:r>
                </w:p>
              </w:tc>
              <w:tc>
                <w:tcPr>
                  <w:tcW w:w="461" w:type="pct"/>
                  <w:vMerge w:val="continue"/>
                  <w:tcBorders>
                    <w:tl2br w:val="nil"/>
                    <w:tr2bl w:val="nil"/>
                  </w:tcBorders>
                  <w:shd w:val="clear" w:color="auto" w:fill="auto"/>
                  <w:noWrap/>
                  <w:vAlign w:val="center"/>
                </w:tcPr>
                <w:p w14:paraId="62A4DA31">
                  <w:pPr>
                    <w:pStyle w:val="37"/>
                    <w:rPr>
                      <w:color w:val="0000FF"/>
                    </w:rPr>
                  </w:pPr>
                </w:p>
              </w:tc>
              <w:tc>
                <w:tcPr>
                  <w:tcW w:w="547" w:type="pct"/>
                  <w:tcBorders>
                    <w:tl2br w:val="nil"/>
                    <w:tr2bl w:val="nil"/>
                  </w:tcBorders>
                  <w:shd w:val="clear" w:color="auto" w:fill="auto"/>
                  <w:noWrap/>
                  <w:vAlign w:val="center"/>
                </w:tcPr>
                <w:p w14:paraId="69537086">
                  <w:pPr>
                    <w:pStyle w:val="37"/>
                    <w:rPr>
                      <w:color w:val="0000FF"/>
                    </w:rPr>
                  </w:pPr>
                  <w:r>
                    <w:rPr>
                      <w:rFonts w:hint="eastAsia"/>
                      <w:color w:val="0000FF"/>
                    </w:rPr>
                    <w:t>80.1</w:t>
                  </w:r>
                </w:p>
              </w:tc>
              <w:tc>
                <w:tcPr>
                  <w:tcW w:w="384" w:type="pct"/>
                  <w:vMerge w:val="continue"/>
                  <w:tcBorders>
                    <w:tl2br w:val="nil"/>
                    <w:tr2bl w:val="nil"/>
                  </w:tcBorders>
                  <w:shd w:val="clear" w:color="auto" w:fill="auto"/>
                  <w:noWrap/>
                  <w:vAlign w:val="center"/>
                </w:tcPr>
                <w:p w14:paraId="4110C602">
                  <w:pPr>
                    <w:pStyle w:val="37"/>
                    <w:rPr>
                      <w:color w:val="0000FF"/>
                    </w:rPr>
                  </w:pPr>
                </w:p>
              </w:tc>
              <w:tc>
                <w:tcPr>
                  <w:tcW w:w="498" w:type="pct"/>
                  <w:tcBorders>
                    <w:tl2br w:val="nil"/>
                    <w:tr2bl w:val="nil"/>
                  </w:tcBorders>
                  <w:shd w:val="clear" w:color="auto" w:fill="auto"/>
                  <w:noWrap/>
                  <w:vAlign w:val="center"/>
                </w:tcPr>
                <w:p w14:paraId="3B8901D6">
                  <w:pPr>
                    <w:pStyle w:val="37"/>
                    <w:rPr>
                      <w:color w:val="0000FF"/>
                    </w:rPr>
                  </w:pPr>
                  <w:r>
                    <w:rPr>
                      <w:color w:val="0000FF"/>
                    </w:rPr>
                    <w:t>动植物油</w:t>
                  </w:r>
                </w:p>
              </w:tc>
              <w:tc>
                <w:tcPr>
                  <w:tcW w:w="470" w:type="pct"/>
                  <w:tcBorders>
                    <w:tl2br w:val="nil"/>
                    <w:tr2bl w:val="nil"/>
                  </w:tcBorders>
                  <w:shd w:val="clear" w:color="auto" w:fill="auto"/>
                  <w:noWrap/>
                  <w:vAlign w:val="center"/>
                </w:tcPr>
                <w:p w14:paraId="121830AF">
                  <w:pPr>
                    <w:pStyle w:val="37"/>
                    <w:rPr>
                      <w:color w:val="0000FF"/>
                    </w:rPr>
                  </w:pPr>
                  <w:r>
                    <w:rPr>
                      <w:rFonts w:hint="eastAsia"/>
                      <w:color w:val="0000FF"/>
                    </w:rPr>
                    <w:t>36.7</w:t>
                  </w:r>
                </w:p>
              </w:tc>
              <w:tc>
                <w:tcPr>
                  <w:tcW w:w="548" w:type="pct"/>
                  <w:tcBorders>
                    <w:tl2br w:val="nil"/>
                    <w:tr2bl w:val="nil"/>
                  </w:tcBorders>
                  <w:shd w:val="clear" w:color="auto" w:fill="auto"/>
                  <w:noWrap/>
                  <w:vAlign w:val="center"/>
                </w:tcPr>
                <w:p w14:paraId="4510570E">
                  <w:pPr>
                    <w:pStyle w:val="37"/>
                    <w:rPr>
                      <w:color w:val="0000FF"/>
                    </w:rPr>
                  </w:pPr>
                  <w:r>
                    <w:rPr>
                      <w:rFonts w:hint="eastAsia"/>
                      <w:color w:val="0000FF"/>
                    </w:rPr>
                    <w:t>0.068</w:t>
                  </w:r>
                </w:p>
              </w:tc>
            </w:tr>
            <w:tr w14:paraId="2F79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5C121DD4">
                  <w:pPr>
                    <w:pStyle w:val="37"/>
                    <w:rPr>
                      <w:color w:val="0000FF"/>
                    </w:rPr>
                  </w:pPr>
                </w:p>
              </w:tc>
              <w:tc>
                <w:tcPr>
                  <w:tcW w:w="601" w:type="pct"/>
                  <w:tcBorders>
                    <w:tl2br w:val="nil"/>
                    <w:tr2bl w:val="nil"/>
                  </w:tcBorders>
                  <w:shd w:val="clear" w:color="auto" w:fill="auto"/>
                  <w:vAlign w:val="center"/>
                </w:tcPr>
                <w:p w14:paraId="3E0F24A2">
                  <w:pPr>
                    <w:pStyle w:val="37"/>
                    <w:rPr>
                      <w:color w:val="0000FF"/>
                    </w:rPr>
                  </w:pPr>
                  <w:r>
                    <w:rPr>
                      <w:color w:val="0000FF"/>
                    </w:rPr>
                    <w:t>TP</w:t>
                  </w:r>
                </w:p>
              </w:tc>
              <w:tc>
                <w:tcPr>
                  <w:tcW w:w="533" w:type="pct"/>
                  <w:tcBorders>
                    <w:tl2br w:val="nil"/>
                    <w:tr2bl w:val="nil"/>
                  </w:tcBorders>
                  <w:shd w:val="clear" w:color="auto" w:fill="auto"/>
                  <w:noWrap/>
                  <w:vAlign w:val="center"/>
                </w:tcPr>
                <w:p w14:paraId="65FD33CA">
                  <w:pPr>
                    <w:pStyle w:val="37"/>
                    <w:rPr>
                      <w:color w:val="0000FF"/>
                    </w:rPr>
                  </w:pPr>
                  <w:r>
                    <w:rPr>
                      <w:rFonts w:hint="eastAsia"/>
                      <w:color w:val="0000FF"/>
                    </w:rPr>
                    <w:t>73.9</w:t>
                  </w:r>
                </w:p>
              </w:tc>
              <w:tc>
                <w:tcPr>
                  <w:tcW w:w="581" w:type="pct"/>
                  <w:tcBorders>
                    <w:tl2br w:val="nil"/>
                    <w:tr2bl w:val="nil"/>
                  </w:tcBorders>
                  <w:shd w:val="clear" w:color="auto" w:fill="auto"/>
                  <w:noWrap/>
                  <w:vAlign w:val="center"/>
                </w:tcPr>
                <w:p w14:paraId="3DB8BD86">
                  <w:pPr>
                    <w:pStyle w:val="37"/>
                    <w:rPr>
                      <w:color w:val="0000FF"/>
                    </w:rPr>
                  </w:pPr>
                  <w:r>
                    <w:rPr>
                      <w:rFonts w:hint="eastAsia"/>
                      <w:color w:val="0000FF"/>
                    </w:rPr>
                    <w:t>0.137</w:t>
                  </w:r>
                </w:p>
              </w:tc>
              <w:tc>
                <w:tcPr>
                  <w:tcW w:w="461" w:type="pct"/>
                  <w:vMerge w:val="continue"/>
                  <w:tcBorders>
                    <w:tl2br w:val="nil"/>
                    <w:tr2bl w:val="nil"/>
                  </w:tcBorders>
                  <w:shd w:val="clear" w:color="auto" w:fill="auto"/>
                  <w:noWrap/>
                  <w:vAlign w:val="center"/>
                </w:tcPr>
                <w:p w14:paraId="734BA228">
                  <w:pPr>
                    <w:pStyle w:val="37"/>
                    <w:rPr>
                      <w:color w:val="0000FF"/>
                    </w:rPr>
                  </w:pPr>
                </w:p>
              </w:tc>
              <w:tc>
                <w:tcPr>
                  <w:tcW w:w="547" w:type="pct"/>
                  <w:tcBorders>
                    <w:tl2br w:val="nil"/>
                    <w:tr2bl w:val="nil"/>
                  </w:tcBorders>
                  <w:shd w:val="clear" w:color="auto" w:fill="auto"/>
                  <w:noWrap/>
                  <w:vAlign w:val="center"/>
                </w:tcPr>
                <w:p w14:paraId="3798C8A0">
                  <w:pPr>
                    <w:pStyle w:val="37"/>
                    <w:rPr>
                      <w:color w:val="0000FF"/>
                    </w:rPr>
                  </w:pPr>
                  <w:r>
                    <w:rPr>
                      <w:rFonts w:hint="eastAsia"/>
                      <w:color w:val="0000FF"/>
                    </w:rPr>
                    <w:t>90.7</w:t>
                  </w:r>
                </w:p>
              </w:tc>
              <w:tc>
                <w:tcPr>
                  <w:tcW w:w="384" w:type="pct"/>
                  <w:vMerge w:val="continue"/>
                  <w:tcBorders>
                    <w:tl2br w:val="nil"/>
                    <w:tr2bl w:val="nil"/>
                  </w:tcBorders>
                  <w:shd w:val="clear" w:color="auto" w:fill="auto"/>
                  <w:noWrap/>
                  <w:vAlign w:val="center"/>
                </w:tcPr>
                <w:p w14:paraId="7B5571C5">
                  <w:pPr>
                    <w:pStyle w:val="37"/>
                    <w:rPr>
                      <w:color w:val="0000FF"/>
                    </w:rPr>
                  </w:pPr>
                </w:p>
              </w:tc>
              <w:tc>
                <w:tcPr>
                  <w:tcW w:w="498" w:type="pct"/>
                  <w:tcBorders>
                    <w:tl2br w:val="nil"/>
                    <w:tr2bl w:val="nil"/>
                  </w:tcBorders>
                  <w:shd w:val="clear" w:color="auto" w:fill="auto"/>
                  <w:noWrap/>
                  <w:vAlign w:val="center"/>
                </w:tcPr>
                <w:p w14:paraId="17FA95FE">
                  <w:pPr>
                    <w:pStyle w:val="37"/>
                    <w:rPr>
                      <w:color w:val="0000FF"/>
                    </w:rPr>
                  </w:pPr>
                  <w:r>
                    <w:rPr>
                      <w:color w:val="0000FF"/>
                    </w:rPr>
                    <w:t>TP</w:t>
                  </w:r>
                </w:p>
              </w:tc>
              <w:tc>
                <w:tcPr>
                  <w:tcW w:w="470" w:type="pct"/>
                  <w:tcBorders>
                    <w:tl2br w:val="nil"/>
                    <w:tr2bl w:val="nil"/>
                  </w:tcBorders>
                  <w:shd w:val="clear" w:color="auto" w:fill="auto"/>
                  <w:noWrap/>
                  <w:vAlign w:val="center"/>
                </w:tcPr>
                <w:p w14:paraId="0358FBD5">
                  <w:pPr>
                    <w:pStyle w:val="37"/>
                    <w:rPr>
                      <w:color w:val="0000FF"/>
                    </w:rPr>
                  </w:pPr>
                  <w:r>
                    <w:rPr>
                      <w:rFonts w:hint="eastAsia"/>
                      <w:color w:val="0000FF"/>
                    </w:rPr>
                    <w:t>6.9</w:t>
                  </w:r>
                </w:p>
              </w:tc>
              <w:tc>
                <w:tcPr>
                  <w:tcW w:w="548" w:type="pct"/>
                  <w:tcBorders>
                    <w:tl2br w:val="nil"/>
                    <w:tr2bl w:val="nil"/>
                  </w:tcBorders>
                  <w:shd w:val="clear" w:color="auto" w:fill="auto"/>
                  <w:noWrap/>
                  <w:vAlign w:val="center"/>
                </w:tcPr>
                <w:p w14:paraId="07C1C398">
                  <w:pPr>
                    <w:pStyle w:val="37"/>
                    <w:rPr>
                      <w:color w:val="0000FF"/>
                    </w:rPr>
                  </w:pPr>
                  <w:r>
                    <w:rPr>
                      <w:rFonts w:hint="eastAsia"/>
                      <w:color w:val="0000FF"/>
                    </w:rPr>
                    <w:t>0.0128</w:t>
                  </w:r>
                </w:p>
              </w:tc>
            </w:tr>
            <w:tr w14:paraId="6517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3" w:type="pct"/>
                  <w:vMerge w:val="continue"/>
                  <w:tcBorders>
                    <w:tl2br w:val="nil"/>
                    <w:tr2bl w:val="nil"/>
                  </w:tcBorders>
                  <w:shd w:val="clear" w:color="auto" w:fill="auto"/>
                  <w:vAlign w:val="center"/>
                </w:tcPr>
                <w:p w14:paraId="5BB031CD">
                  <w:pPr>
                    <w:pStyle w:val="37"/>
                    <w:rPr>
                      <w:color w:val="0000FF"/>
                    </w:rPr>
                  </w:pPr>
                </w:p>
              </w:tc>
              <w:tc>
                <w:tcPr>
                  <w:tcW w:w="601" w:type="pct"/>
                  <w:tcBorders>
                    <w:tl2br w:val="nil"/>
                    <w:tr2bl w:val="nil"/>
                  </w:tcBorders>
                  <w:shd w:val="clear" w:color="auto" w:fill="auto"/>
                  <w:vAlign w:val="center"/>
                </w:tcPr>
                <w:p w14:paraId="11736D1A">
                  <w:pPr>
                    <w:pStyle w:val="37"/>
                    <w:rPr>
                      <w:color w:val="0000FF"/>
                    </w:rPr>
                  </w:pPr>
                  <w:r>
                    <w:rPr>
                      <w:rFonts w:hint="eastAsia"/>
                      <w:color w:val="0000FF"/>
                    </w:rPr>
                    <w:t>LAS</w:t>
                  </w:r>
                </w:p>
              </w:tc>
              <w:tc>
                <w:tcPr>
                  <w:tcW w:w="533" w:type="pct"/>
                  <w:tcBorders>
                    <w:tl2br w:val="nil"/>
                    <w:tr2bl w:val="nil"/>
                  </w:tcBorders>
                  <w:shd w:val="clear" w:color="auto" w:fill="auto"/>
                  <w:noWrap/>
                  <w:vAlign w:val="center"/>
                </w:tcPr>
                <w:p w14:paraId="142D39F1">
                  <w:pPr>
                    <w:pStyle w:val="37"/>
                    <w:rPr>
                      <w:color w:val="0000FF"/>
                    </w:rPr>
                  </w:pPr>
                  <w:r>
                    <w:rPr>
                      <w:rFonts w:hint="eastAsia"/>
                      <w:color w:val="0000FF"/>
                    </w:rPr>
                    <w:t>110.6</w:t>
                  </w:r>
                </w:p>
              </w:tc>
              <w:tc>
                <w:tcPr>
                  <w:tcW w:w="581" w:type="pct"/>
                  <w:tcBorders>
                    <w:tl2br w:val="nil"/>
                    <w:tr2bl w:val="nil"/>
                  </w:tcBorders>
                  <w:shd w:val="clear" w:color="auto" w:fill="auto"/>
                  <w:noWrap/>
                  <w:vAlign w:val="center"/>
                </w:tcPr>
                <w:p w14:paraId="26148E92">
                  <w:pPr>
                    <w:pStyle w:val="37"/>
                    <w:rPr>
                      <w:color w:val="0000FF"/>
                    </w:rPr>
                  </w:pPr>
                  <w:r>
                    <w:rPr>
                      <w:rFonts w:hint="eastAsia"/>
                      <w:color w:val="0000FF"/>
                    </w:rPr>
                    <w:t>0.205</w:t>
                  </w:r>
                </w:p>
              </w:tc>
              <w:tc>
                <w:tcPr>
                  <w:tcW w:w="461" w:type="pct"/>
                  <w:vMerge w:val="continue"/>
                  <w:tcBorders>
                    <w:tl2br w:val="nil"/>
                    <w:tr2bl w:val="nil"/>
                  </w:tcBorders>
                  <w:shd w:val="clear" w:color="auto" w:fill="auto"/>
                  <w:noWrap/>
                  <w:vAlign w:val="center"/>
                </w:tcPr>
                <w:p w14:paraId="7DAE3D78">
                  <w:pPr>
                    <w:pStyle w:val="37"/>
                    <w:rPr>
                      <w:color w:val="0000FF"/>
                    </w:rPr>
                  </w:pPr>
                </w:p>
              </w:tc>
              <w:tc>
                <w:tcPr>
                  <w:tcW w:w="547" w:type="pct"/>
                  <w:tcBorders>
                    <w:tl2br w:val="nil"/>
                    <w:tr2bl w:val="nil"/>
                  </w:tcBorders>
                  <w:shd w:val="clear" w:color="auto" w:fill="auto"/>
                  <w:noWrap/>
                  <w:vAlign w:val="center"/>
                </w:tcPr>
                <w:p w14:paraId="20791AE8">
                  <w:pPr>
                    <w:pStyle w:val="37"/>
                    <w:rPr>
                      <w:color w:val="0000FF"/>
                    </w:rPr>
                  </w:pPr>
                  <w:r>
                    <w:rPr>
                      <w:rFonts w:hint="eastAsia"/>
                      <w:color w:val="0000FF"/>
                    </w:rPr>
                    <w:t>94.1</w:t>
                  </w:r>
                </w:p>
              </w:tc>
              <w:tc>
                <w:tcPr>
                  <w:tcW w:w="384" w:type="pct"/>
                  <w:vMerge w:val="continue"/>
                  <w:tcBorders>
                    <w:tl2br w:val="nil"/>
                    <w:tr2bl w:val="nil"/>
                  </w:tcBorders>
                  <w:shd w:val="clear" w:color="auto" w:fill="auto"/>
                  <w:noWrap/>
                  <w:vAlign w:val="center"/>
                </w:tcPr>
                <w:p w14:paraId="610A08ED">
                  <w:pPr>
                    <w:pStyle w:val="37"/>
                    <w:rPr>
                      <w:color w:val="0000FF"/>
                    </w:rPr>
                  </w:pPr>
                </w:p>
              </w:tc>
              <w:tc>
                <w:tcPr>
                  <w:tcW w:w="498" w:type="pct"/>
                  <w:tcBorders>
                    <w:tl2br w:val="nil"/>
                    <w:tr2bl w:val="nil"/>
                  </w:tcBorders>
                  <w:shd w:val="clear" w:color="auto" w:fill="auto"/>
                  <w:noWrap/>
                  <w:vAlign w:val="center"/>
                </w:tcPr>
                <w:p w14:paraId="59055359">
                  <w:pPr>
                    <w:pStyle w:val="37"/>
                    <w:rPr>
                      <w:color w:val="0000FF"/>
                    </w:rPr>
                  </w:pPr>
                  <w:r>
                    <w:rPr>
                      <w:rFonts w:hint="eastAsia"/>
                      <w:color w:val="0000FF"/>
                    </w:rPr>
                    <w:t>LAS</w:t>
                  </w:r>
                </w:p>
              </w:tc>
              <w:tc>
                <w:tcPr>
                  <w:tcW w:w="470" w:type="pct"/>
                  <w:tcBorders>
                    <w:tl2br w:val="nil"/>
                    <w:tr2bl w:val="nil"/>
                  </w:tcBorders>
                  <w:shd w:val="clear" w:color="auto" w:fill="auto"/>
                  <w:noWrap/>
                  <w:vAlign w:val="center"/>
                </w:tcPr>
                <w:p w14:paraId="3C5B62B6">
                  <w:pPr>
                    <w:pStyle w:val="37"/>
                    <w:rPr>
                      <w:color w:val="0000FF"/>
                    </w:rPr>
                  </w:pPr>
                  <w:r>
                    <w:rPr>
                      <w:rFonts w:hint="eastAsia"/>
                      <w:color w:val="0000FF"/>
                    </w:rPr>
                    <w:t>6.47</w:t>
                  </w:r>
                </w:p>
              </w:tc>
              <w:tc>
                <w:tcPr>
                  <w:tcW w:w="548" w:type="pct"/>
                  <w:tcBorders>
                    <w:tl2br w:val="nil"/>
                    <w:tr2bl w:val="nil"/>
                  </w:tcBorders>
                  <w:shd w:val="clear" w:color="auto" w:fill="auto"/>
                  <w:noWrap/>
                  <w:vAlign w:val="center"/>
                </w:tcPr>
                <w:p w14:paraId="18E6B0BE">
                  <w:pPr>
                    <w:pStyle w:val="37"/>
                    <w:rPr>
                      <w:color w:val="0000FF"/>
                    </w:rPr>
                  </w:pPr>
                  <w:r>
                    <w:rPr>
                      <w:rFonts w:hint="eastAsia"/>
                      <w:color w:val="0000FF"/>
                    </w:rPr>
                    <w:t>0.012</w:t>
                  </w:r>
                </w:p>
              </w:tc>
            </w:tr>
          </w:tbl>
          <w:p w14:paraId="453C8EB0">
            <w:pPr>
              <w:pStyle w:val="6"/>
              <w:ind w:firstLine="0" w:firstLineChars="0"/>
              <w:rPr>
                <w:highlight w:val="yellow"/>
              </w:rPr>
            </w:pPr>
            <w:r>
              <w:rPr>
                <w:rFonts w:hint="eastAsia"/>
              </w:rPr>
              <w:t>（2）废水污染物、污染治理设施情况</w:t>
            </w:r>
          </w:p>
          <w:p w14:paraId="3F3ABC72">
            <w:pPr>
              <w:pStyle w:val="32"/>
              <w:rPr>
                <w:rFonts w:hint="default"/>
              </w:rPr>
            </w:pPr>
            <w:r>
              <w:t>表4-6  废水类别、污染物及污染治理设施信息表</w:t>
            </w:r>
          </w:p>
          <w:tbl>
            <w:tblPr>
              <w:tblStyle w:val="22"/>
              <w:tblW w:w="793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17"/>
              <w:gridCol w:w="630"/>
              <w:gridCol w:w="1070"/>
              <w:gridCol w:w="695"/>
              <w:gridCol w:w="483"/>
              <w:gridCol w:w="665"/>
              <w:gridCol w:w="678"/>
              <w:gridCol w:w="1382"/>
              <w:gridCol w:w="597"/>
              <w:gridCol w:w="913"/>
              <w:gridCol w:w="406"/>
            </w:tblGrid>
            <w:tr w14:paraId="3C64B4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263" w:type="pct"/>
                  <w:vMerge w:val="restart"/>
                  <w:tcBorders>
                    <w:bottom w:val="single" w:color="000000" w:sz="4" w:space="0"/>
                    <w:right w:val="single" w:color="000000" w:sz="4" w:space="0"/>
                  </w:tcBorders>
                  <w:noWrap/>
                  <w:vAlign w:val="center"/>
                </w:tcPr>
                <w:p w14:paraId="4B5C3855">
                  <w:pPr>
                    <w:pStyle w:val="29"/>
                  </w:pPr>
                  <w:r>
                    <w:t>序号</w:t>
                  </w:r>
                </w:p>
              </w:tc>
              <w:tc>
                <w:tcPr>
                  <w:tcW w:w="397" w:type="pct"/>
                  <w:vMerge w:val="restart"/>
                  <w:tcBorders>
                    <w:left w:val="single" w:color="000000" w:sz="4" w:space="0"/>
                    <w:bottom w:val="single" w:color="000000" w:sz="4" w:space="0"/>
                    <w:right w:val="single" w:color="000000" w:sz="4" w:space="0"/>
                  </w:tcBorders>
                  <w:noWrap/>
                  <w:vAlign w:val="center"/>
                </w:tcPr>
                <w:p w14:paraId="2BE9E355">
                  <w:pPr>
                    <w:pStyle w:val="29"/>
                  </w:pPr>
                  <w:r>
                    <w:t>废水类型</w:t>
                  </w:r>
                </w:p>
              </w:tc>
              <w:tc>
                <w:tcPr>
                  <w:tcW w:w="673" w:type="pct"/>
                  <w:vMerge w:val="restart"/>
                  <w:tcBorders>
                    <w:left w:val="single" w:color="000000" w:sz="4" w:space="0"/>
                    <w:bottom w:val="single" w:color="000000" w:sz="4" w:space="0"/>
                    <w:right w:val="single" w:color="000000" w:sz="4" w:space="0"/>
                  </w:tcBorders>
                  <w:noWrap/>
                  <w:vAlign w:val="center"/>
                </w:tcPr>
                <w:p w14:paraId="46C2EE2C">
                  <w:pPr>
                    <w:pStyle w:val="29"/>
                  </w:pPr>
                  <w:r>
                    <w:t>污染物种类</w:t>
                  </w:r>
                </w:p>
              </w:tc>
              <w:tc>
                <w:tcPr>
                  <w:tcW w:w="437" w:type="pct"/>
                  <w:vMerge w:val="restart"/>
                  <w:tcBorders>
                    <w:left w:val="single" w:color="000000" w:sz="4" w:space="0"/>
                    <w:bottom w:val="single" w:color="000000" w:sz="4" w:space="0"/>
                    <w:right w:val="single" w:color="000000" w:sz="4" w:space="0"/>
                  </w:tcBorders>
                  <w:vAlign w:val="center"/>
                </w:tcPr>
                <w:p w14:paraId="3F37F3F6">
                  <w:pPr>
                    <w:pStyle w:val="29"/>
                  </w:pPr>
                  <w:r>
                    <w:t>排放去向</w:t>
                  </w:r>
                </w:p>
              </w:tc>
              <w:tc>
                <w:tcPr>
                  <w:tcW w:w="304" w:type="pct"/>
                  <w:vMerge w:val="restart"/>
                  <w:tcBorders>
                    <w:left w:val="single" w:color="000000" w:sz="4" w:space="0"/>
                    <w:bottom w:val="single" w:color="000000" w:sz="4" w:space="0"/>
                    <w:right w:val="single" w:color="000000" w:sz="4" w:space="0"/>
                  </w:tcBorders>
                  <w:noWrap/>
                  <w:vAlign w:val="center"/>
                </w:tcPr>
                <w:p w14:paraId="6097065F">
                  <w:pPr>
                    <w:pStyle w:val="29"/>
                  </w:pPr>
                  <w:r>
                    <w:t>排放规律</w:t>
                  </w:r>
                </w:p>
              </w:tc>
              <w:tc>
                <w:tcPr>
                  <w:tcW w:w="1714" w:type="pct"/>
                  <w:gridSpan w:val="3"/>
                  <w:tcBorders>
                    <w:left w:val="single" w:color="000000" w:sz="4" w:space="0"/>
                    <w:bottom w:val="single" w:color="000000" w:sz="4" w:space="0"/>
                    <w:right w:val="single" w:color="000000" w:sz="4" w:space="0"/>
                  </w:tcBorders>
                  <w:noWrap/>
                  <w:vAlign w:val="center"/>
                </w:tcPr>
                <w:p w14:paraId="1CDC5AD5">
                  <w:pPr>
                    <w:pStyle w:val="29"/>
                  </w:pPr>
                  <w:r>
                    <w:t>污染物治理设施</w:t>
                  </w:r>
                </w:p>
              </w:tc>
              <w:tc>
                <w:tcPr>
                  <w:tcW w:w="376" w:type="pct"/>
                  <w:vMerge w:val="restart"/>
                  <w:tcBorders>
                    <w:left w:val="single" w:color="000000" w:sz="4" w:space="0"/>
                    <w:right w:val="single" w:color="000000" w:sz="4" w:space="0"/>
                  </w:tcBorders>
                  <w:noWrap/>
                  <w:vAlign w:val="center"/>
                </w:tcPr>
                <w:p w14:paraId="4C955B92">
                  <w:pPr>
                    <w:pStyle w:val="29"/>
                  </w:pPr>
                  <w:r>
                    <w:t>排放口编号</w:t>
                  </w:r>
                </w:p>
              </w:tc>
              <w:tc>
                <w:tcPr>
                  <w:tcW w:w="574" w:type="pct"/>
                  <w:vMerge w:val="restart"/>
                  <w:tcBorders>
                    <w:left w:val="single" w:color="000000" w:sz="4" w:space="0"/>
                    <w:right w:val="single" w:color="000000" w:sz="4" w:space="0"/>
                  </w:tcBorders>
                  <w:vAlign w:val="center"/>
                </w:tcPr>
                <w:p w14:paraId="18E6C0BD">
                  <w:pPr>
                    <w:pStyle w:val="29"/>
                  </w:pPr>
                  <w:r>
                    <w:t>排放口设施是否符合要求</w:t>
                  </w:r>
                </w:p>
              </w:tc>
              <w:tc>
                <w:tcPr>
                  <w:tcW w:w="256" w:type="pct"/>
                  <w:vMerge w:val="restart"/>
                  <w:tcBorders>
                    <w:left w:val="single" w:color="000000" w:sz="4" w:space="0"/>
                  </w:tcBorders>
                  <w:vAlign w:val="center"/>
                </w:tcPr>
                <w:p w14:paraId="677CDE30">
                  <w:pPr>
                    <w:pStyle w:val="29"/>
                  </w:pPr>
                  <w:r>
                    <w:t>排放口类型</w:t>
                  </w:r>
                </w:p>
              </w:tc>
            </w:tr>
            <w:tr w14:paraId="631AEB4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263" w:type="pct"/>
                  <w:vMerge w:val="continue"/>
                  <w:tcBorders>
                    <w:top w:val="single" w:color="000000" w:sz="4" w:space="0"/>
                    <w:bottom w:val="single" w:color="000000" w:sz="4" w:space="0"/>
                    <w:right w:val="single" w:color="000000" w:sz="4" w:space="0"/>
                  </w:tcBorders>
                  <w:noWrap/>
                  <w:vAlign w:val="center"/>
                </w:tcPr>
                <w:p w14:paraId="7E7BBC41">
                  <w:pPr>
                    <w:pStyle w:val="29"/>
                  </w:pPr>
                </w:p>
              </w:tc>
              <w:tc>
                <w:tcPr>
                  <w:tcW w:w="397" w:type="pct"/>
                  <w:vMerge w:val="continue"/>
                  <w:tcBorders>
                    <w:top w:val="single" w:color="000000" w:sz="4" w:space="0"/>
                    <w:left w:val="single" w:color="000000" w:sz="4" w:space="0"/>
                    <w:bottom w:val="single" w:color="000000" w:sz="4" w:space="0"/>
                    <w:right w:val="single" w:color="000000" w:sz="4" w:space="0"/>
                  </w:tcBorders>
                  <w:noWrap/>
                  <w:vAlign w:val="center"/>
                </w:tcPr>
                <w:p w14:paraId="6BF2035F">
                  <w:pPr>
                    <w:pStyle w:val="29"/>
                  </w:pPr>
                </w:p>
              </w:tc>
              <w:tc>
                <w:tcPr>
                  <w:tcW w:w="673" w:type="pct"/>
                  <w:vMerge w:val="continue"/>
                  <w:tcBorders>
                    <w:top w:val="single" w:color="000000" w:sz="4" w:space="0"/>
                    <w:left w:val="single" w:color="000000" w:sz="4" w:space="0"/>
                    <w:bottom w:val="single" w:color="000000" w:sz="4" w:space="0"/>
                    <w:right w:val="single" w:color="000000" w:sz="4" w:space="0"/>
                  </w:tcBorders>
                  <w:noWrap/>
                  <w:vAlign w:val="center"/>
                </w:tcPr>
                <w:p w14:paraId="3E7833CC">
                  <w:pPr>
                    <w:pStyle w:val="29"/>
                  </w:pPr>
                </w:p>
              </w:tc>
              <w:tc>
                <w:tcPr>
                  <w:tcW w:w="437" w:type="pct"/>
                  <w:vMerge w:val="continue"/>
                  <w:tcBorders>
                    <w:top w:val="single" w:color="000000" w:sz="4" w:space="0"/>
                    <w:left w:val="single" w:color="000000" w:sz="4" w:space="0"/>
                    <w:bottom w:val="single" w:color="000000" w:sz="4" w:space="0"/>
                    <w:right w:val="single" w:color="000000" w:sz="4" w:space="0"/>
                  </w:tcBorders>
                  <w:vAlign w:val="center"/>
                </w:tcPr>
                <w:p w14:paraId="2467DC52">
                  <w:pPr>
                    <w:pStyle w:val="29"/>
                  </w:pPr>
                </w:p>
              </w:tc>
              <w:tc>
                <w:tcPr>
                  <w:tcW w:w="304" w:type="pct"/>
                  <w:vMerge w:val="continue"/>
                  <w:tcBorders>
                    <w:top w:val="single" w:color="000000" w:sz="4" w:space="0"/>
                    <w:left w:val="single" w:color="000000" w:sz="4" w:space="0"/>
                    <w:bottom w:val="single" w:color="000000" w:sz="4" w:space="0"/>
                    <w:right w:val="single" w:color="000000" w:sz="4" w:space="0"/>
                  </w:tcBorders>
                  <w:noWrap/>
                  <w:vAlign w:val="center"/>
                </w:tcPr>
                <w:p w14:paraId="3F7C0D02">
                  <w:pPr>
                    <w:pStyle w:val="29"/>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50BC9B1">
                  <w:pPr>
                    <w:pStyle w:val="29"/>
                  </w:pPr>
                  <w:r>
                    <w:t>编号</w:t>
                  </w:r>
                </w:p>
              </w:tc>
              <w:tc>
                <w:tcPr>
                  <w:tcW w:w="426" w:type="pct"/>
                  <w:tcBorders>
                    <w:top w:val="single" w:color="000000" w:sz="4" w:space="0"/>
                    <w:left w:val="single" w:color="000000" w:sz="4" w:space="0"/>
                    <w:bottom w:val="single" w:color="auto" w:sz="4" w:space="0"/>
                    <w:right w:val="single" w:color="000000" w:sz="4" w:space="0"/>
                  </w:tcBorders>
                  <w:noWrap/>
                  <w:vAlign w:val="center"/>
                </w:tcPr>
                <w:p w14:paraId="0045351D">
                  <w:pPr>
                    <w:pStyle w:val="29"/>
                  </w:pPr>
                  <w:r>
                    <w:t>名称</w:t>
                  </w:r>
                </w:p>
              </w:tc>
              <w:tc>
                <w:tcPr>
                  <w:tcW w:w="870" w:type="pct"/>
                  <w:tcBorders>
                    <w:top w:val="single" w:color="000000" w:sz="4" w:space="0"/>
                    <w:left w:val="single" w:color="000000" w:sz="4" w:space="0"/>
                    <w:bottom w:val="single" w:color="auto" w:sz="4" w:space="0"/>
                    <w:right w:val="single" w:color="000000" w:sz="4" w:space="0"/>
                  </w:tcBorders>
                  <w:noWrap/>
                  <w:vAlign w:val="center"/>
                </w:tcPr>
                <w:p w14:paraId="7A135AA5">
                  <w:pPr>
                    <w:pStyle w:val="29"/>
                  </w:pPr>
                  <w:r>
                    <w:t>工艺</w:t>
                  </w:r>
                </w:p>
              </w:tc>
              <w:tc>
                <w:tcPr>
                  <w:tcW w:w="376" w:type="pct"/>
                  <w:vMerge w:val="continue"/>
                  <w:tcBorders>
                    <w:left w:val="single" w:color="000000" w:sz="4" w:space="0"/>
                    <w:right w:val="single" w:color="000000" w:sz="4" w:space="0"/>
                  </w:tcBorders>
                  <w:noWrap/>
                  <w:vAlign w:val="center"/>
                </w:tcPr>
                <w:p w14:paraId="5389663A">
                  <w:pPr>
                    <w:pStyle w:val="29"/>
                  </w:pPr>
                </w:p>
              </w:tc>
              <w:tc>
                <w:tcPr>
                  <w:tcW w:w="574" w:type="pct"/>
                  <w:vMerge w:val="continue"/>
                  <w:tcBorders>
                    <w:left w:val="single" w:color="000000" w:sz="4" w:space="0"/>
                    <w:right w:val="single" w:color="000000" w:sz="4" w:space="0"/>
                  </w:tcBorders>
                  <w:vAlign w:val="center"/>
                </w:tcPr>
                <w:p w14:paraId="592391B7">
                  <w:pPr>
                    <w:pStyle w:val="29"/>
                  </w:pPr>
                </w:p>
              </w:tc>
              <w:tc>
                <w:tcPr>
                  <w:tcW w:w="256" w:type="pct"/>
                  <w:vMerge w:val="continue"/>
                  <w:tcBorders>
                    <w:left w:val="single" w:color="000000" w:sz="4" w:space="0"/>
                  </w:tcBorders>
                  <w:vAlign w:val="center"/>
                </w:tcPr>
                <w:p w14:paraId="449A00BB">
                  <w:pPr>
                    <w:pStyle w:val="29"/>
                  </w:pPr>
                </w:p>
              </w:tc>
            </w:tr>
            <w:tr w14:paraId="5BFFCE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263" w:type="pct"/>
                  <w:tcBorders>
                    <w:top w:val="single" w:color="000000" w:sz="4" w:space="0"/>
                    <w:right w:val="single" w:color="000000" w:sz="4" w:space="0"/>
                  </w:tcBorders>
                  <w:noWrap/>
                  <w:vAlign w:val="center"/>
                </w:tcPr>
                <w:p w14:paraId="1AC22CB0">
                  <w:pPr>
                    <w:pStyle w:val="29"/>
                  </w:pPr>
                  <w:r>
                    <w:t>1</w:t>
                  </w:r>
                </w:p>
              </w:tc>
              <w:tc>
                <w:tcPr>
                  <w:tcW w:w="397" w:type="pct"/>
                  <w:tcBorders>
                    <w:top w:val="single" w:color="000000" w:sz="4" w:space="0"/>
                    <w:left w:val="single" w:color="000000" w:sz="4" w:space="0"/>
                    <w:right w:val="single" w:color="000000" w:sz="4" w:space="0"/>
                  </w:tcBorders>
                  <w:noWrap/>
                  <w:vAlign w:val="center"/>
                </w:tcPr>
                <w:p w14:paraId="26392080">
                  <w:pPr>
                    <w:pStyle w:val="29"/>
                    <w:rPr>
                      <w:color w:val="0000FF"/>
                    </w:rPr>
                  </w:pPr>
                  <w:r>
                    <w:rPr>
                      <w:color w:val="0000FF"/>
                    </w:rPr>
                    <w:t>生产废水</w:t>
                  </w:r>
                </w:p>
              </w:tc>
              <w:tc>
                <w:tcPr>
                  <w:tcW w:w="673" w:type="pct"/>
                  <w:tcBorders>
                    <w:top w:val="single" w:color="000000" w:sz="4" w:space="0"/>
                    <w:left w:val="single" w:color="000000" w:sz="4" w:space="0"/>
                    <w:right w:val="single" w:color="000000" w:sz="4" w:space="0"/>
                  </w:tcBorders>
                  <w:vAlign w:val="center"/>
                </w:tcPr>
                <w:p w14:paraId="78A089B1">
                  <w:pPr>
                    <w:pStyle w:val="29"/>
                    <w:rPr>
                      <w:color w:val="0000FF"/>
                    </w:rPr>
                  </w:pPr>
                  <w:r>
                    <w:rPr>
                      <w:color w:val="0000FF"/>
                    </w:rPr>
                    <w:t>pH、COD、BOD</w:t>
                  </w:r>
                  <w:r>
                    <w:rPr>
                      <w:rFonts w:hint="eastAsia"/>
                      <w:color w:val="0000FF"/>
                      <w:vertAlign w:val="subscript"/>
                    </w:rPr>
                    <w:t>5</w:t>
                  </w:r>
                  <w:r>
                    <w:rPr>
                      <w:color w:val="0000FF"/>
                    </w:rPr>
                    <w:t>、SS、NH</w:t>
                  </w:r>
                  <w:r>
                    <w:rPr>
                      <w:color w:val="0000FF"/>
                      <w:vertAlign w:val="subscript"/>
                    </w:rPr>
                    <w:t>3</w:t>
                  </w:r>
                  <w:r>
                    <w:rPr>
                      <w:color w:val="0000FF"/>
                    </w:rPr>
                    <w:t>-N、动植物油、TP</w:t>
                  </w:r>
                  <w:r>
                    <w:rPr>
                      <w:rFonts w:hint="eastAsia"/>
                      <w:color w:val="0000FF"/>
                    </w:rPr>
                    <w:t>、LAS</w:t>
                  </w:r>
                </w:p>
              </w:tc>
              <w:tc>
                <w:tcPr>
                  <w:tcW w:w="437" w:type="pct"/>
                  <w:vMerge w:val="restart"/>
                  <w:tcBorders>
                    <w:top w:val="single" w:color="000000" w:sz="4" w:space="0"/>
                    <w:left w:val="single" w:color="000000" w:sz="4" w:space="0"/>
                    <w:right w:val="single" w:color="000000" w:sz="4" w:space="0"/>
                  </w:tcBorders>
                  <w:vAlign w:val="center"/>
                </w:tcPr>
                <w:p w14:paraId="41CF382C">
                  <w:pPr>
                    <w:pStyle w:val="29"/>
                    <w:rPr>
                      <w:color w:val="0000FF"/>
                    </w:rPr>
                  </w:pPr>
                  <w:r>
                    <w:rPr>
                      <w:color w:val="0000FF"/>
                    </w:rPr>
                    <w:t>安徽淮相科技发展有限公司第二污水处理厂</w:t>
                  </w:r>
                </w:p>
              </w:tc>
              <w:tc>
                <w:tcPr>
                  <w:tcW w:w="304" w:type="pct"/>
                  <w:tcBorders>
                    <w:top w:val="single" w:color="000000" w:sz="4" w:space="0"/>
                    <w:left w:val="single" w:color="000000" w:sz="4" w:space="0"/>
                    <w:right w:val="single" w:color="000000" w:sz="4" w:space="0"/>
                  </w:tcBorders>
                  <w:noWrap/>
                  <w:vAlign w:val="center"/>
                </w:tcPr>
                <w:p w14:paraId="45AAC6FA">
                  <w:pPr>
                    <w:pStyle w:val="29"/>
                    <w:rPr>
                      <w:color w:val="0000FF"/>
                    </w:rPr>
                  </w:pPr>
                  <w:r>
                    <w:rPr>
                      <w:color w:val="0000FF"/>
                    </w:rPr>
                    <w:t>间歇排放</w:t>
                  </w:r>
                </w:p>
              </w:tc>
              <w:tc>
                <w:tcPr>
                  <w:tcW w:w="418" w:type="pct"/>
                  <w:tcBorders>
                    <w:top w:val="single" w:color="000000" w:sz="4" w:space="0"/>
                    <w:left w:val="single" w:color="000000" w:sz="4" w:space="0"/>
                    <w:right w:val="single" w:color="auto" w:sz="4" w:space="0"/>
                  </w:tcBorders>
                  <w:noWrap/>
                  <w:vAlign w:val="center"/>
                </w:tcPr>
                <w:p w14:paraId="43A03A3D">
                  <w:pPr>
                    <w:pStyle w:val="29"/>
                    <w:rPr>
                      <w:color w:val="0000FF"/>
                    </w:rPr>
                  </w:pPr>
                  <w:r>
                    <w:rPr>
                      <w:color w:val="0000FF"/>
                    </w:rPr>
                    <w:t>TW001</w:t>
                  </w:r>
                </w:p>
              </w:tc>
              <w:tc>
                <w:tcPr>
                  <w:tcW w:w="426" w:type="pct"/>
                  <w:tcBorders>
                    <w:top w:val="single" w:color="auto" w:sz="4" w:space="0"/>
                    <w:left w:val="single" w:color="auto" w:sz="4" w:space="0"/>
                    <w:right w:val="single" w:color="auto" w:sz="4" w:space="0"/>
                  </w:tcBorders>
                  <w:vAlign w:val="center"/>
                </w:tcPr>
                <w:p w14:paraId="74E712B2">
                  <w:pPr>
                    <w:pStyle w:val="29"/>
                    <w:rPr>
                      <w:color w:val="0000FF"/>
                    </w:rPr>
                  </w:pPr>
                  <w:r>
                    <w:rPr>
                      <w:color w:val="0000FF"/>
                    </w:rPr>
                    <w:t>污水处理站</w:t>
                  </w:r>
                </w:p>
              </w:tc>
              <w:tc>
                <w:tcPr>
                  <w:tcW w:w="870" w:type="pct"/>
                  <w:tcBorders>
                    <w:top w:val="single" w:color="auto" w:sz="4" w:space="0"/>
                    <w:left w:val="single" w:color="auto" w:sz="4" w:space="0"/>
                    <w:right w:val="single" w:color="auto" w:sz="4" w:space="0"/>
                  </w:tcBorders>
                  <w:noWrap/>
                  <w:vAlign w:val="center"/>
                </w:tcPr>
                <w:p w14:paraId="5FC51D04">
                  <w:pPr>
                    <w:pStyle w:val="29"/>
                    <w:rPr>
                      <w:color w:val="0000FF"/>
                    </w:rPr>
                  </w:pPr>
                  <w:r>
                    <w:rPr>
                      <w:rFonts w:hint="eastAsia"/>
                      <w:color w:val="0000FF"/>
                    </w:rPr>
                    <w:t>格栅+调节+气浮+初沉+隔油+SBR+厌氧+A/O+沉淀+紫外消毒+出水</w:t>
                  </w:r>
                </w:p>
              </w:tc>
              <w:tc>
                <w:tcPr>
                  <w:tcW w:w="376" w:type="pct"/>
                  <w:vMerge w:val="restart"/>
                  <w:tcBorders>
                    <w:top w:val="single" w:color="000000" w:sz="4" w:space="0"/>
                    <w:left w:val="single" w:color="auto" w:sz="4" w:space="0"/>
                    <w:right w:val="single" w:color="000000" w:sz="4" w:space="0"/>
                  </w:tcBorders>
                  <w:noWrap/>
                  <w:vAlign w:val="center"/>
                </w:tcPr>
                <w:p w14:paraId="27F70117">
                  <w:pPr>
                    <w:pStyle w:val="29"/>
                    <w:rPr>
                      <w:color w:val="0000FF"/>
                    </w:rPr>
                  </w:pPr>
                  <w:r>
                    <w:rPr>
                      <w:color w:val="0000FF"/>
                    </w:rPr>
                    <w:t>DW001</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49F192A4">
                  <w:pPr>
                    <w:pStyle w:val="29"/>
                    <w:rPr>
                      <w:color w:val="0000FF"/>
                    </w:rPr>
                  </w:pPr>
                  <w:r>
                    <w:rPr>
                      <w:rFonts w:hint="eastAsia"/>
                      <w:color w:val="0000FF"/>
                    </w:rPr>
                    <w:t>是</w:t>
                  </w:r>
                </w:p>
              </w:tc>
              <w:tc>
                <w:tcPr>
                  <w:tcW w:w="256" w:type="pct"/>
                  <w:vMerge w:val="restart"/>
                  <w:tcBorders>
                    <w:top w:val="single" w:color="000000" w:sz="4" w:space="0"/>
                    <w:left w:val="single" w:color="000000" w:sz="4" w:space="0"/>
                  </w:tcBorders>
                  <w:vAlign w:val="center"/>
                </w:tcPr>
                <w:p w14:paraId="53937BC3">
                  <w:pPr>
                    <w:pStyle w:val="29"/>
                  </w:pPr>
                  <w:r>
                    <w:t>企业总排口</w:t>
                  </w:r>
                </w:p>
              </w:tc>
            </w:tr>
            <w:tr w14:paraId="662293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263" w:type="pct"/>
                  <w:tcBorders>
                    <w:top w:val="single" w:color="000000" w:sz="4" w:space="0"/>
                    <w:right w:val="single" w:color="000000" w:sz="4" w:space="0"/>
                  </w:tcBorders>
                  <w:noWrap/>
                  <w:vAlign w:val="center"/>
                </w:tcPr>
                <w:p w14:paraId="7F904C8A">
                  <w:pPr>
                    <w:pStyle w:val="29"/>
                  </w:pPr>
                  <w:r>
                    <w:t>2</w:t>
                  </w:r>
                </w:p>
              </w:tc>
              <w:tc>
                <w:tcPr>
                  <w:tcW w:w="397" w:type="pct"/>
                  <w:tcBorders>
                    <w:top w:val="single" w:color="000000" w:sz="4" w:space="0"/>
                    <w:left w:val="single" w:color="000000" w:sz="4" w:space="0"/>
                    <w:right w:val="single" w:color="000000" w:sz="4" w:space="0"/>
                  </w:tcBorders>
                  <w:noWrap/>
                  <w:vAlign w:val="center"/>
                </w:tcPr>
                <w:p w14:paraId="5DD55473">
                  <w:pPr>
                    <w:pStyle w:val="29"/>
                  </w:pPr>
                  <w:r>
                    <w:t>生活污水</w:t>
                  </w:r>
                </w:p>
              </w:tc>
              <w:tc>
                <w:tcPr>
                  <w:tcW w:w="673" w:type="pct"/>
                  <w:tcBorders>
                    <w:top w:val="single" w:color="000000" w:sz="4" w:space="0"/>
                    <w:left w:val="single" w:color="000000" w:sz="4" w:space="0"/>
                    <w:right w:val="single" w:color="000000" w:sz="4" w:space="0"/>
                  </w:tcBorders>
                  <w:vAlign w:val="center"/>
                </w:tcPr>
                <w:p w14:paraId="5C15A59A">
                  <w:pPr>
                    <w:pStyle w:val="29"/>
                  </w:pPr>
                  <w:r>
                    <w:t>pH、COD、BOD</w:t>
                  </w:r>
                  <w:r>
                    <w:rPr>
                      <w:rFonts w:hint="eastAsia"/>
                      <w:vertAlign w:val="subscript"/>
                    </w:rPr>
                    <w:t>5</w:t>
                  </w:r>
                  <w:r>
                    <w:t>、SS、NH</w:t>
                  </w:r>
                  <w:r>
                    <w:rPr>
                      <w:vertAlign w:val="subscript"/>
                    </w:rPr>
                    <w:t>3</w:t>
                  </w:r>
                  <w:r>
                    <w:t>-N</w:t>
                  </w:r>
                </w:p>
              </w:tc>
              <w:tc>
                <w:tcPr>
                  <w:tcW w:w="437" w:type="pct"/>
                  <w:vMerge w:val="continue"/>
                  <w:tcBorders>
                    <w:left w:val="single" w:color="000000" w:sz="4" w:space="0"/>
                    <w:right w:val="single" w:color="000000" w:sz="4" w:space="0"/>
                  </w:tcBorders>
                  <w:vAlign w:val="center"/>
                </w:tcPr>
                <w:p w14:paraId="457EFF61">
                  <w:pPr>
                    <w:pStyle w:val="29"/>
                  </w:pPr>
                </w:p>
              </w:tc>
              <w:tc>
                <w:tcPr>
                  <w:tcW w:w="304" w:type="pct"/>
                  <w:tcBorders>
                    <w:top w:val="single" w:color="000000" w:sz="4" w:space="0"/>
                    <w:left w:val="single" w:color="000000" w:sz="4" w:space="0"/>
                    <w:right w:val="single" w:color="000000" w:sz="4" w:space="0"/>
                  </w:tcBorders>
                  <w:noWrap/>
                  <w:vAlign w:val="center"/>
                </w:tcPr>
                <w:p w14:paraId="3417FE70">
                  <w:pPr>
                    <w:pStyle w:val="29"/>
                  </w:pPr>
                  <w:r>
                    <w:t>间歇排放</w:t>
                  </w:r>
                </w:p>
              </w:tc>
              <w:tc>
                <w:tcPr>
                  <w:tcW w:w="418" w:type="pct"/>
                  <w:tcBorders>
                    <w:top w:val="single" w:color="000000" w:sz="4" w:space="0"/>
                    <w:left w:val="single" w:color="000000" w:sz="4" w:space="0"/>
                    <w:right w:val="single" w:color="000000" w:sz="4" w:space="0"/>
                  </w:tcBorders>
                  <w:noWrap/>
                  <w:vAlign w:val="center"/>
                </w:tcPr>
                <w:p w14:paraId="1788CC22">
                  <w:pPr>
                    <w:pStyle w:val="29"/>
                  </w:pPr>
                  <w:r>
                    <w:t>TW002</w:t>
                  </w:r>
                </w:p>
              </w:tc>
              <w:tc>
                <w:tcPr>
                  <w:tcW w:w="426" w:type="pct"/>
                  <w:tcBorders>
                    <w:top w:val="single" w:color="auto" w:sz="4" w:space="0"/>
                    <w:left w:val="single" w:color="000000" w:sz="4" w:space="0"/>
                    <w:right w:val="single" w:color="000000" w:sz="4" w:space="0"/>
                  </w:tcBorders>
                  <w:noWrap/>
                  <w:vAlign w:val="center"/>
                </w:tcPr>
                <w:p w14:paraId="760BE5BA">
                  <w:pPr>
                    <w:pStyle w:val="29"/>
                  </w:pPr>
                  <w:r>
                    <w:t>化粪池</w:t>
                  </w:r>
                </w:p>
              </w:tc>
              <w:tc>
                <w:tcPr>
                  <w:tcW w:w="870" w:type="pct"/>
                  <w:tcBorders>
                    <w:top w:val="single" w:color="auto" w:sz="4" w:space="0"/>
                    <w:left w:val="single" w:color="000000" w:sz="4" w:space="0"/>
                    <w:right w:val="single" w:color="000000" w:sz="4" w:space="0"/>
                  </w:tcBorders>
                  <w:noWrap/>
                  <w:vAlign w:val="center"/>
                </w:tcPr>
                <w:p w14:paraId="4179054F">
                  <w:pPr>
                    <w:pStyle w:val="29"/>
                  </w:pPr>
                  <w:r>
                    <w:rPr>
                      <w:rFonts w:hint="eastAsia"/>
                    </w:rPr>
                    <w:t>厌氧</w:t>
                  </w:r>
                </w:p>
              </w:tc>
              <w:tc>
                <w:tcPr>
                  <w:tcW w:w="376" w:type="pct"/>
                  <w:vMerge w:val="continue"/>
                  <w:tcBorders>
                    <w:left w:val="single" w:color="000000" w:sz="4" w:space="0"/>
                    <w:right w:val="single" w:color="000000" w:sz="4" w:space="0"/>
                  </w:tcBorders>
                  <w:noWrap/>
                  <w:vAlign w:val="center"/>
                </w:tcPr>
                <w:p w14:paraId="5ACD8189">
                  <w:pPr>
                    <w:pStyle w:val="29"/>
                  </w:pPr>
                </w:p>
              </w:tc>
              <w:tc>
                <w:tcPr>
                  <w:tcW w:w="574" w:type="pct"/>
                  <w:tcBorders>
                    <w:top w:val="single" w:color="000000" w:sz="4" w:space="0"/>
                    <w:left w:val="single" w:color="000000" w:sz="4" w:space="0"/>
                    <w:right w:val="single" w:color="000000" w:sz="4" w:space="0"/>
                  </w:tcBorders>
                  <w:noWrap/>
                  <w:vAlign w:val="center"/>
                </w:tcPr>
                <w:p w14:paraId="18EF5CCF">
                  <w:pPr>
                    <w:pStyle w:val="29"/>
                  </w:pPr>
                  <w:r>
                    <w:t>是</w:t>
                  </w:r>
                </w:p>
              </w:tc>
              <w:tc>
                <w:tcPr>
                  <w:tcW w:w="256" w:type="pct"/>
                  <w:vMerge w:val="continue"/>
                  <w:tcBorders>
                    <w:left w:val="single" w:color="000000" w:sz="4" w:space="0"/>
                  </w:tcBorders>
                  <w:noWrap/>
                  <w:vAlign w:val="center"/>
                </w:tcPr>
                <w:p w14:paraId="31C8243A">
                  <w:pPr>
                    <w:pStyle w:val="29"/>
                  </w:pPr>
                </w:p>
              </w:tc>
            </w:tr>
          </w:tbl>
          <w:p w14:paraId="5779965C">
            <w:r>
              <w:rPr>
                <w:rFonts w:hint="eastAsia"/>
              </w:rPr>
              <w:t>本项目废水处理工艺为</w:t>
            </w:r>
            <w:r>
              <w:t>《排污许可证申请与核发技术规范</w:t>
            </w:r>
            <w:r>
              <w:rPr>
                <w:rFonts w:hint="eastAsia"/>
              </w:rPr>
              <w:t xml:space="preserve"> </w:t>
            </w:r>
            <w:r>
              <w:t>食品</w:t>
            </w:r>
            <w:r>
              <w:rPr>
                <w:rFonts w:hint="eastAsia"/>
              </w:rPr>
              <w:t>制造</w:t>
            </w:r>
            <w:r>
              <w:t>工业—</w:t>
            </w:r>
            <w:r>
              <w:rPr>
                <w:rFonts w:hint="eastAsia"/>
              </w:rPr>
              <w:t>方便食品、食品及饲料添加剂制造工业</w:t>
            </w:r>
            <w:r>
              <w:t>》（HJ</w:t>
            </w:r>
            <w:r>
              <w:rPr>
                <w:rFonts w:hint="eastAsia"/>
              </w:rPr>
              <w:t>1030.3-2019</w:t>
            </w:r>
            <w:r>
              <w:t>）</w:t>
            </w:r>
            <w:r>
              <w:rPr>
                <w:rFonts w:hint="eastAsia"/>
              </w:rPr>
              <w:t>中可行技术。本项目污水处理站规模为7m</w:t>
            </w:r>
            <w:r>
              <w:rPr>
                <w:rFonts w:hint="eastAsia"/>
                <w:vertAlign w:val="superscript"/>
              </w:rPr>
              <w:t>3</w:t>
            </w:r>
            <w:r>
              <w:rPr>
                <w:rFonts w:hint="eastAsia"/>
              </w:rPr>
              <w:t>/d，本项目生产废水日最大排水量约为5.698m</w:t>
            </w:r>
            <w:r>
              <w:rPr>
                <w:rFonts w:hint="eastAsia"/>
                <w:vertAlign w:val="superscript"/>
              </w:rPr>
              <w:t>3</w:t>
            </w:r>
            <w:r>
              <w:rPr>
                <w:rFonts w:hint="eastAsia"/>
              </w:rPr>
              <w:t>，因此本项目污水排入该污水处理站可行。</w:t>
            </w:r>
          </w:p>
          <w:p w14:paraId="6E8A39C3">
            <w:r>
              <w:rPr>
                <w:rFonts w:hint="eastAsia"/>
              </w:rPr>
              <w:t>（3）废水排放口情况</w:t>
            </w:r>
          </w:p>
          <w:p w14:paraId="47D6CEB9">
            <w:pPr>
              <w:pStyle w:val="32"/>
              <w:rPr>
                <w:rFonts w:hint="default"/>
              </w:rPr>
            </w:pPr>
            <w:r>
              <w:t>表4-7  废水间接排放口基本信息表</w:t>
            </w:r>
          </w:p>
          <w:tbl>
            <w:tblPr>
              <w:tblStyle w:val="22"/>
              <w:tblW w:w="7916" w:type="dxa"/>
              <w:jc w:val="center"/>
              <w:tblLayout w:type="fixed"/>
              <w:tblCellMar>
                <w:top w:w="0" w:type="dxa"/>
                <w:left w:w="108" w:type="dxa"/>
                <w:bottom w:w="0" w:type="dxa"/>
                <w:right w:w="108" w:type="dxa"/>
              </w:tblCellMar>
            </w:tblPr>
            <w:tblGrid>
              <w:gridCol w:w="374"/>
              <w:gridCol w:w="701"/>
              <w:gridCol w:w="817"/>
              <w:gridCol w:w="751"/>
              <w:gridCol w:w="912"/>
              <w:gridCol w:w="930"/>
              <w:gridCol w:w="956"/>
              <w:gridCol w:w="904"/>
              <w:gridCol w:w="1571"/>
            </w:tblGrid>
            <w:tr w14:paraId="0F4336C7">
              <w:tblPrEx>
                <w:tblCellMar>
                  <w:top w:w="0" w:type="dxa"/>
                  <w:left w:w="108" w:type="dxa"/>
                  <w:bottom w:w="0" w:type="dxa"/>
                  <w:right w:w="108" w:type="dxa"/>
                </w:tblCellMar>
              </w:tblPrEx>
              <w:trPr>
                <w:trHeight w:val="340" w:hRule="atLeast"/>
                <w:jc w:val="center"/>
              </w:trPr>
              <w:tc>
                <w:tcPr>
                  <w:tcW w:w="374" w:type="dxa"/>
                  <w:vMerge w:val="restart"/>
                  <w:tcBorders>
                    <w:top w:val="single" w:color="000000" w:sz="4" w:space="0"/>
                    <w:left w:val="single" w:color="000000" w:sz="4" w:space="0"/>
                    <w:bottom w:val="single" w:color="000000" w:sz="4" w:space="0"/>
                    <w:right w:val="single" w:color="000000" w:sz="4" w:space="0"/>
                  </w:tcBorders>
                  <w:noWrap/>
                  <w:vAlign w:val="center"/>
                </w:tcPr>
                <w:p w14:paraId="16C563CE">
                  <w:pPr>
                    <w:pStyle w:val="29"/>
                  </w:pPr>
                  <w:r>
                    <w:t>序号</w:t>
                  </w:r>
                </w:p>
              </w:tc>
              <w:tc>
                <w:tcPr>
                  <w:tcW w:w="701" w:type="dxa"/>
                  <w:vMerge w:val="restart"/>
                  <w:tcBorders>
                    <w:top w:val="single" w:color="000000" w:sz="4" w:space="0"/>
                    <w:left w:val="single" w:color="000000" w:sz="4" w:space="0"/>
                    <w:bottom w:val="single" w:color="000000" w:sz="4" w:space="0"/>
                    <w:right w:val="single" w:color="000000" w:sz="4" w:space="0"/>
                  </w:tcBorders>
                  <w:noWrap/>
                  <w:vAlign w:val="center"/>
                </w:tcPr>
                <w:p w14:paraId="2D928C16">
                  <w:pPr>
                    <w:pStyle w:val="29"/>
                  </w:pPr>
                  <w:r>
                    <w:t>排放口编号</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14:paraId="6A14EEF2">
                  <w:pPr>
                    <w:pStyle w:val="29"/>
                  </w:pPr>
                  <w:r>
                    <w:t>排放地理坐标</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14:paraId="401FBAA4">
                  <w:pPr>
                    <w:pStyle w:val="29"/>
                  </w:pPr>
                  <w:r>
                    <w:t>废水排放量/（万t/a）</w:t>
                  </w:r>
                </w:p>
              </w:tc>
              <w:tc>
                <w:tcPr>
                  <w:tcW w:w="930" w:type="dxa"/>
                  <w:vMerge w:val="restart"/>
                  <w:tcBorders>
                    <w:top w:val="single" w:color="000000" w:sz="4" w:space="0"/>
                    <w:left w:val="single" w:color="000000" w:sz="4" w:space="0"/>
                    <w:bottom w:val="single" w:color="000000" w:sz="4" w:space="0"/>
                    <w:right w:val="single" w:color="000000" w:sz="4" w:space="0"/>
                  </w:tcBorders>
                  <w:noWrap/>
                  <w:vAlign w:val="center"/>
                </w:tcPr>
                <w:p w14:paraId="1C4801AB">
                  <w:pPr>
                    <w:pStyle w:val="29"/>
                  </w:pPr>
                  <w:r>
                    <w:t>排放去向</w:t>
                  </w:r>
                </w:p>
              </w:tc>
              <w:tc>
                <w:tcPr>
                  <w:tcW w:w="956" w:type="dxa"/>
                  <w:vMerge w:val="restart"/>
                  <w:tcBorders>
                    <w:top w:val="single" w:color="000000" w:sz="4" w:space="0"/>
                    <w:left w:val="single" w:color="000000" w:sz="4" w:space="0"/>
                    <w:bottom w:val="single" w:color="000000" w:sz="4" w:space="0"/>
                    <w:right w:val="single" w:color="000000" w:sz="4" w:space="0"/>
                  </w:tcBorders>
                  <w:noWrap/>
                  <w:vAlign w:val="center"/>
                </w:tcPr>
                <w:p w14:paraId="1174B9AB">
                  <w:pPr>
                    <w:pStyle w:val="29"/>
                  </w:pPr>
                  <w:r>
                    <w:t>名称</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14:paraId="46037F9B">
                  <w:pPr>
                    <w:pStyle w:val="29"/>
                  </w:pPr>
                  <w:r>
                    <w:rPr>
                      <w:rFonts w:hint="eastAsia"/>
                    </w:rPr>
                    <w:t>受纳</w:t>
                  </w:r>
                  <w:r>
                    <w:t>污水处理厂基本信息</w:t>
                  </w:r>
                </w:p>
              </w:tc>
            </w:tr>
            <w:tr w14:paraId="111D3E65">
              <w:tblPrEx>
                <w:tblCellMar>
                  <w:top w:w="0" w:type="dxa"/>
                  <w:left w:w="108" w:type="dxa"/>
                  <w:bottom w:w="0" w:type="dxa"/>
                  <w:right w:w="108" w:type="dxa"/>
                </w:tblCellMar>
              </w:tblPrEx>
              <w:trPr>
                <w:trHeight w:val="340" w:hRule="atLeast"/>
                <w:jc w:val="center"/>
              </w:trPr>
              <w:tc>
                <w:tcPr>
                  <w:tcW w:w="374" w:type="dxa"/>
                  <w:vMerge w:val="continue"/>
                  <w:tcBorders>
                    <w:top w:val="single" w:color="000000" w:sz="4" w:space="0"/>
                    <w:left w:val="single" w:color="000000" w:sz="4" w:space="0"/>
                    <w:bottom w:val="single" w:color="000000" w:sz="4" w:space="0"/>
                    <w:right w:val="single" w:color="000000" w:sz="4" w:space="0"/>
                  </w:tcBorders>
                  <w:noWrap/>
                  <w:vAlign w:val="center"/>
                </w:tcPr>
                <w:p w14:paraId="20991F20">
                  <w:pPr>
                    <w:pStyle w:val="29"/>
                  </w:pPr>
                </w:p>
              </w:tc>
              <w:tc>
                <w:tcPr>
                  <w:tcW w:w="701" w:type="dxa"/>
                  <w:vMerge w:val="continue"/>
                  <w:tcBorders>
                    <w:top w:val="single" w:color="000000" w:sz="4" w:space="0"/>
                    <w:left w:val="single" w:color="000000" w:sz="4" w:space="0"/>
                    <w:bottom w:val="single" w:color="000000" w:sz="4" w:space="0"/>
                    <w:right w:val="single" w:color="000000" w:sz="4" w:space="0"/>
                  </w:tcBorders>
                  <w:noWrap/>
                  <w:vAlign w:val="center"/>
                </w:tcPr>
                <w:p w14:paraId="2D4BD642">
                  <w:pPr>
                    <w:pStyle w:val="29"/>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1676E54">
                  <w:pPr>
                    <w:pStyle w:val="29"/>
                  </w:pPr>
                  <w:r>
                    <w:t>经度</w:t>
                  </w: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080069E1">
                  <w:pPr>
                    <w:pStyle w:val="29"/>
                  </w:pPr>
                  <w:r>
                    <w:t>纬度</w:t>
                  </w: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14:paraId="12EA9CA8">
                  <w:pPr>
                    <w:pStyle w:val="29"/>
                  </w:pPr>
                </w:p>
              </w:tc>
              <w:tc>
                <w:tcPr>
                  <w:tcW w:w="930" w:type="dxa"/>
                  <w:vMerge w:val="continue"/>
                  <w:tcBorders>
                    <w:top w:val="single" w:color="000000" w:sz="4" w:space="0"/>
                    <w:left w:val="single" w:color="000000" w:sz="4" w:space="0"/>
                    <w:bottom w:val="single" w:color="000000" w:sz="4" w:space="0"/>
                    <w:right w:val="single" w:color="000000" w:sz="4" w:space="0"/>
                  </w:tcBorders>
                  <w:noWrap/>
                  <w:vAlign w:val="center"/>
                </w:tcPr>
                <w:p w14:paraId="4D888A2F">
                  <w:pPr>
                    <w:pStyle w:val="29"/>
                  </w:pPr>
                </w:p>
              </w:tc>
              <w:tc>
                <w:tcPr>
                  <w:tcW w:w="956" w:type="dxa"/>
                  <w:vMerge w:val="continue"/>
                  <w:tcBorders>
                    <w:top w:val="single" w:color="000000" w:sz="4" w:space="0"/>
                    <w:left w:val="single" w:color="000000" w:sz="4" w:space="0"/>
                    <w:bottom w:val="single" w:color="000000" w:sz="4" w:space="0"/>
                    <w:right w:val="single" w:color="000000" w:sz="4" w:space="0"/>
                  </w:tcBorders>
                  <w:noWrap/>
                  <w:vAlign w:val="center"/>
                </w:tcPr>
                <w:p w14:paraId="0A2A0CE9">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A3E0656">
                  <w:pPr>
                    <w:pStyle w:val="29"/>
                  </w:pPr>
                  <w:r>
                    <w:t>污染物种类</w:t>
                  </w:r>
                </w:p>
              </w:tc>
              <w:tc>
                <w:tcPr>
                  <w:tcW w:w="1571" w:type="dxa"/>
                  <w:tcBorders>
                    <w:top w:val="single" w:color="000000" w:sz="4" w:space="0"/>
                    <w:left w:val="single" w:color="000000" w:sz="4" w:space="0"/>
                    <w:bottom w:val="single" w:color="000000" w:sz="4" w:space="0"/>
                    <w:right w:val="single" w:color="000000" w:sz="4" w:space="0"/>
                  </w:tcBorders>
                  <w:vAlign w:val="center"/>
                </w:tcPr>
                <w:p w14:paraId="0885D3DB">
                  <w:pPr>
                    <w:pStyle w:val="29"/>
                  </w:pPr>
                  <w:r>
                    <w:t>国家或地方排放污染物排放标准（mg/L）</w:t>
                  </w:r>
                </w:p>
              </w:tc>
            </w:tr>
            <w:tr w14:paraId="2AE31409">
              <w:tblPrEx>
                <w:tblCellMar>
                  <w:top w:w="0" w:type="dxa"/>
                  <w:left w:w="108" w:type="dxa"/>
                  <w:bottom w:w="0" w:type="dxa"/>
                  <w:right w:w="108" w:type="dxa"/>
                </w:tblCellMar>
              </w:tblPrEx>
              <w:trPr>
                <w:trHeight w:val="340" w:hRule="atLeast"/>
                <w:jc w:val="center"/>
              </w:trPr>
              <w:tc>
                <w:tcPr>
                  <w:tcW w:w="374" w:type="dxa"/>
                  <w:vMerge w:val="restart"/>
                  <w:tcBorders>
                    <w:top w:val="single" w:color="000000" w:sz="4" w:space="0"/>
                    <w:left w:val="single" w:color="000000" w:sz="4" w:space="0"/>
                    <w:right w:val="single" w:color="000000" w:sz="4" w:space="0"/>
                  </w:tcBorders>
                  <w:noWrap/>
                  <w:vAlign w:val="center"/>
                </w:tcPr>
                <w:p w14:paraId="29EF6742">
                  <w:pPr>
                    <w:pStyle w:val="29"/>
                  </w:pPr>
                  <w:r>
                    <w:t>1</w:t>
                  </w:r>
                </w:p>
              </w:tc>
              <w:tc>
                <w:tcPr>
                  <w:tcW w:w="701" w:type="dxa"/>
                  <w:vMerge w:val="restart"/>
                  <w:tcBorders>
                    <w:top w:val="single" w:color="000000" w:sz="4" w:space="0"/>
                    <w:left w:val="single" w:color="000000" w:sz="4" w:space="0"/>
                    <w:right w:val="single" w:color="000000" w:sz="4" w:space="0"/>
                  </w:tcBorders>
                  <w:noWrap/>
                  <w:vAlign w:val="center"/>
                </w:tcPr>
                <w:p w14:paraId="60591C27">
                  <w:pPr>
                    <w:pStyle w:val="29"/>
                  </w:pPr>
                  <w:r>
                    <w:t>DW001</w:t>
                  </w:r>
                </w:p>
              </w:tc>
              <w:tc>
                <w:tcPr>
                  <w:tcW w:w="817" w:type="dxa"/>
                  <w:vMerge w:val="restart"/>
                  <w:tcBorders>
                    <w:top w:val="single" w:color="000000" w:sz="4" w:space="0"/>
                    <w:left w:val="single" w:color="000000" w:sz="4" w:space="0"/>
                    <w:right w:val="single" w:color="000000" w:sz="4" w:space="0"/>
                  </w:tcBorders>
                  <w:noWrap/>
                  <w:vAlign w:val="center"/>
                </w:tcPr>
                <w:p w14:paraId="5599E174">
                  <w:pPr>
                    <w:spacing w:line="240" w:lineRule="auto"/>
                    <w:ind w:firstLine="0" w:firstLineChars="0"/>
                  </w:pPr>
                  <w:r>
                    <w:rPr>
                      <w:sz w:val="21"/>
                      <w:szCs w:val="21"/>
                    </w:rPr>
                    <w:t>116°</w:t>
                  </w:r>
                  <w:r>
                    <w:rPr>
                      <w:rFonts w:hint="eastAsia"/>
                      <w:sz w:val="21"/>
                      <w:szCs w:val="21"/>
                    </w:rPr>
                    <w:t>45</w:t>
                  </w:r>
                  <w:r>
                    <w:rPr>
                      <w:sz w:val="21"/>
                      <w:szCs w:val="21"/>
                    </w:rPr>
                    <w:t>′</w:t>
                  </w:r>
                  <w:r>
                    <w:rPr>
                      <w:rFonts w:hint="eastAsia"/>
                      <w:sz w:val="21"/>
                      <w:szCs w:val="21"/>
                    </w:rPr>
                    <w:t>15.824</w:t>
                  </w:r>
                  <w:r>
                    <w:rPr>
                      <w:sz w:val="21"/>
                      <w:szCs w:val="21"/>
                    </w:rPr>
                    <w:t>″</w:t>
                  </w:r>
                </w:p>
              </w:tc>
              <w:tc>
                <w:tcPr>
                  <w:tcW w:w="751" w:type="dxa"/>
                  <w:vMerge w:val="restart"/>
                  <w:tcBorders>
                    <w:top w:val="single" w:color="000000" w:sz="4" w:space="0"/>
                    <w:left w:val="single" w:color="000000" w:sz="4" w:space="0"/>
                    <w:right w:val="single" w:color="000000" w:sz="4" w:space="0"/>
                  </w:tcBorders>
                  <w:noWrap/>
                  <w:vAlign w:val="center"/>
                </w:tcPr>
                <w:p w14:paraId="0B6AFE74">
                  <w:pPr>
                    <w:spacing w:line="240" w:lineRule="auto"/>
                    <w:ind w:firstLine="0" w:firstLineChars="0"/>
                  </w:pPr>
                  <w:r>
                    <w:rPr>
                      <w:rFonts w:hint="eastAsia"/>
                      <w:sz w:val="21"/>
                      <w:szCs w:val="21"/>
                    </w:rPr>
                    <w:t>33</w:t>
                  </w:r>
                  <w:r>
                    <w:rPr>
                      <w:sz w:val="21"/>
                      <w:szCs w:val="21"/>
                    </w:rPr>
                    <w:t>°</w:t>
                  </w:r>
                  <w:r>
                    <w:rPr>
                      <w:rFonts w:hint="eastAsia"/>
                      <w:sz w:val="21"/>
                      <w:szCs w:val="21"/>
                    </w:rPr>
                    <w:t>59</w:t>
                  </w:r>
                  <w:r>
                    <w:rPr>
                      <w:sz w:val="21"/>
                      <w:szCs w:val="21"/>
                    </w:rPr>
                    <w:t>′</w:t>
                  </w:r>
                  <w:r>
                    <w:rPr>
                      <w:rFonts w:hint="eastAsia"/>
                      <w:sz w:val="21"/>
                      <w:szCs w:val="21"/>
                    </w:rPr>
                    <w:t>46.671</w:t>
                  </w:r>
                  <w:r>
                    <w:rPr>
                      <w:sz w:val="21"/>
                      <w:szCs w:val="21"/>
                    </w:rPr>
                    <w:t>″</w:t>
                  </w:r>
                </w:p>
              </w:tc>
              <w:tc>
                <w:tcPr>
                  <w:tcW w:w="912" w:type="dxa"/>
                  <w:vMerge w:val="restart"/>
                  <w:tcBorders>
                    <w:top w:val="single" w:color="000000" w:sz="4" w:space="0"/>
                    <w:left w:val="single" w:color="000000" w:sz="4" w:space="0"/>
                    <w:right w:val="single" w:color="000000" w:sz="4" w:space="0"/>
                  </w:tcBorders>
                  <w:noWrap/>
                  <w:vAlign w:val="center"/>
                </w:tcPr>
                <w:p w14:paraId="22B05D6B">
                  <w:pPr>
                    <w:pStyle w:val="29"/>
                  </w:pPr>
                  <w:r>
                    <w:rPr>
                      <w:rFonts w:hint="eastAsia"/>
                      <w:color w:val="0000FF"/>
                    </w:rPr>
                    <w:t>0.1853</w:t>
                  </w:r>
                </w:p>
              </w:tc>
              <w:tc>
                <w:tcPr>
                  <w:tcW w:w="930" w:type="dxa"/>
                  <w:vMerge w:val="restart"/>
                  <w:tcBorders>
                    <w:top w:val="single" w:color="000000" w:sz="4" w:space="0"/>
                    <w:left w:val="single" w:color="000000" w:sz="4" w:space="0"/>
                    <w:right w:val="single" w:color="000000" w:sz="4" w:space="0"/>
                  </w:tcBorders>
                  <w:vAlign w:val="center"/>
                </w:tcPr>
                <w:p w14:paraId="62FC8AF7">
                  <w:pPr>
                    <w:pStyle w:val="29"/>
                  </w:pPr>
                  <w:r>
                    <w:rPr>
                      <w:rFonts w:hint="eastAsia"/>
                    </w:rPr>
                    <w:t>安徽淮相科技发展有限公司第二污水处理厂</w:t>
                  </w:r>
                </w:p>
              </w:tc>
              <w:tc>
                <w:tcPr>
                  <w:tcW w:w="956" w:type="dxa"/>
                  <w:vMerge w:val="restart"/>
                  <w:tcBorders>
                    <w:top w:val="single" w:color="000000" w:sz="4" w:space="0"/>
                    <w:left w:val="single" w:color="000000" w:sz="4" w:space="0"/>
                    <w:right w:val="single" w:color="000000" w:sz="4" w:space="0"/>
                  </w:tcBorders>
                  <w:vAlign w:val="center"/>
                </w:tcPr>
                <w:p w14:paraId="0D6C0F4F">
                  <w:pPr>
                    <w:pStyle w:val="29"/>
                  </w:pPr>
                  <w:r>
                    <w:rPr>
                      <w:rFonts w:hint="eastAsia"/>
                    </w:rPr>
                    <w:t>安徽淮相科技发展有限公司第二污水处理厂</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593FA8E">
                  <w:pPr>
                    <w:pStyle w:val="29"/>
                  </w:pPr>
                  <w:r>
                    <w:t>COD</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18FFDD8C">
                  <w:pPr>
                    <w:pStyle w:val="29"/>
                  </w:pPr>
                  <w:r>
                    <w:t>50</w:t>
                  </w:r>
                </w:p>
              </w:tc>
            </w:tr>
            <w:tr w14:paraId="1DD484E6">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right w:val="single" w:color="000000" w:sz="4" w:space="0"/>
                  </w:tcBorders>
                  <w:noWrap/>
                  <w:vAlign w:val="center"/>
                </w:tcPr>
                <w:p w14:paraId="64845E61">
                  <w:pPr>
                    <w:pStyle w:val="29"/>
                  </w:pPr>
                </w:p>
              </w:tc>
              <w:tc>
                <w:tcPr>
                  <w:tcW w:w="701" w:type="dxa"/>
                  <w:vMerge w:val="continue"/>
                  <w:tcBorders>
                    <w:left w:val="single" w:color="000000" w:sz="4" w:space="0"/>
                    <w:right w:val="single" w:color="000000" w:sz="4" w:space="0"/>
                  </w:tcBorders>
                  <w:noWrap/>
                  <w:vAlign w:val="center"/>
                </w:tcPr>
                <w:p w14:paraId="4525A985">
                  <w:pPr>
                    <w:pStyle w:val="29"/>
                  </w:pPr>
                </w:p>
              </w:tc>
              <w:tc>
                <w:tcPr>
                  <w:tcW w:w="817" w:type="dxa"/>
                  <w:vMerge w:val="continue"/>
                  <w:tcBorders>
                    <w:left w:val="single" w:color="000000" w:sz="4" w:space="0"/>
                    <w:right w:val="single" w:color="000000" w:sz="4" w:space="0"/>
                  </w:tcBorders>
                  <w:noWrap/>
                  <w:vAlign w:val="center"/>
                </w:tcPr>
                <w:p w14:paraId="50E53DF0">
                  <w:pPr>
                    <w:pStyle w:val="29"/>
                  </w:pPr>
                </w:p>
              </w:tc>
              <w:tc>
                <w:tcPr>
                  <w:tcW w:w="751" w:type="dxa"/>
                  <w:vMerge w:val="continue"/>
                  <w:tcBorders>
                    <w:left w:val="single" w:color="000000" w:sz="4" w:space="0"/>
                    <w:right w:val="single" w:color="000000" w:sz="4" w:space="0"/>
                  </w:tcBorders>
                  <w:noWrap/>
                  <w:vAlign w:val="center"/>
                </w:tcPr>
                <w:p w14:paraId="05860C3D">
                  <w:pPr>
                    <w:pStyle w:val="29"/>
                  </w:pPr>
                </w:p>
              </w:tc>
              <w:tc>
                <w:tcPr>
                  <w:tcW w:w="912" w:type="dxa"/>
                  <w:vMerge w:val="continue"/>
                  <w:tcBorders>
                    <w:left w:val="single" w:color="000000" w:sz="4" w:space="0"/>
                    <w:right w:val="single" w:color="000000" w:sz="4" w:space="0"/>
                  </w:tcBorders>
                  <w:noWrap/>
                  <w:vAlign w:val="center"/>
                </w:tcPr>
                <w:p w14:paraId="029030CB">
                  <w:pPr>
                    <w:pStyle w:val="29"/>
                  </w:pPr>
                </w:p>
              </w:tc>
              <w:tc>
                <w:tcPr>
                  <w:tcW w:w="930" w:type="dxa"/>
                  <w:vMerge w:val="continue"/>
                  <w:tcBorders>
                    <w:left w:val="single" w:color="000000" w:sz="4" w:space="0"/>
                    <w:right w:val="single" w:color="000000" w:sz="4" w:space="0"/>
                  </w:tcBorders>
                  <w:vAlign w:val="center"/>
                </w:tcPr>
                <w:p w14:paraId="70AC8ACC">
                  <w:pPr>
                    <w:pStyle w:val="29"/>
                  </w:pPr>
                </w:p>
              </w:tc>
              <w:tc>
                <w:tcPr>
                  <w:tcW w:w="956" w:type="dxa"/>
                  <w:vMerge w:val="continue"/>
                  <w:tcBorders>
                    <w:left w:val="single" w:color="000000" w:sz="4" w:space="0"/>
                    <w:right w:val="single" w:color="000000" w:sz="4" w:space="0"/>
                  </w:tcBorders>
                  <w:vAlign w:val="center"/>
                </w:tcPr>
                <w:p w14:paraId="2655B703">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415AC515">
                  <w:pPr>
                    <w:pStyle w:val="29"/>
                  </w:pPr>
                  <w:r>
                    <w:rPr>
                      <w:rFonts w:hint="eastAsia"/>
                    </w:rPr>
                    <w:t>pH</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52478C0C">
                  <w:pPr>
                    <w:pStyle w:val="29"/>
                  </w:pPr>
                  <w:r>
                    <w:rPr>
                      <w:rFonts w:hint="eastAsia"/>
                    </w:rPr>
                    <w:t>6~9（无量纲）</w:t>
                  </w:r>
                </w:p>
              </w:tc>
            </w:tr>
            <w:tr w14:paraId="61F34BE6">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right w:val="single" w:color="000000" w:sz="4" w:space="0"/>
                  </w:tcBorders>
                  <w:noWrap/>
                  <w:vAlign w:val="center"/>
                </w:tcPr>
                <w:p w14:paraId="7CFB2B8A">
                  <w:pPr>
                    <w:pStyle w:val="29"/>
                  </w:pPr>
                </w:p>
              </w:tc>
              <w:tc>
                <w:tcPr>
                  <w:tcW w:w="701" w:type="dxa"/>
                  <w:vMerge w:val="continue"/>
                  <w:tcBorders>
                    <w:left w:val="single" w:color="000000" w:sz="4" w:space="0"/>
                    <w:right w:val="single" w:color="000000" w:sz="4" w:space="0"/>
                  </w:tcBorders>
                  <w:noWrap/>
                  <w:vAlign w:val="center"/>
                </w:tcPr>
                <w:p w14:paraId="4AC251FB">
                  <w:pPr>
                    <w:pStyle w:val="29"/>
                  </w:pPr>
                </w:p>
              </w:tc>
              <w:tc>
                <w:tcPr>
                  <w:tcW w:w="817" w:type="dxa"/>
                  <w:vMerge w:val="continue"/>
                  <w:tcBorders>
                    <w:left w:val="single" w:color="000000" w:sz="4" w:space="0"/>
                    <w:right w:val="single" w:color="000000" w:sz="4" w:space="0"/>
                  </w:tcBorders>
                  <w:noWrap/>
                  <w:vAlign w:val="center"/>
                </w:tcPr>
                <w:p w14:paraId="1BCFE5F9">
                  <w:pPr>
                    <w:pStyle w:val="29"/>
                  </w:pPr>
                </w:p>
              </w:tc>
              <w:tc>
                <w:tcPr>
                  <w:tcW w:w="751" w:type="dxa"/>
                  <w:vMerge w:val="continue"/>
                  <w:tcBorders>
                    <w:left w:val="single" w:color="000000" w:sz="4" w:space="0"/>
                    <w:right w:val="single" w:color="000000" w:sz="4" w:space="0"/>
                  </w:tcBorders>
                  <w:noWrap/>
                  <w:vAlign w:val="center"/>
                </w:tcPr>
                <w:p w14:paraId="11B6487E">
                  <w:pPr>
                    <w:pStyle w:val="29"/>
                  </w:pPr>
                </w:p>
              </w:tc>
              <w:tc>
                <w:tcPr>
                  <w:tcW w:w="912" w:type="dxa"/>
                  <w:vMerge w:val="continue"/>
                  <w:tcBorders>
                    <w:left w:val="single" w:color="000000" w:sz="4" w:space="0"/>
                    <w:right w:val="single" w:color="000000" w:sz="4" w:space="0"/>
                  </w:tcBorders>
                  <w:noWrap/>
                  <w:vAlign w:val="center"/>
                </w:tcPr>
                <w:p w14:paraId="1907C4BF">
                  <w:pPr>
                    <w:pStyle w:val="29"/>
                  </w:pPr>
                </w:p>
              </w:tc>
              <w:tc>
                <w:tcPr>
                  <w:tcW w:w="930" w:type="dxa"/>
                  <w:vMerge w:val="continue"/>
                  <w:tcBorders>
                    <w:left w:val="single" w:color="000000" w:sz="4" w:space="0"/>
                    <w:right w:val="single" w:color="000000" w:sz="4" w:space="0"/>
                  </w:tcBorders>
                  <w:vAlign w:val="center"/>
                </w:tcPr>
                <w:p w14:paraId="5A1384FD">
                  <w:pPr>
                    <w:pStyle w:val="29"/>
                  </w:pPr>
                </w:p>
              </w:tc>
              <w:tc>
                <w:tcPr>
                  <w:tcW w:w="956" w:type="dxa"/>
                  <w:vMerge w:val="continue"/>
                  <w:tcBorders>
                    <w:left w:val="single" w:color="000000" w:sz="4" w:space="0"/>
                    <w:right w:val="single" w:color="000000" w:sz="4" w:space="0"/>
                  </w:tcBorders>
                  <w:vAlign w:val="center"/>
                </w:tcPr>
                <w:p w14:paraId="39E1C131">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4BD4221">
                  <w:pPr>
                    <w:pStyle w:val="29"/>
                  </w:pPr>
                  <w:r>
                    <w:t>BOD</w:t>
                  </w:r>
                  <w:r>
                    <w:rPr>
                      <w:rFonts w:hint="eastAsia"/>
                      <w:vertAlign w:val="subscript"/>
                    </w:rPr>
                    <w:t>5</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0B9EB0DA">
                  <w:pPr>
                    <w:pStyle w:val="29"/>
                  </w:pPr>
                  <w:r>
                    <w:t>10</w:t>
                  </w:r>
                </w:p>
              </w:tc>
            </w:tr>
            <w:tr w14:paraId="7A0C1381">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right w:val="single" w:color="000000" w:sz="4" w:space="0"/>
                  </w:tcBorders>
                  <w:noWrap/>
                  <w:vAlign w:val="center"/>
                </w:tcPr>
                <w:p w14:paraId="4DB392F1">
                  <w:pPr>
                    <w:pStyle w:val="29"/>
                  </w:pPr>
                </w:p>
              </w:tc>
              <w:tc>
                <w:tcPr>
                  <w:tcW w:w="701" w:type="dxa"/>
                  <w:vMerge w:val="continue"/>
                  <w:tcBorders>
                    <w:left w:val="single" w:color="000000" w:sz="4" w:space="0"/>
                    <w:right w:val="single" w:color="000000" w:sz="4" w:space="0"/>
                  </w:tcBorders>
                  <w:noWrap/>
                  <w:vAlign w:val="center"/>
                </w:tcPr>
                <w:p w14:paraId="7D18FFF6">
                  <w:pPr>
                    <w:pStyle w:val="29"/>
                  </w:pPr>
                </w:p>
              </w:tc>
              <w:tc>
                <w:tcPr>
                  <w:tcW w:w="817" w:type="dxa"/>
                  <w:vMerge w:val="continue"/>
                  <w:tcBorders>
                    <w:left w:val="single" w:color="000000" w:sz="4" w:space="0"/>
                    <w:right w:val="single" w:color="000000" w:sz="4" w:space="0"/>
                  </w:tcBorders>
                  <w:noWrap/>
                  <w:vAlign w:val="center"/>
                </w:tcPr>
                <w:p w14:paraId="43208D75">
                  <w:pPr>
                    <w:pStyle w:val="29"/>
                  </w:pPr>
                </w:p>
              </w:tc>
              <w:tc>
                <w:tcPr>
                  <w:tcW w:w="751" w:type="dxa"/>
                  <w:vMerge w:val="continue"/>
                  <w:tcBorders>
                    <w:left w:val="single" w:color="000000" w:sz="4" w:space="0"/>
                    <w:right w:val="single" w:color="000000" w:sz="4" w:space="0"/>
                  </w:tcBorders>
                  <w:noWrap/>
                  <w:vAlign w:val="center"/>
                </w:tcPr>
                <w:p w14:paraId="52DF9C8A">
                  <w:pPr>
                    <w:pStyle w:val="29"/>
                  </w:pPr>
                </w:p>
              </w:tc>
              <w:tc>
                <w:tcPr>
                  <w:tcW w:w="912" w:type="dxa"/>
                  <w:vMerge w:val="continue"/>
                  <w:tcBorders>
                    <w:left w:val="single" w:color="000000" w:sz="4" w:space="0"/>
                    <w:right w:val="single" w:color="000000" w:sz="4" w:space="0"/>
                  </w:tcBorders>
                  <w:noWrap/>
                  <w:vAlign w:val="center"/>
                </w:tcPr>
                <w:p w14:paraId="67854E92">
                  <w:pPr>
                    <w:pStyle w:val="29"/>
                  </w:pPr>
                </w:p>
              </w:tc>
              <w:tc>
                <w:tcPr>
                  <w:tcW w:w="930" w:type="dxa"/>
                  <w:vMerge w:val="continue"/>
                  <w:tcBorders>
                    <w:left w:val="single" w:color="000000" w:sz="4" w:space="0"/>
                    <w:right w:val="single" w:color="000000" w:sz="4" w:space="0"/>
                  </w:tcBorders>
                  <w:vAlign w:val="center"/>
                </w:tcPr>
                <w:p w14:paraId="00241B39">
                  <w:pPr>
                    <w:pStyle w:val="29"/>
                  </w:pPr>
                </w:p>
              </w:tc>
              <w:tc>
                <w:tcPr>
                  <w:tcW w:w="956" w:type="dxa"/>
                  <w:vMerge w:val="continue"/>
                  <w:tcBorders>
                    <w:left w:val="single" w:color="000000" w:sz="4" w:space="0"/>
                    <w:right w:val="single" w:color="000000" w:sz="4" w:space="0"/>
                  </w:tcBorders>
                  <w:vAlign w:val="center"/>
                </w:tcPr>
                <w:p w14:paraId="04350791">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16FFF73">
                  <w:pPr>
                    <w:pStyle w:val="29"/>
                  </w:pPr>
                  <w:r>
                    <w:t>SS</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40A7A259">
                  <w:pPr>
                    <w:pStyle w:val="29"/>
                  </w:pPr>
                  <w:r>
                    <w:t>10</w:t>
                  </w:r>
                </w:p>
              </w:tc>
            </w:tr>
            <w:tr w14:paraId="294E6AE6">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right w:val="single" w:color="000000" w:sz="4" w:space="0"/>
                  </w:tcBorders>
                  <w:noWrap/>
                  <w:vAlign w:val="center"/>
                </w:tcPr>
                <w:p w14:paraId="3C552510">
                  <w:pPr>
                    <w:pStyle w:val="29"/>
                  </w:pPr>
                </w:p>
              </w:tc>
              <w:tc>
                <w:tcPr>
                  <w:tcW w:w="701" w:type="dxa"/>
                  <w:vMerge w:val="continue"/>
                  <w:tcBorders>
                    <w:left w:val="single" w:color="000000" w:sz="4" w:space="0"/>
                    <w:right w:val="single" w:color="000000" w:sz="4" w:space="0"/>
                  </w:tcBorders>
                  <w:noWrap/>
                  <w:vAlign w:val="center"/>
                </w:tcPr>
                <w:p w14:paraId="297BB18D">
                  <w:pPr>
                    <w:pStyle w:val="29"/>
                  </w:pPr>
                </w:p>
              </w:tc>
              <w:tc>
                <w:tcPr>
                  <w:tcW w:w="817" w:type="dxa"/>
                  <w:vMerge w:val="continue"/>
                  <w:tcBorders>
                    <w:left w:val="single" w:color="000000" w:sz="4" w:space="0"/>
                    <w:right w:val="single" w:color="000000" w:sz="4" w:space="0"/>
                  </w:tcBorders>
                  <w:noWrap/>
                  <w:vAlign w:val="center"/>
                </w:tcPr>
                <w:p w14:paraId="095746CB">
                  <w:pPr>
                    <w:pStyle w:val="29"/>
                  </w:pPr>
                </w:p>
              </w:tc>
              <w:tc>
                <w:tcPr>
                  <w:tcW w:w="751" w:type="dxa"/>
                  <w:vMerge w:val="continue"/>
                  <w:tcBorders>
                    <w:left w:val="single" w:color="000000" w:sz="4" w:space="0"/>
                    <w:right w:val="single" w:color="000000" w:sz="4" w:space="0"/>
                  </w:tcBorders>
                  <w:noWrap/>
                  <w:vAlign w:val="center"/>
                </w:tcPr>
                <w:p w14:paraId="744381AE">
                  <w:pPr>
                    <w:pStyle w:val="29"/>
                  </w:pPr>
                </w:p>
              </w:tc>
              <w:tc>
                <w:tcPr>
                  <w:tcW w:w="912" w:type="dxa"/>
                  <w:vMerge w:val="continue"/>
                  <w:tcBorders>
                    <w:left w:val="single" w:color="000000" w:sz="4" w:space="0"/>
                    <w:right w:val="single" w:color="000000" w:sz="4" w:space="0"/>
                  </w:tcBorders>
                  <w:noWrap/>
                  <w:vAlign w:val="center"/>
                </w:tcPr>
                <w:p w14:paraId="5CD2E94B">
                  <w:pPr>
                    <w:pStyle w:val="29"/>
                  </w:pPr>
                </w:p>
              </w:tc>
              <w:tc>
                <w:tcPr>
                  <w:tcW w:w="930" w:type="dxa"/>
                  <w:vMerge w:val="continue"/>
                  <w:tcBorders>
                    <w:left w:val="single" w:color="000000" w:sz="4" w:space="0"/>
                    <w:right w:val="single" w:color="000000" w:sz="4" w:space="0"/>
                  </w:tcBorders>
                  <w:vAlign w:val="center"/>
                </w:tcPr>
                <w:p w14:paraId="224CD078">
                  <w:pPr>
                    <w:pStyle w:val="29"/>
                  </w:pPr>
                </w:p>
              </w:tc>
              <w:tc>
                <w:tcPr>
                  <w:tcW w:w="956" w:type="dxa"/>
                  <w:vMerge w:val="continue"/>
                  <w:tcBorders>
                    <w:left w:val="single" w:color="000000" w:sz="4" w:space="0"/>
                    <w:right w:val="single" w:color="000000" w:sz="4" w:space="0"/>
                  </w:tcBorders>
                  <w:vAlign w:val="center"/>
                </w:tcPr>
                <w:p w14:paraId="77E6467C">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582AFA68">
                  <w:pPr>
                    <w:pStyle w:val="29"/>
                  </w:pPr>
                  <w:r>
                    <w:t>NH</w:t>
                  </w:r>
                  <w:r>
                    <w:rPr>
                      <w:vertAlign w:val="subscript"/>
                    </w:rPr>
                    <w:t>3</w:t>
                  </w:r>
                  <w:r>
                    <w:t>-N</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03D54F43">
                  <w:pPr>
                    <w:pStyle w:val="29"/>
                  </w:pPr>
                  <w:r>
                    <w:t>5</w:t>
                  </w:r>
                </w:p>
              </w:tc>
            </w:tr>
            <w:tr w14:paraId="13C65372">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right w:val="single" w:color="000000" w:sz="4" w:space="0"/>
                  </w:tcBorders>
                  <w:noWrap/>
                  <w:vAlign w:val="center"/>
                </w:tcPr>
                <w:p w14:paraId="4067BDD1">
                  <w:pPr>
                    <w:pStyle w:val="29"/>
                  </w:pPr>
                </w:p>
              </w:tc>
              <w:tc>
                <w:tcPr>
                  <w:tcW w:w="701" w:type="dxa"/>
                  <w:vMerge w:val="continue"/>
                  <w:tcBorders>
                    <w:left w:val="single" w:color="000000" w:sz="4" w:space="0"/>
                    <w:right w:val="single" w:color="000000" w:sz="4" w:space="0"/>
                  </w:tcBorders>
                  <w:noWrap/>
                  <w:vAlign w:val="center"/>
                </w:tcPr>
                <w:p w14:paraId="66E9C09B">
                  <w:pPr>
                    <w:pStyle w:val="29"/>
                  </w:pPr>
                </w:p>
              </w:tc>
              <w:tc>
                <w:tcPr>
                  <w:tcW w:w="817" w:type="dxa"/>
                  <w:vMerge w:val="continue"/>
                  <w:tcBorders>
                    <w:left w:val="single" w:color="000000" w:sz="4" w:space="0"/>
                    <w:right w:val="single" w:color="000000" w:sz="4" w:space="0"/>
                  </w:tcBorders>
                  <w:noWrap/>
                  <w:vAlign w:val="center"/>
                </w:tcPr>
                <w:p w14:paraId="308EF7AA">
                  <w:pPr>
                    <w:pStyle w:val="29"/>
                  </w:pPr>
                </w:p>
              </w:tc>
              <w:tc>
                <w:tcPr>
                  <w:tcW w:w="751" w:type="dxa"/>
                  <w:vMerge w:val="continue"/>
                  <w:tcBorders>
                    <w:left w:val="single" w:color="000000" w:sz="4" w:space="0"/>
                    <w:right w:val="single" w:color="000000" w:sz="4" w:space="0"/>
                  </w:tcBorders>
                  <w:noWrap/>
                  <w:vAlign w:val="center"/>
                </w:tcPr>
                <w:p w14:paraId="77C00A2C">
                  <w:pPr>
                    <w:pStyle w:val="29"/>
                  </w:pPr>
                </w:p>
              </w:tc>
              <w:tc>
                <w:tcPr>
                  <w:tcW w:w="912" w:type="dxa"/>
                  <w:vMerge w:val="continue"/>
                  <w:tcBorders>
                    <w:left w:val="single" w:color="000000" w:sz="4" w:space="0"/>
                    <w:right w:val="single" w:color="000000" w:sz="4" w:space="0"/>
                  </w:tcBorders>
                  <w:noWrap/>
                  <w:vAlign w:val="center"/>
                </w:tcPr>
                <w:p w14:paraId="1D533CE3">
                  <w:pPr>
                    <w:pStyle w:val="29"/>
                  </w:pPr>
                </w:p>
              </w:tc>
              <w:tc>
                <w:tcPr>
                  <w:tcW w:w="930" w:type="dxa"/>
                  <w:vMerge w:val="continue"/>
                  <w:tcBorders>
                    <w:left w:val="single" w:color="000000" w:sz="4" w:space="0"/>
                    <w:right w:val="single" w:color="000000" w:sz="4" w:space="0"/>
                  </w:tcBorders>
                  <w:vAlign w:val="center"/>
                </w:tcPr>
                <w:p w14:paraId="1D539088">
                  <w:pPr>
                    <w:pStyle w:val="29"/>
                  </w:pPr>
                </w:p>
              </w:tc>
              <w:tc>
                <w:tcPr>
                  <w:tcW w:w="956" w:type="dxa"/>
                  <w:vMerge w:val="continue"/>
                  <w:tcBorders>
                    <w:left w:val="single" w:color="000000" w:sz="4" w:space="0"/>
                    <w:right w:val="single" w:color="000000" w:sz="4" w:space="0"/>
                  </w:tcBorders>
                  <w:vAlign w:val="center"/>
                </w:tcPr>
                <w:p w14:paraId="29DC707F">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8D48FBB">
                  <w:pPr>
                    <w:pStyle w:val="29"/>
                  </w:pPr>
                  <w:r>
                    <w:rPr>
                      <w:rFonts w:hint="eastAsia"/>
                    </w:rPr>
                    <w:t>TP</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5D9AB95F">
                  <w:pPr>
                    <w:pStyle w:val="29"/>
                  </w:pPr>
                  <w:r>
                    <w:rPr>
                      <w:rFonts w:hint="eastAsia"/>
                    </w:rPr>
                    <w:t>0.3</w:t>
                  </w:r>
                </w:p>
              </w:tc>
            </w:tr>
            <w:tr w14:paraId="530AA5B6">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right w:val="single" w:color="000000" w:sz="4" w:space="0"/>
                  </w:tcBorders>
                  <w:noWrap/>
                  <w:vAlign w:val="center"/>
                </w:tcPr>
                <w:p w14:paraId="3A7BFF67">
                  <w:pPr>
                    <w:pStyle w:val="29"/>
                  </w:pPr>
                </w:p>
              </w:tc>
              <w:tc>
                <w:tcPr>
                  <w:tcW w:w="701" w:type="dxa"/>
                  <w:vMerge w:val="continue"/>
                  <w:tcBorders>
                    <w:left w:val="single" w:color="000000" w:sz="4" w:space="0"/>
                    <w:right w:val="single" w:color="000000" w:sz="4" w:space="0"/>
                  </w:tcBorders>
                  <w:noWrap/>
                  <w:vAlign w:val="center"/>
                </w:tcPr>
                <w:p w14:paraId="4201D4BB">
                  <w:pPr>
                    <w:pStyle w:val="29"/>
                  </w:pPr>
                </w:p>
              </w:tc>
              <w:tc>
                <w:tcPr>
                  <w:tcW w:w="817" w:type="dxa"/>
                  <w:vMerge w:val="continue"/>
                  <w:tcBorders>
                    <w:left w:val="single" w:color="000000" w:sz="4" w:space="0"/>
                    <w:right w:val="single" w:color="000000" w:sz="4" w:space="0"/>
                  </w:tcBorders>
                  <w:noWrap/>
                  <w:vAlign w:val="center"/>
                </w:tcPr>
                <w:p w14:paraId="5B4ADA41">
                  <w:pPr>
                    <w:pStyle w:val="29"/>
                  </w:pPr>
                </w:p>
              </w:tc>
              <w:tc>
                <w:tcPr>
                  <w:tcW w:w="751" w:type="dxa"/>
                  <w:vMerge w:val="continue"/>
                  <w:tcBorders>
                    <w:left w:val="single" w:color="000000" w:sz="4" w:space="0"/>
                    <w:right w:val="single" w:color="000000" w:sz="4" w:space="0"/>
                  </w:tcBorders>
                  <w:noWrap/>
                  <w:vAlign w:val="center"/>
                </w:tcPr>
                <w:p w14:paraId="61A3E506">
                  <w:pPr>
                    <w:pStyle w:val="29"/>
                  </w:pPr>
                </w:p>
              </w:tc>
              <w:tc>
                <w:tcPr>
                  <w:tcW w:w="912" w:type="dxa"/>
                  <w:vMerge w:val="continue"/>
                  <w:tcBorders>
                    <w:left w:val="single" w:color="000000" w:sz="4" w:space="0"/>
                    <w:right w:val="single" w:color="000000" w:sz="4" w:space="0"/>
                  </w:tcBorders>
                  <w:noWrap/>
                  <w:vAlign w:val="center"/>
                </w:tcPr>
                <w:p w14:paraId="67960938">
                  <w:pPr>
                    <w:pStyle w:val="29"/>
                  </w:pPr>
                </w:p>
              </w:tc>
              <w:tc>
                <w:tcPr>
                  <w:tcW w:w="930" w:type="dxa"/>
                  <w:vMerge w:val="continue"/>
                  <w:tcBorders>
                    <w:left w:val="single" w:color="000000" w:sz="4" w:space="0"/>
                    <w:right w:val="single" w:color="000000" w:sz="4" w:space="0"/>
                  </w:tcBorders>
                  <w:vAlign w:val="center"/>
                </w:tcPr>
                <w:p w14:paraId="01EC94B8">
                  <w:pPr>
                    <w:pStyle w:val="29"/>
                  </w:pPr>
                </w:p>
              </w:tc>
              <w:tc>
                <w:tcPr>
                  <w:tcW w:w="956" w:type="dxa"/>
                  <w:vMerge w:val="continue"/>
                  <w:tcBorders>
                    <w:left w:val="single" w:color="000000" w:sz="4" w:space="0"/>
                    <w:right w:val="single" w:color="000000" w:sz="4" w:space="0"/>
                  </w:tcBorders>
                  <w:vAlign w:val="center"/>
                </w:tcPr>
                <w:p w14:paraId="6C12157B">
                  <w:pPr>
                    <w:pStyle w:val="29"/>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CCF0A32">
                  <w:pPr>
                    <w:pStyle w:val="29"/>
                  </w:pPr>
                  <w:r>
                    <w:t>动植物油</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7DC6E9F7">
                  <w:pPr>
                    <w:pStyle w:val="29"/>
                  </w:pPr>
                  <w:r>
                    <w:t>1</w:t>
                  </w:r>
                </w:p>
              </w:tc>
            </w:tr>
            <w:tr w14:paraId="09EBE87E">
              <w:tblPrEx>
                <w:tblCellMar>
                  <w:top w:w="0" w:type="dxa"/>
                  <w:left w:w="108" w:type="dxa"/>
                  <w:bottom w:w="0" w:type="dxa"/>
                  <w:right w:w="108" w:type="dxa"/>
                </w:tblCellMar>
              </w:tblPrEx>
              <w:trPr>
                <w:trHeight w:val="340" w:hRule="atLeast"/>
                <w:jc w:val="center"/>
              </w:trPr>
              <w:tc>
                <w:tcPr>
                  <w:tcW w:w="374" w:type="dxa"/>
                  <w:vMerge w:val="continue"/>
                  <w:tcBorders>
                    <w:left w:val="single" w:color="000000" w:sz="4" w:space="0"/>
                    <w:bottom w:val="single" w:color="000000" w:sz="4" w:space="0"/>
                    <w:right w:val="single" w:color="000000" w:sz="4" w:space="0"/>
                  </w:tcBorders>
                  <w:noWrap/>
                  <w:vAlign w:val="center"/>
                </w:tcPr>
                <w:p w14:paraId="5A84100E">
                  <w:pPr>
                    <w:pStyle w:val="29"/>
                    <w:rPr>
                      <w:highlight w:val="yellow"/>
                    </w:rPr>
                  </w:pPr>
                </w:p>
              </w:tc>
              <w:tc>
                <w:tcPr>
                  <w:tcW w:w="701" w:type="dxa"/>
                  <w:vMerge w:val="continue"/>
                  <w:tcBorders>
                    <w:left w:val="single" w:color="000000" w:sz="4" w:space="0"/>
                    <w:bottom w:val="single" w:color="000000" w:sz="4" w:space="0"/>
                    <w:right w:val="single" w:color="000000" w:sz="4" w:space="0"/>
                  </w:tcBorders>
                  <w:noWrap/>
                  <w:vAlign w:val="center"/>
                </w:tcPr>
                <w:p w14:paraId="1768DA3B">
                  <w:pPr>
                    <w:pStyle w:val="29"/>
                    <w:rPr>
                      <w:highlight w:val="yellow"/>
                    </w:rPr>
                  </w:pPr>
                </w:p>
              </w:tc>
              <w:tc>
                <w:tcPr>
                  <w:tcW w:w="817" w:type="dxa"/>
                  <w:vMerge w:val="continue"/>
                  <w:tcBorders>
                    <w:left w:val="single" w:color="000000" w:sz="4" w:space="0"/>
                    <w:bottom w:val="single" w:color="000000" w:sz="4" w:space="0"/>
                    <w:right w:val="single" w:color="000000" w:sz="4" w:space="0"/>
                  </w:tcBorders>
                  <w:noWrap/>
                  <w:vAlign w:val="center"/>
                </w:tcPr>
                <w:p w14:paraId="2C88C78D">
                  <w:pPr>
                    <w:pStyle w:val="29"/>
                    <w:rPr>
                      <w:highlight w:val="yellow"/>
                    </w:rPr>
                  </w:pPr>
                </w:p>
              </w:tc>
              <w:tc>
                <w:tcPr>
                  <w:tcW w:w="751" w:type="dxa"/>
                  <w:vMerge w:val="continue"/>
                  <w:tcBorders>
                    <w:left w:val="single" w:color="000000" w:sz="4" w:space="0"/>
                    <w:bottom w:val="single" w:color="000000" w:sz="4" w:space="0"/>
                    <w:right w:val="single" w:color="000000" w:sz="4" w:space="0"/>
                  </w:tcBorders>
                  <w:noWrap/>
                  <w:vAlign w:val="center"/>
                </w:tcPr>
                <w:p w14:paraId="165C35F4">
                  <w:pPr>
                    <w:pStyle w:val="29"/>
                    <w:rPr>
                      <w:highlight w:val="yellow"/>
                    </w:rPr>
                  </w:pPr>
                </w:p>
              </w:tc>
              <w:tc>
                <w:tcPr>
                  <w:tcW w:w="912" w:type="dxa"/>
                  <w:vMerge w:val="continue"/>
                  <w:tcBorders>
                    <w:left w:val="single" w:color="000000" w:sz="4" w:space="0"/>
                    <w:bottom w:val="single" w:color="000000" w:sz="4" w:space="0"/>
                    <w:right w:val="single" w:color="000000" w:sz="4" w:space="0"/>
                  </w:tcBorders>
                  <w:noWrap/>
                  <w:vAlign w:val="center"/>
                </w:tcPr>
                <w:p w14:paraId="6A8EA14A">
                  <w:pPr>
                    <w:pStyle w:val="29"/>
                    <w:rPr>
                      <w:highlight w:val="yellow"/>
                    </w:rPr>
                  </w:pPr>
                </w:p>
              </w:tc>
              <w:tc>
                <w:tcPr>
                  <w:tcW w:w="930" w:type="dxa"/>
                  <w:vMerge w:val="continue"/>
                  <w:tcBorders>
                    <w:left w:val="single" w:color="000000" w:sz="4" w:space="0"/>
                    <w:bottom w:val="single" w:color="000000" w:sz="4" w:space="0"/>
                    <w:right w:val="single" w:color="000000" w:sz="4" w:space="0"/>
                  </w:tcBorders>
                  <w:vAlign w:val="center"/>
                </w:tcPr>
                <w:p w14:paraId="7CCE70F1">
                  <w:pPr>
                    <w:pStyle w:val="29"/>
                    <w:rPr>
                      <w:highlight w:val="yellow"/>
                    </w:rPr>
                  </w:pPr>
                </w:p>
              </w:tc>
              <w:tc>
                <w:tcPr>
                  <w:tcW w:w="956" w:type="dxa"/>
                  <w:vMerge w:val="continue"/>
                  <w:tcBorders>
                    <w:left w:val="single" w:color="000000" w:sz="4" w:space="0"/>
                    <w:bottom w:val="single" w:color="000000" w:sz="4" w:space="0"/>
                    <w:right w:val="single" w:color="000000" w:sz="4" w:space="0"/>
                  </w:tcBorders>
                  <w:vAlign w:val="center"/>
                </w:tcPr>
                <w:p w14:paraId="16CFBE52">
                  <w:pPr>
                    <w:pStyle w:val="29"/>
                    <w:rPr>
                      <w:highlight w:val="yellow"/>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3AC51180">
                  <w:pPr>
                    <w:pStyle w:val="29"/>
                    <w:rPr>
                      <w:color w:val="0000FF"/>
                    </w:rPr>
                  </w:pPr>
                  <w:r>
                    <w:rPr>
                      <w:rFonts w:hint="eastAsia"/>
                      <w:color w:val="0000FF"/>
                    </w:rPr>
                    <w:t>LAS</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353D40CE">
                  <w:pPr>
                    <w:pStyle w:val="29"/>
                    <w:rPr>
                      <w:color w:val="0000FF"/>
                    </w:rPr>
                  </w:pPr>
                  <w:r>
                    <w:rPr>
                      <w:rFonts w:hint="eastAsia"/>
                      <w:color w:val="0000FF"/>
                    </w:rPr>
                    <w:t>0.5</w:t>
                  </w:r>
                </w:p>
              </w:tc>
            </w:tr>
          </w:tbl>
          <w:p w14:paraId="3A42F274">
            <w:r>
              <w:rPr>
                <w:rFonts w:hint="eastAsia"/>
              </w:rPr>
              <w:t>（4）</w:t>
            </w:r>
            <w:r>
              <w:t>废水治理设施以及可行性分析</w:t>
            </w:r>
          </w:p>
          <w:p w14:paraId="355C2D53">
            <w:pPr>
              <w:adjustRightInd w:val="0"/>
              <w:snapToGrid w:val="0"/>
              <w:jc w:val="left"/>
              <w:rPr>
                <w:bCs/>
              </w:rPr>
            </w:pPr>
            <w:r>
              <w:rPr>
                <w:rFonts w:hint="eastAsia"/>
                <w:bCs/>
              </w:rPr>
              <w:t>1）</w:t>
            </w:r>
            <w:r>
              <w:rPr>
                <w:bCs/>
              </w:rPr>
              <w:t>化粪池</w:t>
            </w:r>
            <w:r>
              <w:rPr>
                <w:rFonts w:hint="eastAsia"/>
                <w:bCs/>
              </w:rPr>
              <w:t>：</w:t>
            </w:r>
            <w:r>
              <w:rPr>
                <w:bCs/>
              </w:rPr>
              <w:t>是厌氧生物处理的构筑物，主要用来处理来自厕所的粪便污水。首先，污水进入第一室，水中悬浮固体或沉于池底，或浮于池面；池水一般分为三层。上层为浮渣层，下层为污泥层，中间为水流。然后，污水进入第二室，而底泥和浮渣被第一室截留，达到初步净化的目的。污泥在池底进行厌氧消化，一般半年左右清除一次。对SS的去除效率为30%左右</w:t>
            </w:r>
            <w:r>
              <w:rPr>
                <w:rFonts w:hint="eastAsia"/>
                <w:bCs/>
              </w:rPr>
              <w:t>，</w:t>
            </w:r>
            <w:r>
              <w:rPr>
                <w:bCs/>
              </w:rPr>
              <w:t>对COD的去除效率为1</w:t>
            </w:r>
            <w:r>
              <w:rPr>
                <w:rFonts w:hint="eastAsia"/>
                <w:bCs/>
              </w:rPr>
              <w:t>5</w:t>
            </w:r>
            <w:r>
              <w:rPr>
                <w:bCs/>
              </w:rPr>
              <w:t>%左右，对氨氮的去除效率为</w:t>
            </w:r>
            <w:r>
              <w:rPr>
                <w:rFonts w:hint="eastAsia"/>
                <w:bCs/>
              </w:rPr>
              <w:t>3</w:t>
            </w:r>
            <w:r>
              <w:rPr>
                <w:bCs/>
              </w:rPr>
              <w:t>%</w:t>
            </w:r>
            <w:r>
              <w:rPr>
                <w:rFonts w:hint="eastAsia"/>
                <w:bCs/>
              </w:rPr>
              <w:t>，对BOD</w:t>
            </w:r>
            <w:r>
              <w:rPr>
                <w:rFonts w:hint="eastAsia"/>
                <w:bCs/>
                <w:vertAlign w:val="subscript"/>
              </w:rPr>
              <w:t>5</w:t>
            </w:r>
            <w:r>
              <w:rPr>
                <w:rFonts w:hint="eastAsia"/>
                <w:bCs/>
              </w:rPr>
              <w:t>的去除效率是9%。</w:t>
            </w:r>
          </w:p>
          <w:p w14:paraId="2C43932F">
            <w:pPr>
              <w:pStyle w:val="6"/>
              <w:rPr>
                <w:bCs/>
              </w:rPr>
            </w:pPr>
            <w:r>
              <w:rPr>
                <w:rFonts w:hint="eastAsia"/>
                <w:bCs/>
              </w:rPr>
              <w:t>2</w:t>
            </w:r>
            <w:r>
              <w:rPr>
                <w:bCs/>
              </w:rPr>
              <w:t>）污水</w:t>
            </w:r>
            <w:r>
              <w:rPr>
                <w:rFonts w:hint="eastAsia"/>
                <w:bCs/>
              </w:rPr>
              <w:t>处理站</w:t>
            </w:r>
            <w:r>
              <w:rPr>
                <w:bCs/>
              </w:rPr>
              <w:t>治理设施分析</w:t>
            </w:r>
            <w:r>
              <w:rPr>
                <w:rFonts w:hint="eastAsia"/>
                <w:bCs/>
              </w:rPr>
              <w:t>及可行性分析</w:t>
            </w:r>
          </w:p>
          <w:p w14:paraId="3772373C">
            <w:pPr>
              <w:adjustRightInd w:val="0"/>
              <w:snapToGrid w:val="0"/>
              <w:jc w:val="left"/>
              <w:rPr>
                <w:bCs/>
              </w:rPr>
            </w:pPr>
            <w:r>
              <w:rPr>
                <w:rFonts w:hint="eastAsia"/>
                <w:bCs/>
              </w:rPr>
              <w:t>本项目生产过程废水主要为</w:t>
            </w:r>
            <w:r>
              <w:rPr>
                <w:rFonts w:hint="eastAsia"/>
              </w:rPr>
              <w:t>员工生活污水、泡米废水、纯净水设备废水、原辅料清洗废水、解冻废水、设备清洗废水、地面冲洗废水、员工消毒废水</w:t>
            </w:r>
            <w:r>
              <w:rPr>
                <w:rFonts w:hint="eastAsia"/>
                <w:bCs/>
              </w:rPr>
              <w:t>等，主要污染物为COD、SS、BOD</w:t>
            </w:r>
            <w:r>
              <w:rPr>
                <w:rFonts w:hint="eastAsia"/>
                <w:bCs/>
                <w:vertAlign w:val="subscript"/>
              </w:rPr>
              <w:t>5</w:t>
            </w:r>
            <w:r>
              <w:rPr>
                <w:rFonts w:hint="eastAsia"/>
                <w:bCs/>
              </w:rPr>
              <w:t>、NH</w:t>
            </w:r>
            <w:r>
              <w:rPr>
                <w:rFonts w:hint="eastAsia"/>
                <w:bCs/>
                <w:vertAlign w:val="subscript"/>
              </w:rPr>
              <w:t>3</w:t>
            </w:r>
            <w:r>
              <w:rPr>
                <w:rFonts w:hint="eastAsia"/>
                <w:bCs/>
              </w:rPr>
              <w:t>-N、动植物油、LAS等，本项目经建设污水处理站（7m</w:t>
            </w:r>
            <w:r>
              <w:rPr>
                <w:rFonts w:hint="eastAsia"/>
                <w:bCs/>
                <w:vertAlign w:val="superscript"/>
              </w:rPr>
              <w:t>3</w:t>
            </w:r>
            <w:r>
              <w:rPr>
                <w:rFonts w:hint="eastAsia"/>
                <w:bCs/>
              </w:rPr>
              <w:t>/d）进行处理。</w:t>
            </w:r>
          </w:p>
          <w:p w14:paraId="33BDC560">
            <w:pPr>
              <w:adjustRightInd w:val="0"/>
              <w:snapToGrid w:val="0"/>
              <w:jc w:val="left"/>
              <w:rPr>
                <w:bCs/>
                <w:color w:val="0000FF"/>
              </w:rPr>
            </w:pPr>
            <w:r>
              <w:rPr>
                <w:rFonts w:hint="eastAsia"/>
                <w:bCs/>
                <w:color w:val="0000FF"/>
              </w:rPr>
              <w:t>①</w:t>
            </w:r>
            <w:r>
              <w:rPr>
                <w:bCs/>
                <w:color w:val="0000FF"/>
              </w:rPr>
              <w:t>处理能力</w:t>
            </w:r>
          </w:p>
          <w:p w14:paraId="1249BFC8">
            <w:pPr>
              <w:adjustRightInd w:val="0"/>
              <w:snapToGrid w:val="0"/>
              <w:jc w:val="left"/>
              <w:rPr>
                <w:bCs/>
                <w:color w:val="0000FF"/>
                <w:spacing w:val="-10"/>
                <w:highlight w:val="yellow"/>
              </w:rPr>
            </w:pPr>
            <w:r>
              <w:rPr>
                <w:color w:val="0000FF"/>
              </w:rPr>
              <w:t>本项目生产废水</w:t>
            </w:r>
            <w:r>
              <w:rPr>
                <w:rFonts w:hint="eastAsia"/>
                <w:color w:val="0000FF"/>
              </w:rPr>
              <w:t>（5.698m</w:t>
            </w:r>
            <w:r>
              <w:rPr>
                <w:rFonts w:hint="eastAsia"/>
                <w:color w:val="0000FF"/>
                <w:vertAlign w:val="superscript"/>
              </w:rPr>
              <w:t>3</w:t>
            </w:r>
            <w:r>
              <w:rPr>
                <w:rFonts w:hint="eastAsia"/>
                <w:color w:val="0000FF"/>
              </w:rPr>
              <w:t>/d）</w:t>
            </w:r>
            <w:r>
              <w:rPr>
                <w:color w:val="0000FF"/>
              </w:rPr>
              <w:t>经建污水处理站处理。该</w:t>
            </w:r>
            <w:r>
              <w:rPr>
                <w:color w:val="0000FF"/>
                <w:lang w:bidi="ar"/>
              </w:rPr>
              <w:t>污水处理站日处理废水</w:t>
            </w:r>
            <w:r>
              <w:rPr>
                <w:rFonts w:hint="eastAsia"/>
                <w:color w:val="0000FF"/>
                <w:lang w:bidi="ar"/>
              </w:rPr>
              <w:t>7</w:t>
            </w:r>
            <w:r>
              <w:rPr>
                <w:color w:val="0000FF"/>
                <w:lang w:bidi="ar"/>
              </w:rPr>
              <w:t>m</w:t>
            </w:r>
            <w:r>
              <w:rPr>
                <w:color w:val="0000FF"/>
                <w:vertAlign w:val="superscript"/>
                <w:lang w:bidi="ar"/>
              </w:rPr>
              <w:t>3</w:t>
            </w:r>
            <w:r>
              <w:rPr>
                <w:color w:val="0000FF"/>
                <w:lang w:bidi="ar"/>
              </w:rPr>
              <w:t>，</w:t>
            </w:r>
            <w:r>
              <w:rPr>
                <w:rFonts w:hint="eastAsia" w:ascii="宋体" w:hAnsi="宋体" w:cs="宋体"/>
                <w:color w:val="0000FF"/>
                <w:lang w:bidi="ar"/>
              </w:rPr>
              <w:t>工艺流程为</w:t>
            </w:r>
            <w:r>
              <w:rPr>
                <w:rFonts w:hint="eastAsia"/>
                <w:color w:val="0000FF"/>
                <w:lang w:bidi="ar"/>
              </w:rPr>
              <w:t>：格栅+调节+气浮+初沉+隔油+SBR+厌氧+A/O+沉淀+紫外消毒+出水，处理能满足《污水综合排放标准》（GB8978-1996）中三级排放标准及</w:t>
            </w:r>
            <w:r>
              <w:rPr>
                <w:rFonts w:hint="eastAsia"/>
                <w:color w:val="0000FF"/>
              </w:rPr>
              <w:t>安徽淮相科技发展有限公司第二污水处理厂</w:t>
            </w:r>
            <w:r>
              <w:rPr>
                <w:rFonts w:hint="eastAsia"/>
                <w:color w:val="0000FF"/>
                <w:lang w:bidi="ar"/>
              </w:rPr>
              <w:t>接管要求。</w:t>
            </w:r>
          </w:p>
          <w:p w14:paraId="324F0F35">
            <w:pPr>
              <w:adjustRightInd w:val="0"/>
              <w:snapToGrid w:val="0"/>
              <w:jc w:val="left"/>
              <w:rPr>
                <w:bCs/>
                <w:color w:val="0000FF"/>
              </w:rPr>
            </w:pPr>
            <w:r>
              <w:rPr>
                <w:rFonts w:hint="eastAsia"/>
                <w:bCs/>
                <w:color w:val="0000FF"/>
              </w:rPr>
              <w:t>②</w:t>
            </w:r>
            <w:r>
              <w:rPr>
                <w:bCs/>
                <w:color w:val="0000FF"/>
              </w:rPr>
              <w:t>污水处理工艺</w:t>
            </w:r>
          </w:p>
          <w:p w14:paraId="1E073CE5">
            <w:pPr>
              <w:adjustRightInd w:val="0"/>
              <w:snapToGrid w:val="0"/>
              <w:jc w:val="left"/>
              <w:rPr>
                <w:color w:val="0000FF"/>
              </w:rPr>
            </w:pPr>
            <w:r>
              <w:rPr>
                <w:rFonts w:hint="eastAsia"/>
                <w:bCs/>
                <w:color w:val="0000FF"/>
              </w:rPr>
              <w:t>根据资料收集和现场勘查情况，污水处理站工艺为“</w:t>
            </w:r>
            <w:r>
              <w:rPr>
                <w:rFonts w:hint="eastAsia"/>
                <w:color w:val="0000FF"/>
                <w:lang w:bidi="ar"/>
              </w:rPr>
              <w:t>格栅+调节+气浮+初沉+隔油+SBR+厌氧+A/O+沉淀+紫外消毒+出水</w:t>
            </w:r>
            <w:r>
              <w:rPr>
                <w:rFonts w:hint="eastAsia"/>
                <w:bCs/>
                <w:color w:val="0000FF"/>
              </w:rPr>
              <w:t>”工艺，工艺流程如下图所示。</w:t>
            </w:r>
          </w:p>
          <w:p w14:paraId="16B7F276">
            <w:pPr>
              <w:pStyle w:val="11"/>
              <w:ind w:left="0" w:leftChars="0" w:firstLine="0" w:firstLineChars="0"/>
              <w:jc w:val="center"/>
              <w:rPr>
                <w:color w:val="0000FF"/>
              </w:rPr>
            </w:pPr>
            <w:r>
              <w:rPr>
                <w:rFonts w:hint="eastAsia"/>
                <w:color w:val="0000FF"/>
              </w:rPr>
              <w:object>
                <v:shape id="_x0000_i1031" o:spt="75" type="#_x0000_t75" style="height:371.3pt;width:197.4pt;" o:ole="t" filled="f" o:preferrelative="t" stroked="f" coordsize="21600,21600">
                  <v:path/>
                  <v:fill on="f" focussize="0,0"/>
                  <v:stroke on="f" joinstyle="miter"/>
                  <v:imagedata r:id="rId28" o:title=""/>
                  <o:lock v:ext="edit" aspectratio="f"/>
                  <w10:wrap type="none"/>
                  <w10:anchorlock/>
                </v:shape>
                <o:OLEObject Type="Embed" ProgID="Visio.Drawing.11" ShapeID="_x0000_i1031" DrawAspect="Content" ObjectID="_1468075731" r:id="rId27">
                  <o:LockedField>false</o:LockedField>
                </o:OLEObject>
              </w:object>
            </w:r>
          </w:p>
          <w:p w14:paraId="29DD6778">
            <w:pPr>
              <w:pStyle w:val="43"/>
              <w:snapToGrid w:val="0"/>
              <w:spacing w:line="360" w:lineRule="auto"/>
              <w:ind w:left="0" w:right="0"/>
              <w:jc w:val="center"/>
              <w:rPr>
                <w:rFonts w:ascii="Times New Roman" w:hAnsi="Times New Roman"/>
                <w:color w:val="0000FF"/>
                <w:szCs w:val="24"/>
              </w:rPr>
            </w:pPr>
            <w:r>
              <w:rPr>
                <w:rFonts w:ascii="Times New Roman" w:hAnsi="Times New Roman"/>
                <w:b/>
                <w:bCs/>
                <w:color w:val="0000FF"/>
                <w:szCs w:val="24"/>
              </w:rPr>
              <w:t>图4-</w:t>
            </w:r>
            <w:r>
              <w:rPr>
                <w:rFonts w:hint="eastAsia" w:ascii="Times New Roman" w:hAnsi="Times New Roman"/>
                <w:b/>
                <w:bCs/>
                <w:color w:val="0000FF"/>
                <w:szCs w:val="24"/>
              </w:rPr>
              <w:t>1</w:t>
            </w:r>
            <w:r>
              <w:rPr>
                <w:rFonts w:ascii="Times New Roman" w:hAnsi="Times New Roman"/>
                <w:b/>
                <w:bCs/>
                <w:color w:val="0000FF"/>
                <w:szCs w:val="24"/>
              </w:rPr>
              <w:t xml:space="preserve">  污水处理</w:t>
            </w:r>
            <w:r>
              <w:rPr>
                <w:rFonts w:hint="eastAsia" w:ascii="Times New Roman" w:hAnsi="Times New Roman"/>
                <w:b/>
                <w:bCs/>
                <w:color w:val="0000FF"/>
                <w:szCs w:val="24"/>
              </w:rPr>
              <w:t>站</w:t>
            </w:r>
            <w:r>
              <w:rPr>
                <w:rFonts w:ascii="Times New Roman" w:hAnsi="Times New Roman"/>
                <w:b/>
                <w:bCs/>
                <w:color w:val="0000FF"/>
                <w:szCs w:val="24"/>
              </w:rPr>
              <w:t>工艺流程图</w:t>
            </w:r>
          </w:p>
          <w:p w14:paraId="2DD72ED3">
            <w:pPr>
              <w:widowControl/>
              <w:jc w:val="left"/>
              <w:rPr>
                <w:rFonts w:hint="eastAsia" w:ascii="宋体" w:hAnsi="宋体" w:cs="宋体"/>
                <w:color w:val="0000FF"/>
                <w:lang w:bidi="ar"/>
              </w:rPr>
            </w:pPr>
            <w:r>
              <w:rPr>
                <w:rFonts w:hint="eastAsia" w:ascii="宋体" w:hAnsi="宋体" w:cs="宋体"/>
                <w:color w:val="0000FF"/>
                <w:lang w:bidi="ar"/>
              </w:rPr>
              <w:t>污水处理站设计处理效率如下表：</w:t>
            </w:r>
          </w:p>
          <w:p w14:paraId="332C3264">
            <w:pPr>
              <w:widowControl/>
              <w:spacing w:line="240" w:lineRule="auto"/>
              <w:ind w:firstLine="0" w:firstLineChars="0"/>
              <w:jc w:val="center"/>
              <w:rPr>
                <w:b/>
                <w:color w:val="0000FF"/>
              </w:rPr>
            </w:pPr>
            <w:r>
              <w:rPr>
                <w:rFonts w:hint="eastAsia"/>
                <w:b/>
                <w:color w:val="0000FF"/>
              </w:rPr>
              <w:t>表4-8  污水处理站设计处理效率一览表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15"/>
              <w:gridCol w:w="969"/>
              <w:gridCol w:w="872"/>
              <w:gridCol w:w="894"/>
              <w:gridCol w:w="841"/>
              <w:gridCol w:w="796"/>
              <w:gridCol w:w="1143"/>
              <w:gridCol w:w="854"/>
            </w:tblGrid>
            <w:tr w14:paraId="0921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pct"/>
                  <w:gridSpan w:val="2"/>
                  <w:vAlign w:val="center"/>
                </w:tcPr>
                <w:p w14:paraId="4195E2B8">
                  <w:pPr>
                    <w:pStyle w:val="29"/>
                    <w:rPr>
                      <w:color w:val="0000FF"/>
                    </w:rPr>
                  </w:pPr>
                  <w:r>
                    <w:rPr>
                      <w:color w:val="0000FF"/>
                    </w:rPr>
                    <w:t>废水类别</w:t>
                  </w:r>
                </w:p>
              </w:tc>
              <w:tc>
                <w:tcPr>
                  <w:tcW w:w="608" w:type="pct"/>
                  <w:vAlign w:val="center"/>
                </w:tcPr>
                <w:p w14:paraId="2E27961F">
                  <w:pPr>
                    <w:pStyle w:val="29"/>
                    <w:rPr>
                      <w:color w:val="0000FF"/>
                    </w:rPr>
                  </w:pPr>
                  <w:r>
                    <w:rPr>
                      <w:color w:val="0000FF"/>
                    </w:rPr>
                    <w:t>COD</w:t>
                  </w:r>
                </w:p>
              </w:tc>
              <w:tc>
                <w:tcPr>
                  <w:tcW w:w="547" w:type="pct"/>
                  <w:vAlign w:val="center"/>
                </w:tcPr>
                <w:p w14:paraId="3FB6DE9B">
                  <w:pPr>
                    <w:pStyle w:val="29"/>
                    <w:rPr>
                      <w:color w:val="0000FF"/>
                    </w:rPr>
                  </w:pPr>
                  <w:r>
                    <w:rPr>
                      <w:color w:val="0000FF"/>
                    </w:rPr>
                    <w:t>BOD</w:t>
                  </w:r>
                  <w:r>
                    <w:rPr>
                      <w:color w:val="0000FF"/>
                      <w:vertAlign w:val="subscript"/>
                    </w:rPr>
                    <w:t>5</w:t>
                  </w:r>
                </w:p>
              </w:tc>
              <w:tc>
                <w:tcPr>
                  <w:tcW w:w="561" w:type="pct"/>
                  <w:vAlign w:val="center"/>
                </w:tcPr>
                <w:p w14:paraId="6586B4C0">
                  <w:pPr>
                    <w:pStyle w:val="29"/>
                    <w:rPr>
                      <w:color w:val="0000FF"/>
                    </w:rPr>
                  </w:pPr>
                  <w:r>
                    <w:rPr>
                      <w:color w:val="0000FF"/>
                    </w:rPr>
                    <w:t>SS</w:t>
                  </w:r>
                </w:p>
              </w:tc>
              <w:tc>
                <w:tcPr>
                  <w:tcW w:w="528" w:type="pct"/>
                  <w:vAlign w:val="center"/>
                </w:tcPr>
                <w:p w14:paraId="7BD11EC9">
                  <w:pPr>
                    <w:pStyle w:val="29"/>
                    <w:rPr>
                      <w:color w:val="0000FF"/>
                    </w:rPr>
                  </w:pPr>
                  <w:r>
                    <w:rPr>
                      <w:color w:val="0000FF"/>
                    </w:rPr>
                    <w:t>氨氮</w:t>
                  </w:r>
                </w:p>
              </w:tc>
              <w:tc>
                <w:tcPr>
                  <w:tcW w:w="500" w:type="pct"/>
                  <w:vAlign w:val="center"/>
                </w:tcPr>
                <w:p w14:paraId="2096FA96">
                  <w:pPr>
                    <w:pStyle w:val="29"/>
                    <w:rPr>
                      <w:color w:val="0000FF"/>
                    </w:rPr>
                  </w:pPr>
                  <w:r>
                    <w:rPr>
                      <w:color w:val="0000FF"/>
                    </w:rPr>
                    <w:t>动植物油</w:t>
                  </w:r>
                </w:p>
              </w:tc>
              <w:tc>
                <w:tcPr>
                  <w:tcW w:w="717" w:type="pct"/>
                  <w:vAlign w:val="center"/>
                </w:tcPr>
                <w:p w14:paraId="5B17FFD1">
                  <w:pPr>
                    <w:pStyle w:val="29"/>
                    <w:rPr>
                      <w:color w:val="0000FF"/>
                    </w:rPr>
                  </w:pPr>
                  <w:r>
                    <w:rPr>
                      <w:color w:val="0000FF"/>
                    </w:rPr>
                    <w:t>TP</w:t>
                  </w:r>
                </w:p>
              </w:tc>
              <w:tc>
                <w:tcPr>
                  <w:tcW w:w="536" w:type="pct"/>
                  <w:vAlign w:val="center"/>
                </w:tcPr>
                <w:p w14:paraId="42BDDF06">
                  <w:pPr>
                    <w:pStyle w:val="29"/>
                    <w:rPr>
                      <w:color w:val="0000FF"/>
                    </w:rPr>
                  </w:pPr>
                  <w:r>
                    <w:rPr>
                      <w:color w:val="0000FF"/>
                    </w:rPr>
                    <w:t>LAS</w:t>
                  </w:r>
                </w:p>
              </w:tc>
            </w:tr>
            <w:tr w14:paraId="3D7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706E5B09">
                  <w:pPr>
                    <w:pStyle w:val="29"/>
                    <w:rPr>
                      <w:color w:val="0000FF"/>
                    </w:rPr>
                  </w:pPr>
                  <w:r>
                    <w:rPr>
                      <w:color w:val="0000FF"/>
                    </w:rPr>
                    <w:t>格栅</w:t>
                  </w:r>
                </w:p>
              </w:tc>
              <w:tc>
                <w:tcPr>
                  <w:tcW w:w="574" w:type="pct"/>
                  <w:vAlign w:val="center"/>
                </w:tcPr>
                <w:p w14:paraId="54A7616D">
                  <w:pPr>
                    <w:pStyle w:val="29"/>
                    <w:rPr>
                      <w:color w:val="0000FF"/>
                    </w:rPr>
                  </w:pPr>
                  <w:r>
                    <w:rPr>
                      <w:color w:val="0000FF"/>
                    </w:rPr>
                    <w:t>进水</w:t>
                  </w:r>
                </w:p>
              </w:tc>
              <w:tc>
                <w:tcPr>
                  <w:tcW w:w="608" w:type="pct"/>
                  <w:shd w:val="clear" w:color="auto" w:fill="auto"/>
                  <w:vAlign w:val="center"/>
                </w:tcPr>
                <w:p w14:paraId="345187DD">
                  <w:pPr>
                    <w:pStyle w:val="37"/>
                    <w:rPr>
                      <w:color w:val="0000FF"/>
                    </w:rPr>
                  </w:pPr>
                  <w:r>
                    <w:rPr>
                      <w:color w:val="0000FF"/>
                    </w:rPr>
                    <w:t>3500</w:t>
                  </w:r>
                </w:p>
              </w:tc>
              <w:tc>
                <w:tcPr>
                  <w:tcW w:w="547" w:type="pct"/>
                  <w:vAlign w:val="center"/>
                </w:tcPr>
                <w:p w14:paraId="36D5E707">
                  <w:pPr>
                    <w:pStyle w:val="29"/>
                    <w:rPr>
                      <w:color w:val="0000FF"/>
                    </w:rPr>
                  </w:pPr>
                  <w:r>
                    <w:rPr>
                      <w:color w:val="0000FF"/>
                    </w:rPr>
                    <w:t>1000</w:t>
                  </w:r>
                </w:p>
              </w:tc>
              <w:tc>
                <w:tcPr>
                  <w:tcW w:w="561" w:type="pct"/>
                  <w:vAlign w:val="center"/>
                </w:tcPr>
                <w:p w14:paraId="470CC4CB">
                  <w:pPr>
                    <w:pStyle w:val="29"/>
                    <w:rPr>
                      <w:color w:val="0000FF"/>
                    </w:rPr>
                  </w:pPr>
                  <w:r>
                    <w:rPr>
                      <w:color w:val="0000FF"/>
                    </w:rPr>
                    <w:t>800</w:t>
                  </w:r>
                </w:p>
              </w:tc>
              <w:tc>
                <w:tcPr>
                  <w:tcW w:w="528" w:type="pct"/>
                  <w:vAlign w:val="center"/>
                </w:tcPr>
                <w:p w14:paraId="4FE68400">
                  <w:pPr>
                    <w:pStyle w:val="29"/>
                    <w:rPr>
                      <w:color w:val="0000FF"/>
                    </w:rPr>
                  </w:pPr>
                  <w:r>
                    <w:rPr>
                      <w:color w:val="0000FF"/>
                    </w:rPr>
                    <w:t>50</w:t>
                  </w:r>
                </w:p>
              </w:tc>
              <w:tc>
                <w:tcPr>
                  <w:tcW w:w="500" w:type="pct"/>
                  <w:vAlign w:val="center"/>
                </w:tcPr>
                <w:p w14:paraId="5962CF30">
                  <w:pPr>
                    <w:pStyle w:val="29"/>
                    <w:rPr>
                      <w:color w:val="0000FF"/>
                    </w:rPr>
                  </w:pPr>
                  <w:r>
                    <w:rPr>
                      <w:color w:val="0000FF"/>
                    </w:rPr>
                    <w:t>200</w:t>
                  </w:r>
                </w:p>
              </w:tc>
              <w:tc>
                <w:tcPr>
                  <w:tcW w:w="717" w:type="pct"/>
                  <w:vAlign w:val="center"/>
                </w:tcPr>
                <w:p w14:paraId="3EB34073">
                  <w:pPr>
                    <w:pStyle w:val="29"/>
                    <w:rPr>
                      <w:color w:val="0000FF"/>
                    </w:rPr>
                  </w:pPr>
                  <w:r>
                    <w:rPr>
                      <w:color w:val="0000FF"/>
                    </w:rPr>
                    <w:t>75</w:t>
                  </w:r>
                </w:p>
              </w:tc>
              <w:tc>
                <w:tcPr>
                  <w:tcW w:w="536" w:type="pct"/>
                  <w:vAlign w:val="center"/>
                </w:tcPr>
                <w:p w14:paraId="7DBC57B6">
                  <w:pPr>
                    <w:pStyle w:val="29"/>
                    <w:rPr>
                      <w:color w:val="0000FF"/>
                    </w:rPr>
                  </w:pPr>
                  <w:r>
                    <w:rPr>
                      <w:color w:val="0000FF"/>
                    </w:rPr>
                    <w:t>100</w:t>
                  </w:r>
                </w:p>
              </w:tc>
            </w:tr>
            <w:tr w14:paraId="4C8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207F0105">
                  <w:pPr>
                    <w:pStyle w:val="29"/>
                    <w:rPr>
                      <w:color w:val="0000FF"/>
                    </w:rPr>
                  </w:pPr>
                </w:p>
              </w:tc>
              <w:tc>
                <w:tcPr>
                  <w:tcW w:w="574" w:type="pct"/>
                  <w:vAlign w:val="center"/>
                </w:tcPr>
                <w:p w14:paraId="4356DD1B">
                  <w:pPr>
                    <w:pStyle w:val="29"/>
                    <w:rPr>
                      <w:color w:val="0000FF"/>
                    </w:rPr>
                  </w:pPr>
                  <w:r>
                    <w:rPr>
                      <w:color w:val="0000FF"/>
                    </w:rPr>
                    <w:t>出水</w:t>
                  </w:r>
                </w:p>
              </w:tc>
              <w:tc>
                <w:tcPr>
                  <w:tcW w:w="608" w:type="pct"/>
                  <w:shd w:val="clear" w:color="auto" w:fill="auto"/>
                  <w:vAlign w:val="center"/>
                </w:tcPr>
                <w:p w14:paraId="766D28CD">
                  <w:pPr>
                    <w:pStyle w:val="37"/>
                    <w:rPr>
                      <w:color w:val="0000FF"/>
                    </w:rPr>
                  </w:pPr>
                  <w:r>
                    <w:rPr>
                      <w:color w:val="0000FF"/>
                    </w:rPr>
                    <w:t>3500</w:t>
                  </w:r>
                </w:p>
              </w:tc>
              <w:tc>
                <w:tcPr>
                  <w:tcW w:w="547" w:type="pct"/>
                  <w:shd w:val="clear" w:color="auto" w:fill="auto"/>
                  <w:vAlign w:val="center"/>
                </w:tcPr>
                <w:p w14:paraId="54C33210">
                  <w:pPr>
                    <w:pStyle w:val="29"/>
                    <w:rPr>
                      <w:color w:val="0000FF"/>
                    </w:rPr>
                  </w:pPr>
                  <w:r>
                    <w:rPr>
                      <w:color w:val="0000FF"/>
                    </w:rPr>
                    <w:t>1000</w:t>
                  </w:r>
                </w:p>
              </w:tc>
              <w:tc>
                <w:tcPr>
                  <w:tcW w:w="561" w:type="pct"/>
                  <w:shd w:val="clear" w:color="auto" w:fill="auto"/>
                  <w:vAlign w:val="center"/>
                </w:tcPr>
                <w:p w14:paraId="5F6477BD">
                  <w:pPr>
                    <w:pStyle w:val="29"/>
                    <w:rPr>
                      <w:color w:val="0000FF"/>
                    </w:rPr>
                  </w:pPr>
                  <w:r>
                    <w:rPr>
                      <w:color w:val="0000FF"/>
                    </w:rPr>
                    <w:t>800</w:t>
                  </w:r>
                </w:p>
              </w:tc>
              <w:tc>
                <w:tcPr>
                  <w:tcW w:w="528" w:type="pct"/>
                  <w:shd w:val="clear" w:color="auto" w:fill="auto"/>
                  <w:vAlign w:val="center"/>
                </w:tcPr>
                <w:p w14:paraId="2C526507">
                  <w:pPr>
                    <w:pStyle w:val="29"/>
                    <w:rPr>
                      <w:color w:val="0000FF"/>
                    </w:rPr>
                  </w:pPr>
                  <w:r>
                    <w:rPr>
                      <w:color w:val="0000FF"/>
                    </w:rPr>
                    <w:t>50</w:t>
                  </w:r>
                </w:p>
              </w:tc>
              <w:tc>
                <w:tcPr>
                  <w:tcW w:w="500" w:type="pct"/>
                  <w:shd w:val="clear" w:color="auto" w:fill="auto"/>
                  <w:vAlign w:val="center"/>
                </w:tcPr>
                <w:p w14:paraId="6FFA8F70">
                  <w:pPr>
                    <w:pStyle w:val="29"/>
                    <w:rPr>
                      <w:color w:val="0000FF"/>
                    </w:rPr>
                  </w:pPr>
                  <w:r>
                    <w:rPr>
                      <w:color w:val="0000FF"/>
                    </w:rPr>
                    <w:t>200</w:t>
                  </w:r>
                </w:p>
              </w:tc>
              <w:tc>
                <w:tcPr>
                  <w:tcW w:w="717" w:type="pct"/>
                  <w:shd w:val="clear" w:color="auto" w:fill="auto"/>
                  <w:vAlign w:val="center"/>
                </w:tcPr>
                <w:p w14:paraId="7A5DA9FB">
                  <w:pPr>
                    <w:pStyle w:val="29"/>
                    <w:rPr>
                      <w:color w:val="0000FF"/>
                    </w:rPr>
                  </w:pPr>
                  <w:r>
                    <w:rPr>
                      <w:color w:val="0000FF"/>
                    </w:rPr>
                    <w:t>75</w:t>
                  </w:r>
                </w:p>
              </w:tc>
              <w:tc>
                <w:tcPr>
                  <w:tcW w:w="536" w:type="pct"/>
                  <w:shd w:val="clear" w:color="auto" w:fill="auto"/>
                  <w:vAlign w:val="center"/>
                </w:tcPr>
                <w:p w14:paraId="764EEA68">
                  <w:pPr>
                    <w:pStyle w:val="29"/>
                    <w:rPr>
                      <w:color w:val="0000FF"/>
                    </w:rPr>
                  </w:pPr>
                  <w:r>
                    <w:rPr>
                      <w:color w:val="0000FF"/>
                    </w:rPr>
                    <w:t>100</w:t>
                  </w:r>
                </w:p>
              </w:tc>
            </w:tr>
            <w:tr w14:paraId="6C0F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6D7C0689">
                  <w:pPr>
                    <w:pStyle w:val="29"/>
                    <w:rPr>
                      <w:color w:val="0000FF"/>
                    </w:rPr>
                  </w:pPr>
                </w:p>
              </w:tc>
              <w:tc>
                <w:tcPr>
                  <w:tcW w:w="574" w:type="pct"/>
                  <w:vAlign w:val="center"/>
                </w:tcPr>
                <w:p w14:paraId="4A13A869">
                  <w:pPr>
                    <w:pStyle w:val="29"/>
                    <w:rPr>
                      <w:color w:val="0000FF"/>
                    </w:rPr>
                  </w:pPr>
                  <w:r>
                    <w:rPr>
                      <w:color w:val="0000FF"/>
                    </w:rPr>
                    <w:t>效率</w:t>
                  </w:r>
                </w:p>
              </w:tc>
              <w:tc>
                <w:tcPr>
                  <w:tcW w:w="608" w:type="pct"/>
                  <w:shd w:val="clear" w:color="auto" w:fill="auto"/>
                  <w:vAlign w:val="center"/>
                </w:tcPr>
                <w:p w14:paraId="6F309AAF">
                  <w:pPr>
                    <w:pStyle w:val="37"/>
                    <w:rPr>
                      <w:color w:val="0000FF"/>
                    </w:rPr>
                  </w:pPr>
                  <w:r>
                    <w:rPr>
                      <w:rFonts w:hint="eastAsia"/>
                      <w:color w:val="0000FF"/>
                    </w:rPr>
                    <w:t>0</w:t>
                  </w:r>
                </w:p>
              </w:tc>
              <w:tc>
                <w:tcPr>
                  <w:tcW w:w="547" w:type="pct"/>
                  <w:vAlign w:val="center"/>
                </w:tcPr>
                <w:p w14:paraId="36AB23E9">
                  <w:pPr>
                    <w:pStyle w:val="29"/>
                    <w:rPr>
                      <w:color w:val="0000FF"/>
                    </w:rPr>
                  </w:pPr>
                  <w:r>
                    <w:rPr>
                      <w:rFonts w:hint="eastAsia"/>
                      <w:color w:val="0000FF"/>
                    </w:rPr>
                    <w:t>0</w:t>
                  </w:r>
                </w:p>
              </w:tc>
              <w:tc>
                <w:tcPr>
                  <w:tcW w:w="561" w:type="pct"/>
                  <w:vAlign w:val="center"/>
                </w:tcPr>
                <w:p w14:paraId="5E8D70B1">
                  <w:pPr>
                    <w:pStyle w:val="29"/>
                    <w:rPr>
                      <w:color w:val="0000FF"/>
                    </w:rPr>
                  </w:pPr>
                  <w:r>
                    <w:rPr>
                      <w:rFonts w:hint="eastAsia"/>
                      <w:color w:val="0000FF"/>
                    </w:rPr>
                    <w:t>0</w:t>
                  </w:r>
                </w:p>
              </w:tc>
              <w:tc>
                <w:tcPr>
                  <w:tcW w:w="528" w:type="pct"/>
                  <w:vAlign w:val="center"/>
                </w:tcPr>
                <w:p w14:paraId="73292857">
                  <w:pPr>
                    <w:pStyle w:val="29"/>
                    <w:rPr>
                      <w:color w:val="0000FF"/>
                    </w:rPr>
                  </w:pPr>
                  <w:r>
                    <w:rPr>
                      <w:rFonts w:hint="eastAsia"/>
                      <w:color w:val="0000FF"/>
                    </w:rPr>
                    <w:t>0</w:t>
                  </w:r>
                </w:p>
              </w:tc>
              <w:tc>
                <w:tcPr>
                  <w:tcW w:w="500" w:type="pct"/>
                  <w:vAlign w:val="center"/>
                </w:tcPr>
                <w:p w14:paraId="0CFD7CFB">
                  <w:pPr>
                    <w:pStyle w:val="29"/>
                    <w:rPr>
                      <w:color w:val="0000FF"/>
                    </w:rPr>
                  </w:pPr>
                  <w:r>
                    <w:rPr>
                      <w:rFonts w:hint="eastAsia"/>
                      <w:color w:val="0000FF"/>
                    </w:rPr>
                    <w:t>0</w:t>
                  </w:r>
                </w:p>
              </w:tc>
              <w:tc>
                <w:tcPr>
                  <w:tcW w:w="717" w:type="pct"/>
                  <w:vAlign w:val="center"/>
                </w:tcPr>
                <w:p w14:paraId="73B067E5">
                  <w:pPr>
                    <w:pStyle w:val="29"/>
                    <w:rPr>
                      <w:color w:val="0000FF"/>
                    </w:rPr>
                  </w:pPr>
                  <w:r>
                    <w:rPr>
                      <w:rFonts w:hint="eastAsia"/>
                      <w:color w:val="0000FF"/>
                    </w:rPr>
                    <w:t>0</w:t>
                  </w:r>
                </w:p>
              </w:tc>
              <w:tc>
                <w:tcPr>
                  <w:tcW w:w="536" w:type="pct"/>
                  <w:vAlign w:val="center"/>
                </w:tcPr>
                <w:p w14:paraId="518EBDAB">
                  <w:pPr>
                    <w:pStyle w:val="29"/>
                    <w:rPr>
                      <w:color w:val="0000FF"/>
                    </w:rPr>
                  </w:pPr>
                  <w:r>
                    <w:rPr>
                      <w:rFonts w:hint="eastAsia"/>
                      <w:color w:val="0000FF"/>
                    </w:rPr>
                    <w:t>0</w:t>
                  </w:r>
                </w:p>
              </w:tc>
            </w:tr>
            <w:tr w14:paraId="6988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1B051152">
                  <w:pPr>
                    <w:pStyle w:val="29"/>
                    <w:rPr>
                      <w:color w:val="0000FF"/>
                    </w:rPr>
                  </w:pPr>
                  <w:r>
                    <w:rPr>
                      <w:color w:val="0000FF"/>
                    </w:rPr>
                    <w:t>调节</w:t>
                  </w:r>
                </w:p>
              </w:tc>
              <w:tc>
                <w:tcPr>
                  <w:tcW w:w="574" w:type="pct"/>
                  <w:vAlign w:val="center"/>
                </w:tcPr>
                <w:p w14:paraId="2C76252C">
                  <w:pPr>
                    <w:pStyle w:val="29"/>
                    <w:rPr>
                      <w:color w:val="0000FF"/>
                    </w:rPr>
                  </w:pPr>
                  <w:r>
                    <w:rPr>
                      <w:color w:val="0000FF"/>
                    </w:rPr>
                    <w:t>进水</w:t>
                  </w:r>
                </w:p>
              </w:tc>
              <w:tc>
                <w:tcPr>
                  <w:tcW w:w="608" w:type="pct"/>
                  <w:shd w:val="clear" w:color="auto" w:fill="auto"/>
                  <w:vAlign w:val="center"/>
                </w:tcPr>
                <w:p w14:paraId="4B7CCD2B">
                  <w:pPr>
                    <w:pStyle w:val="37"/>
                    <w:rPr>
                      <w:color w:val="0000FF"/>
                    </w:rPr>
                  </w:pPr>
                  <w:r>
                    <w:rPr>
                      <w:color w:val="0000FF"/>
                    </w:rPr>
                    <w:t>3500</w:t>
                  </w:r>
                </w:p>
              </w:tc>
              <w:tc>
                <w:tcPr>
                  <w:tcW w:w="547" w:type="pct"/>
                  <w:shd w:val="clear" w:color="auto" w:fill="auto"/>
                  <w:vAlign w:val="center"/>
                </w:tcPr>
                <w:p w14:paraId="0DD7CFB4">
                  <w:pPr>
                    <w:pStyle w:val="29"/>
                    <w:rPr>
                      <w:color w:val="0000FF"/>
                    </w:rPr>
                  </w:pPr>
                  <w:r>
                    <w:rPr>
                      <w:color w:val="0000FF"/>
                    </w:rPr>
                    <w:t>1000</w:t>
                  </w:r>
                </w:p>
              </w:tc>
              <w:tc>
                <w:tcPr>
                  <w:tcW w:w="561" w:type="pct"/>
                  <w:shd w:val="clear" w:color="auto" w:fill="auto"/>
                  <w:vAlign w:val="center"/>
                </w:tcPr>
                <w:p w14:paraId="2B47E124">
                  <w:pPr>
                    <w:pStyle w:val="29"/>
                    <w:rPr>
                      <w:color w:val="0000FF"/>
                    </w:rPr>
                  </w:pPr>
                  <w:r>
                    <w:rPr>
                      <w:color w:val="0000FF"/>
                    </w:rPr>
                    <w:t>800</w:t>
                  </w:r>
                </w:p>
              </w:tc>
              <w:tc>
                <w:tcPr>
                  <w:tcW w:w="528" w:type="pct"/>
                  <w:shd w:val="clear" w:color="auto" w:fill="auto"/>
                  <w:vAlign w:val="center"/>
                </w:tcPr>
                <w:p w14:paraId="7F94F71E">
                  <w:pPr>
                    <w:pStyle w:val="29"/>
                    <w:rPr>
                      <w:color w:val="0000FF"/>
                    </w:rPr>
                  </w:pPr>
                  <w:r>
                    <w:rPr>
                      <w:color w:val="0000FF"/>
                    </w:rPr>
                    <w:t>50</w:t>
                  </w:r>
                </w:p>
              </w:tc>
              <w:tc>
                <w:tcPr>
                  <w:tcW w:w="500" w:type="pct"/>
                  <w:shd w:val="clear" w:color="auto" w:fill="auto"/>
                  <w:vAlign w:val="center"/>
                </w:tcPr>
                <w:p w14:paraId="10D94053">
                  <w:pPr>
                    <w:pStyle w:val="29"/>
                    <w:rPr>
                      <w:color w:val="0000FF"/>
                    </w:rPr>
                  </w:pPr>
                  <w:r>
                    <w:rPr>
                      <w:color w:val="0000FF"/>
                    </w:rPr>
                    <w:t>200</w:t>
                  </w:r>
                </w:p>
              </w:tc>
              <w:tc>
                <w:tcPr>
                  <w:tcW w:w="717" w:type="pct"/>
                  <w:shd w:val="clear" w:color="auto" w:fill="auto"/>
                  <w:vAlign w:val="center"/>
                </w:tcPr>
                <w:p w14:paraId="79855E88">
                  <w:pPr>
                    <w:pStyle w:val="29"/>
                    <w:rPr>
                      <w:color w:val="0000FF"/>
                    </w:rPr>
                  </w:pPr>
                  <w:r>
                    <w:rPr>
                      <w:color w:val="0000FF"/>
                    </w:rPr>
                    <w:t>75</w:t>
                  </w:r>
                </w:p>
              </w:tc>
              <w:tc>
                <w:tcPr>
                  <w:tcW w:w="536" w:type="pct"/>
                  <w:shd w:val="clear" w:color="auto" w:fill="auto"/>
                  <w:vAlign w:val="center"/>
                </w:tcPr>
                <w:p w14:paraId="0C8871F5">
                  <w:pPr>
                    <w:pStyle w:val="29"/>
                    <w:rPr>
                      <w:color w:val="0000FF"/>
                    </w:rPr>
                  </w:pPr>
                  <w:r>
                    <w:rPr>
                      <w:color w:val="0000FF"/>
                    </w:rPr>
                    <w:t>100</w:t>
                  </w:r>
                </w:p>
              </w:tc>
            </w:tr>
            <w:tr w14:paraId="538A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351167B3">
                  <w:pPr>
                    <w:pStyle w:val="29"/>
                    <w:rPr>
                      <w:color w:val="0000FF"/>
                    </w:rPr>
                  </w:pPr>
                </w:p>
              </w:tc>
              <w:tc>
                <w:tcPr>
                  <w:tcW w:w="574" w:type="pct"/>
                  <w:vAlign w:val="center"/>
                </w:tcPr>
                <w:p w14:paraId="77C40AD3">
                  <w:pPr>
                    <w:pStyle w:val="29"/>
                    <w:rPr>
                      <w:color w:val="0000FF"/>
                    </w:rPr>
                  </w:pPr>
                  <w:r>
                    <w:rPr>
                      <w:color w:val="0000FF"/>
                    </w:rPr>
                    <w:t>出水</w:t>
                  </w:r>
                </w:p>
              </w:tc>
              <w:tc>
                <w:tcPr>
                  <w:tcW w:w="608" w:type="pct"/>
                  <w:shd w:val="clear" w:color="auto" w:fill="auto"/>
                  <w:vAlign w:val="center"/>
                </w:tcPr>
                <w:p w14:paraId="36E047D3">
                  <w:pPr>
                    <w:pStyle w:val="37"/>
                    <w:rPr>
                      <w:color w:val="0000FF"/>
                    </w:rPr>
                  </w:pPr>
                  <w:r>
                    <w:rPr>
                      <w:color w:val="0000FF"/>
                    </w:rPr>
                    <w:t>3500</w:t>
                  </w:r>
                </w:p>
              </w:tc>
              <w:tc>
                <w:tcPr>
                  <w:tcW w:w="547" w:type="pct"/>
                  <w:shd w:val="clear" w:color="auto" w:fill="auto"/>
                  <w:vAlign w:val="center"/>
                </w:tcPr>
                <w:p w14:paraId="55303734">
                  <w:pPr>
                    <w:pStyle w:val="29"/>
                    <w:rPr>
                      <w:color w:val="0000FF"/>
                    </w:rPr>
                  </w:pPr>
                  <w:r>
                    <w:rPr>
                      <w:color w:val="0000FF"/>
                    </w:rPr>
                    <w:t>1000</w:t>
                  </w:r>
                </w:p>
              </w:tc>
              <w:tc>
                <w:tcPr>
                  <w:tcW w:w="561" w:type="pct"/>
                  <w:shd w:val="clear" w:color="auto" w:fill="auto"/>
                  <w:vAlign w:val="center"/>
                </w:tcPr>
                <w:p w14:paraId="35C29FA8">
                  <w:pPr>
                    <w:pStyle w:val="29"/>
                    <w:rPr>
                      <w:color w:val="0000FF"/>
                    </w:rPr>
                  </w:pPr>
                  <w:r>
                    <w:rPr>
                      <w:color w:val="0000FF"/>
                    </w:rPr>
                    <w:t>800</w:t>
                  </w:r>
                </w:p>
              </w:tc>
              <w:tc>
                <w:tcPr>
                  <w:tcW w:w="528" w:type="pct"/>
                  <w:shd w:val="clear" w:color="auto" w:fill="auto"/>
                  <w:vAlign w:val="center"/>
                </w:tcPr>
                <w:p w14:paraId="0673BABD">
                  <w:pPr>
                    <w:pStyle w:val="29"/>
                    <w:rPr>
                      <w:color w:val="0000FF"/>
                    </w:rPr>
                  </w:pPr>
                  <w:r>
                    <w:rPr>
                      <w:color w:val="0000FF"/>
                    </w:rPr>
                    <w:t>50</w:t>
                  </w:r>
                </w:p>
              </w:tc>
              <w:tc>
                <w:tcPr>
                  <w:tcW w:w="500" w:type="pct"/>
                  <w:shd w:val="clear" w:color="auto" w:fill="auto"/>
                  <w:vAlign w:val="center"/>
                </w:tcPr>
                <w:p w14:paraId="20CF9BCF">
                  <w:pPr>
                    <w:pStyle w:val="29"/>
                    <w:rPr>
                      <w:color w:val="0000FF"/>
                    </w:rPr>
                  </w:pPr>
                  <w:r>
                    <w:rPr>
                      <w:color w:val="0000FF"/>
                    </w:rPr>
                    <w:t>200</w:t>
                  </w:r>
                </w:p>
              </w:tc>
              <w:tc>
                <w:tcPr>
                  <w:tcW w:w="717" w:type="pct"/>
                  <w:shd w:val="clear" w:color="auto" w:fill="auto"/>
                  <w:vAlign w:val="center"/>
                </w:tcPr>
                <w:p w14:paraId="5799220C">
                  <w:pPr>
                    <w:pStyle w:val="29"/>
                    <w:rPr>
                      <w:color w:val="0000FF"/>
                    </w:rPr>
                  </w:pPr>
                  <w:r>
                    <w:rPr>
                      <w:color w:val="0000FF"/>
                    </w:rPr>
                    <w:t>75</w:t>
                  </w:r>
                </w:p>
              </w:tc>
              <w:tc>
                <w:tcPr>
                  <w:tcW w:w="536" w:type="pct"/>
                  <w:shd w:val="clear" w:color="auto" w:fill="auto"/>
                  <w:vAlign w:val="center"/>
                </w:tcPr>
                <w:p w14:paraId="28BC1C00">
                  <w:pPr>
                    <w:pStyle w:val="29"/>
                    <w:rPr>
                      <w:color w:val="0000FF"/>
                    </w:rPr>
                  </w:pPr>
                  <w:r>
                    <w:rPr>
                      <w:color w:val="0000FF"/>
                    </w:rPr>
                    <w:t>100</w:t>
                  </w:r>
                </w:p>
              </w:tc>
            </w:tr>
            <w:tr w14:paraId="2137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12AED15B">
                  <w:pPr>
                    <w:pStyle w:val="29"/>
                    <w:rPr>
                      <w:color w:val="0000FF"/>
                    </w:rPr>
                  </w:pPr>
                </w:p>
              </w:tc>
              <w:tc>
                <w:tcPr>
                  <w:tcW w:w="574" w:type="pct"/>
                  <w:vAlign w:val="center"/>
                </w:tcPr>
                <w:p w14:paraId="57A24FD2">
                  <w:pPr>
                    <w:pStyle w:val="29"/>
                    <w:rPr>
                      <w:color w:val="0000FF"/>
                    </w:rPr>
                  </w:pPr>
                  <w:r>
                    <w:rPr>
                      <w:color w:val="0000FF"/>
                    </w:rPr>
                    <w:t>效率</w:t>
                  </w:r>
                </w:p>
              </w:tc>
              <w:tc>
                <w:tcPr>
                  <w:tcW w:w="608" w:type="pct"/>
                  <w:shd w:val="clear" w:color="auto" w:fill="auto"/>
                  <w:vAlign w:val="center"/>
                </w:tcPr>
                <w:p w14:paraId="08DD1B3C">
                  <w:pPr>
                    <w:pStyle w:val="37"/>
                    <w:rPr>
                      <w:color w:val="0000FF"/>
                    </w:rPr>
                  </w:pPr>
                  <w:r>
                    <w:rPr>
                      <w:rFonts w:hint="eastAsia"/>
                      <w:color w:val="0000FF"/>
                    </w:rPr>
                    <w:t>0</w:t>
                  </w:r>
                </w:p>
              </w:tc>
              <w:tc>
                <w:tcPr>
                  <w:tcW w:w="547" w:type="pct"/>
                  <w:shd w:val="clear" w:color="auto" w:fill="auto"/>
                  <w:vAlign w:val="center"/>
                </w:tcPr>
                <w:p w14:paraId="256A8E83">
                  <w:pPr>
                    <w:pStyle w:val="29"/>
                    <w:rPr>
                      <w:color w:val="0000FF"/>
                    </w:rPr>
                  </w:pPr>
                  <w:r>
                    <w:rPr>
                      <w:rFonts w:hint="eastAsia"/>
                      <w:color w:val="0000FF"/>
                    </w:rPr>
                    <w:t>0</w:t>
                  </w:r>
                </w:p>
              </w:tc>
              <w:tc>
                <w:tcPr>
                  <w:tcW w:w="561" w:type="pct"/>
                  <w:shd w:val="clear" w:color="auto" w:fill="auto"/>
                  <w:vAlign w:val="center"/>
                </w:tcPr>
                <w:p w14:paraId="03E9F689">
                  <w:pPr>
                    <w:pStyle w:val="29"/>
                    <w:rPr>
                      <w:color w:val="0000FF"/>
                    </w:rPr>
                  </w:pPr>
                  <w:r>
                    <w:rPr>
                      <w:rFonts w:hint="eastAsia"/>
                      <w:color w:val="0000FF"/>
                    </w:rPr>
                    <w:t>0</w:t>
                  </w:r>
                </w:p>
              </w:tc>
              <w:tc>
                <w:tcPr>
                  <w:tcW w:w="528" w:type="pct"/>
                  <w:shd w:val="clear" w:color="auto" w:fill="auto"/>
                  <w:vAlign w:val="center"/>
                </w:tcPr>
                <w:p w14:paraId="41A38910">
                  <w:pPr>
                    <w:pStyle w:val="29"/>
                    <w:rPr>
                      <w:color w:val="0000FF"/>
                    </w:rPr>
                  </w:pPr>
                  <w:r>
                    <w:rPr>
                      <w:rFonts w:hint="eastAsia"/>
                      <w:color w:val="0000FF"/>
                    </w:rPr>
                    <w:t>0</w:t>
                  </w:r>
                </w:p>
              </w:tc>
              <w:tc>
                <w:tcPr>
                  <w:tcW w:w="500" w:type="pct"/>
                  <w:shd w:val="clear" w:color="auto" w:fill="auto"/>
                  <w:vAlign w:val="center"/>
                </w:tcPr>
                <w:p w14:paraId="39CDF37E">
                  <w:pPr>
                    <w:pStyle w:val="29"/>
                    <w:rPr>
                      <w:color w:val="0000FF"/>
                    </w:rPr>
                  </w:pPr>
                  <w:r>
                    <w:rPr>
                      <w:rFonts w:hint="eastAsia"/>
                      <w:color w:val="0000FF"/>
                    </w:rPr>
                    <w:t>0</w:t>
                  </w:r>
                </w:p>
              </w:tc>
              <w:tc>
                <w:tcPr>
                  <w:tcW w:w="717" w:type="pct"/>
                  <w:shd w:val="clear" w:color="auto" w:fill="auto"/>
                  <w:vAlign w:val="center"/>
                </w:tcPr>
                <w:p w14:paraId="2D0309F5">
                  <w:pPr>
                    <w:pStyle w:val="29"/>
                    <w:rPr>
                      <w:color w:val="0000FF"/>
                    </w:rPr>
                  </w:pPr>
                  <w:r>
                    <w:rPr>
                      <w:rFonts w:hint="eastAsia"/>
                      <w:color w:val="0000FF"/>
                    </w:rPr>
                    <w:t>0</w:t>
                  </w:r>
                </w:p>
              </w:tc>
              <w:tc>
                <w:tcPr>
                  <w:tcW w:w="536" w:type="pct"/>
                  <w:shd w:val="clear" w:color="auto" w:fill="auto"/>
                  <w:vAlign w:val="center"/>
                </w:tcPr>
                <w:p w14:paraId="68A1C608">
                  <w:pPr>
                    <w:pStyle w:val="29"/>
                    <w:rPr>
                      <w:color w:val="0000FF"/>
                    </w:rPr>
                  </w:pPr>
                  <w:r>
                    <w:rPr>
                      <w:rFonts w:hint="eastAsia"/>
                      <w:color w:val="0000FF"/>
                    </w:rPr>
                    <w:t>0</w:t>
                  </w:r>
                </w:p>
              </w:tc>
            </w:tr>
            <w:tr w14:paraId="39F1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57E4A489">
                  <w:pPr>
                    <w:pStyle w:val="29"/>
                    <w:rPr>
                      <w:color w:val="0000FF"/>
                    </w:rPr>
                  </w:pPr>
                  <w:r>
                    <w:rPr>
                      <w:color w:val="0000FF"/>
                    </w:rPr>
                    <w:t>气浮</w:t>
                  </w:r>
                </w:p>
              </w:tc>
              <w:tc>
                <w:tcPr>
                  <w:tcW w:w="574" w:type="pct"/>
                  <w:vAlign w:val="center"/>
                </w:tcPr>
                <w:p w14:paraId="79890E08">
                  <w:pPr>
                    <w:pStyle w:val="29"/>
                    <w:rPr>
                      <w:color w:val="0000FF"/>
                    </w:rPr>
                  </w:pPr>
                  <w:r>
                    <w:rPr>
                      <w:color w:val="0000FF"/>
                    </w:rPr>
                    <w:t>进水</w:t>
                  </w:r>
                </w:p>
              </w:tc>
              <w:tc>
                <w:tcPr>
                  <w:tcW w:w="608" w:type="pct"/>
                  <w:shd w:val="clear" w:color="auto" w:fill="auto"/>
                  <w:vAlign w:val="center"/>
                </w:tcPr>
                <w:p w14:paraId="19EC4930">
                  <w:pPr>
                    <w:pStyle w:val="37"/>
                    <w:rPr>
                      <w:color w:val="0000FF"/>
                    </w:rPr>
                  </w:pPr>
                  <w:r>
                    <w:rPr>
                      <w:color w:val="0000FF"/>
                    </w:rPr>
                    <w:t>3500</w:t>
                  </w:r>
                </w:p>
              </w:tc>
              <w:tc>
                <w:tcPr>
                  <w:tcW w:w="547" w:type="pct"/>
                  <w:shd w:val="clear" w:color="auto" w:fill="auto"/>
                  <w:vAlign w:val="center"/>
                </w:tcPr>
                <w:p w14:paraId="18C068B8">
                  <w:pPr>
                    <w:pStyle w:val="29"/>
                    <w:rPr>
                      <w:color w:val="0000FF"/>
                    </w:rPr>
                  </w:pPr>
                  <w:r>
                    <w:rPr>
                      <w:color w:val="0000FF"/>
                    </w:rPr>
                    <w:t>1000</w:t>
                  </w:r>
                </w:p>
              </w:tc>
              <w:tc>
                <w:tcPr>
                  <w:tcW w:w="561" w:type="pct"/>
                  <w:shd w:val="clear" w:color="auto" w:fill="auto"/>
                  <w:vAlign w:val="center"/>
                </w:tcPr>
                <w:p w14:paraId="287E09C0">
                  <w:pPr>
                    <w:pStyle w:val="29"/>
                    <w:rPr>
                      <w:color w:val="0000FF"/>
                    </w:rPr>
                  </w:pPr>
                  <w:r>
                    <w:rPr>
                      <w:color w:val="0000FF"/>
                    </w:rPr>
                    <w:t>800</w:t>
                  </w:r>
                </w:p>
              </w:tc>
              <w:tc>
                <w:tcPr>
                  <w:tcW w:w="528" w:type="pct"/>
                  <w:shd w:val="clear" w:color="auto" w:fill="auto"/>
                  <w:vAlign w:val="center"/>
                </w:tcPr>
                <w:p w14:paraId="0648D95B">
                  <w:pPr>
                    <w:pStyle w:val="29"/>
                    <w:rPr>
                      <w:color w:val="0000FF"/>
                    </w:rPr>
                  </w:pPr>
                  <w:r>
                    <w:rPr>
                      <w:color w:val="0000FF"/>
                    </w:rPr>
                    <w:t>50</w:t>
                  </w:r>
                </w:p>
              </w:tc>
              <w:tc>
                <w:tcPr>
                  <w:tcW w:w="500" w:type="pct"/>
                  <w:shd w:val="clear" w:color="auto" w:fill="auto"/>
                  <w:vAlign w:val="center"/>
                </w:tcPr>
                <w:p w14:paraId="33C719ED">
                  <w:pPr>
                    <w:pStyle w:val="29"/>
                    <w:rPr>
                      <w:color w:val="0000FF"/>
                    </w:rPr>
                  </w:pPr>
                  <w:r>
                    <w:rPr>
                      <w:color w:val="0000FF"/>
                    </w:rPr>
                    <w:t>200</w:t>
                  </w:r>
                </w:p>
              </w:tc>
              <w:tc>
                <w:tcPr>
                  <w:tcW w:w="717" w:type="pct"/>
                  <w:shd w:val="clear" w:color="auto" w:fill="auto"/>
                  <w:vAlign w:val="center"/>
                </w:tcPr>
                <w:p w14:paraId="783A76D4">
                  <w:pPr>
                    <w:pStyle w:val="29"/>
                    <w:rPr>
                      <w:color w:val="0000FF"/>
                    </w:rPr>
                  </w:pPr>
                  <w:r>
                    <w:rPr>
                      <w:color w:val="0000FF"/>
                    </w:rPr>
                    <w:t>75</w:t>
                  </w:r>
                </w:p>
              </w:tc>
              <w:tc>
                <w:tcPr>
                  <w:tcW w:w="536" w:type="pct"/>
                  <w:shd w:val="clear" w:color="auto" w:fill="auto"/>
                  <w:vAlign w:val="center"/>
                </w:tcPr>
                <w:p w14:paraId="75EDAC22">
                  <w:pPr>
                    <w:pStyle w:val="29"/>
                    <w:rPr>
                      <w:color w:val="0000FF"/>
                    </w:rPr>
                  </w:pPr>
                  <w:r>
                    <w:rPr>
                      <w:color w:val="0000FF"/>
                    </w:rPr>
                    <w:t>100</w:t>
                  </w:r>
                </w:p>
              </w:tc>
            </w:tr>
            <w:tr w14:paraId="23B3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007304A7">
                  <w:pPr>
                    <w:pStyle w:val="29"/>
                    <w:rPr>
                      <w:color w:val="0000FF"/>
                    </w:rPr>
                  </w:pPr>
                </w:p>
              </w:tc>
              <w:tc>
                <w:tcPr>
                  <w:tcW w:w="574" w:type="pct"/>
                  <w:vAlign w:val="center"/>
                </w:tcPr>
                <w:p w14:paraId="57862779">
                  <w:pPr>
                    <w:pStyle w:val="29"/>
                    <w:rPr>
                      <w:color w:val="0000FF"/>
                    </w:rPr>
                  </w:pPr>
                  <w:r>
                    <w:rPr>
                      <w:color w:val="0000FF"/>
                    </w:rPr>
                    <w:t>出水</w:t>
                  </w:r>
                </w:p>
              </w:tc>
              <w:tc>
                <w:tcPr>
                  <w:tcW w:w="608" w:type="pct"/>
                  <w:vAlign w:val="center"/>
                </w:tcPr>
                <w:p w14:paraId="50A53EA0">
                  <w:pPr>
                    <w:pStyle w:val="29"/>
                    <w:rPr>
                      <w:color w:val="0000FF"/>
                    </w:rPr>
                  </w:pPr>
                  <w:r>
                    <w:rPr>
                      <w:rFonts w:hint="eastAsia"/>
                      <w:color w:val="0000FF"/>
                    </w:rPr>
                    <w:t>2275</w:t>
                  </w:r>
                </w:p>
              </w:tc>
              <w:tc>
                <w:tcPr>
                  <w:tcW w:w="547" w:type="pct"/>
                  <w:vAlign w:val="center"/>
                </w:tcPr>
                <w:p w14:paraId="6E60541E">
                  <w:pPr>
                    <w:pStyle w:val="29"/>
                    <w:rPr>
                      <w:color w:val="0000FF"/>
                    </w:rPr>
                  </w:pPr>
                  <w:r>
                    <w:rPr>
                      <w:rFonts w:hint="eastAsia"/>
                      <w:color w:val="0000FF"/>
                    </w:rPr>
                    <w:t>650</w:t>
                  </w:r>
                </w:p>
              </w:tc>
              <w:tc>
                <w:tcPr>
                  <w:tcW w:w="561" w:type="pct"/>
                  <w:vAlign w:val="center"/>
                </w:tcPr>
                <w:p w14:paraId="0087F47E">
                  <w:pPr>
                    <w:pStyle w:val="29"/>
                    <w:rPr>
                      <w:color w:val="0000FF"/>
                    </w:rPr>
                  </w:pPr>
                  <w:r>
                    <w:rPr>
                      <w:rFonts w:hint="eastAsia"/>
                      <w:color w:val="0000FF"/>
                    </w:rPr>
                    <w:t>480</w:t>
                  </w:r>
                </w:p>
              </w:tc>
              <w:tc>
                <w:tcPr>
                  <w:tcW w:w="528" w:type="pct"/>
                  <w:vAlign w:val="center"/>
                </w:tcPr>
                <w:p w14:paraId="7ABB4755">
                  <w:pPr>
                    <w:pStyle w:val="29"/>
                    <w:rPr>
                      <w:color w:val="0000FF"/>
                    </w:rPr>
                  </w:pPr>
                  <w:r>
                    <w:rPr>
                      <w:rFonts w:hint="eastAsia"/>
                      <w:color w:val="0000FF"/>
                    </w:rPr>
                    <w:t>50</w:t>
                  </w:r>
                </w:p>
              </w:tc>
              <w:tc>
                <w:tcPr>
                  <w:tcW w:w="500" w:type="pct"/>
                  <w:vAlign w:val="center"/>
                </w:tcPr>
                <w:p w14:paraId="7DAC859B">
                  <w:pPr>
                    <w:pStyle w:val="29"/>
                    <w:rPr>
                      <w:color w:val="0000FF"/>
                    </w:rPr>
                  </w:pPr>
                  <w:r>
                    <w:rPr>
                      <w:rFonts w:hint="eastAsia"/>
                      <w:color w:val="0000FF"/>
                    </w:rPr>
                    <w:t>80</w:t>
                  </w:r>
                </w:p>
              </w:tc>
              <w:tc>
                <w:tcPr>
                  <w:tcW w:w="717" w:type="pct"/>
                  <w:vAlign w:val="center"/>
                </w:tcPr>
                <w:p w14:paraId="5E8E8F1B">
                  <w:pPr>
                    <w:pStyle w:val="29"/>
                    <w:rPr>
                      <w:color w:val="0000FF"/>
                    </w:rPr>
                  </w:pPr>
                  <w:r>
                    <w:rPr>
                      <w:rFonts w:hint="eastAsia"/>
                      <w:color w:val="0000FF"/>
                    </w:rPr>
                    <w:t>45</w:t>
                  </w:r>
                </w:p>
              </w:tc>
              <w:tc>
                <w:tcPr>
                  <w:tcW w:w="536" w:type="pct"/>
                  <w:vAlign w:val="center"/>
                </w:tcPr>
                <w:p w14:paraId="1E14EC22">
                  <w:pPr>
                    <w:pStyle w:val="29"/>
                    <w:rPr>
                      <w:color w:val="0000FF"/>
                    </w:rPr>
                  </w:pPr>
                  <w:r>
                    <w:rPr>
                      <w:rFonts w:hint="eastAsia"/>
                      <w:color w:val="0000FF"/>
                    </w:rPr>
                    <w:t>60</w:t>
                  </w:r>
                </w:p>
              </w:tc>
            </w:tr>
            <w:tr w14:paraId="361C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3982C0C8">
                  <w:pPr>
                    <w:pStyle w:val="29"/>
                    <w:rPr>
                      <w:color w:val="0000FF"/>
                    </w:rPr>
                  </w:pPr>
                </w:p>
              </w:tc>
              <w:tc>
                <w:tcPr>
                  <w:tcW w:w="574" w:type="pct"/>
                  <w:vAlign w:val="center"/>
                </w:tcPr>
                <w:p w14:paraId="682A9B8F">
                  <w:pPr>
                    <w:pStyle w:val="29"/>
                    <w:rPr>
                      <w:color w:val="0000FF"/>
                    </w:rPr>
                  </w:pPr>
                  <w:r>
                    <w:rPr>
                      <w:color w:val="0000FF"/>
                    </w:rPr>
                    <w:t>效率</w:t>
                  </w:r>
                </w:p>
              </w:tc>
              <w:tc>
                <w:tcPr>
                  <w:tcW w:w="608" w:type="pct"/>
                  <w:vAlign w:val="center"/>
                </w:tcPr>
                <w:p w14:paraId="459EB429">
                  <w:pPr>
                    <w:pStyle w:val="29"/>
                    <w:rPr>
                      <w:color w:val="0000FF"/>
                    </w:rPr>
                  </w:pPr>
                  <w:r>
                    <w:rPr>
                      <w:rFonts w:hint="eastAsia"/>
                      <w:color w:val="0000FF"/>
                    </w:rPr>
                    <w:t>35</w:t>
                  </w:r>
                </w:p>
              </w:tc>
              <w:tc>
                <w:tcPr>
                  <w:tcW w:w="547" w:type="pct"/>
                  <w:vAlign w:val="center"/>
                </w:tcPr>
                <w:p w14:paraId="7472625B">
                  <w:pPr>
                    <w:pStyle w:val="29"/>
                    <w:rPr>
                      <w:color w:val="0000FF"/>
                    </w:rPr>
                  </w:pPr>
                  <w:r>
                    <w:rPr>
                      <w:rFonts w:hint="eastAsia"/>
                      <w:color w:val="0000FF"/>
                    </w:rPr>
                    <w:t>35</w:t>
                  </w:r>
                </w:p>
              </w:tc>
              <w:tc>
                <w:tcPr>
                  <w:tcW w:w="561" w:type="pct"/>
                  <w:vAlign w:val="center"/>
                </w:tcPr>
                <w:p w14:paraId="6334389D">
                  <w:pPr>
                    <w:pStyle w:val="29"/>
                    <w:rPr>
                      <w:color w:val="0000FF"/>
                    </w:rPr>
                  </w:pPr>
                  <w:r>
                    <w:rPr>
                      <w:rFonts w:hint="eastAsia"/>
                      <w:color w:val="0000FF"/>
                    </w:rPr>
                    <w:t>40</w:t>
                  </w:r>
                </w:p>
              </w:tc>
              <w:tc>
                <w:tcPr>
                  <w:tcW w:w="528" w:type="pct"/>
                  <w:vAlign w:val="center"/>
                </w:tcPr>
                <w:p w14:paraId="656CCD1A">
                  <w:pPr>
                    <w:pStyle w:val="29"/>
                    <w:rPr>
                      <w:color w:val="0000FF"/>
                    </w:rPr>
                  </w:pPr>
                  <w:r>
                    <w:rPr>
                      <w:rFonts w:hint="eastAsia"/>
                      <w:color w:val="0000FF"/>
                    </w:rPr>
                    <w:t>0</w:t>
                  </w:r>
                </w:p>
              </w:tc>
              <w:tc>
                <w:tcPr>
                  <w:tcW w:w="500" w:type="pct"/>
                  <w:vAlign w:val="center"/>
                </w:tcPr>
                <w:p w14:paraId="1A055822">
                  <w:pPr>
                    <w:pStyle w:val="29"/>
                    <w:rPr>
                      <w:color w:val="0000FF"/>
                    </w:rPr>
                  </w:pPr>
                  <w:r>
                    <w:rPr>
                      <w:rFonts w:hint="eastAsia"/>
                      <w:color w:val="0000FF"/>
                    </w:rPr>
                    <w:t>60</w:t>
                  </w:r>
                </w:p>
              </w:tc>
              <w:tc>
                <w:tcPr>
                  <w:tcW w:w="717" w:type="pct"/>
                  <w:vAlign w:val="center"/>
                </w:tcPr>
                <w:p w14:paraId="5A12C33A">
                  <w:pPr>
                    <w:pStyle w:val="29"/>
                    <w:rPr>
                      <w:color w:val="0000FF"/>
                    </w:rPr>
                  </w:pPr>
                  <w:r>
                    <w:rPr>
                      <w:rFonts w:hint="eastAsia"/>
                      <w:color w:val="0000FF"/>
                    </w:rPr>
                    <w:t>40</w:t>
                  </w:r>
                </w:p>
              </w:tc>
              <w:tc>
                <w:tcPr>
                  <w:tcW w:w="536" w:type="pct"/>
                  <w:vAlign w:val="center"/>
                </w:tcPr>
                <w:p w14:paraId="1CD86EB9">
                  <w:pPr>
                    <w:pStyle w:val="29"/>
                    <w:rPr>
                      <w:color w:val="0000FF"/>
                    </w:rPr>
                  </w:pPr>
                  <w:r>
                    <w:rPr>
                      <w:rFonts w:hint="eastAsia"/>
                      <w:color w:val="0000FF"/>
                    </w:rPr>
                    <w:t>40</w:t>
                  </w:r>
                </w:p>
              </w:tc>
            </w:tr>
            <w:tr w14:paraId="70F8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7EE22D1D">
                  <w:pPr>
                    <w:pStyle w:val="29"/>
                    <w:rPr>
                      <w:color w:val="0000FF"/>
                    </w:rPr>
                  </w:pPr>
                  <w:r>
                    <w:rPr>
                      <w:color w:val="0000FF"/>
                    </w:rPr>
                    <w:t>初沉</w:t>
                  </w:r>
                </w:p>
              </w:tc>
              <w:tc>
                <w:tcPr>
                  <w:tcW w:w="574" w:type="pct"/>
                  <w:shd w:val="clear" w:color="auto" w:fill="auto"/>
                  <w:vAlign w:val="center"/>
                </w:tcPr>
                <w:p w14:paraId="45E9BFD3">
                  <w:pPr>
                    <w:pStyle w:val="29"/>
                    <w:rPr>
                      <w:color w:val="0000FF"/>
                    </w:rPr>
                  </w:pPr>
                  <w:r>
                    <w:rPr>
                      <w:color w:val="0000FF"/>
                    </w:rPr>
                    <w:t>进水</w:t>
                  </w:r>
                </w:p>
              </w:tc>
              <w:tc>
                <w:tcPr>
                  <w:tcW w:w="608" w:type="pct"/>
                  <w:shd w:val="clear" w:color="auto" w:fill="auto"/>
                  <w:vAlign w:val="center"/>
                </w:tcPr>
                <w:p w14:paraId="3370D918">
                  <w:pPr>
                    <w:pStyle w:val="29"/>
                    <w:rPr>
                      <w:color w:val="0000FF"/>
                    </w:rPr>
                  </w:pPr>
                  <w:r>
                    <w:rPr>
                      <w:rFonts w:hint="eastAsia"/>
                      <w:color w:val="0000FF"/>
                    </w:rPr>
                    <w:t>2275</w:t>
                  </w:r>
                </w:p>
              </w:tc>
              <w:tc>
                <w:tcPr>
                  <w:tcW w:w="547" w:type="pct"/>
                  <w:shd w:val="clear" w:color="auto" w:fill="auto"/>
                  <w:vAlign w:val="center"/>
                </w:tcPr>
                <w:p w14:paraId="0B454696">
                  <w:pPr>
                    <w:pStyle w:val="29"/>
                    <w:rPr>
                      <w:color w:val="0000FF"/>
                    </w:rPr>
                  </w:pPr>
                  <w:r>
                    <w:rPr>
                      <w:rFonts w:hint="eastAsia"/>
                      <w:color w:val="0000FF"/>
                    </w:rPr>
                    <w:t>650</w:t>
                  </w:r>
                </w:p>
              </w:tc>
              <w:tc>
                <w:tcPr>
                  <w:tcW w:w="561" w:type="pct"/>
                  <w:shd w:val="clear" w:color="auto" w:fill="auto"/>
                  <w:vAlign w:val="center"/>
                </w:tcPr>
                <w:p w14:paraId="7BB1AC4D">
                  <w:pPr>
                    <w:pStyle w:val="29"/>
                    <w:rPr>
                      <w:color w:val="0000FF"/>
                    </w:rPr>
                  </w:pPr>
                  <w:r>
                    <w:rPr>
                      <w:rFonts w:hint="eastAsia"/>
                      <w:color w:val="0000FF"/>
                    </w:rPr>
                    <w:t>480</w:t>
                  </w:r>
                </w:p>
              </w:tc>
              <w:tc>
                <w:tcPr>
                  <w:tcW w:w="528" w:type="pct"/>
                  <w:shd w:val="clear" w:color="auto" w:fill="auto"/>
                  <w:vAlign w:val="center"/>
                </w:tcPr>
                <w:p w14:paraId="6A2BEE92">
                  <w:pPr>
                    <w:pStyle w:val="29"/>
                    <w:rPr>
                      <w:color w:val="0000FF"/>
                    </w:rPr>
                  </w:pPr>
                  <w:r>
                    <w:rPr>
                      <w:rFonts w:hint="eastAsia"/>
                      <w:color w:val="0000FF"/>
                    </w:rPr>
                    <w:t>50</w:t>
                  </w:r>
                </w:p>
              </w:tc>
              <w:tc>
                <w:tcPr>
                  <w:tcW w:w="500" w:type="pct"/>
                  <w:shd w:val="clear" w:color="auto" w:fill="auto"/>
                  <w:vAlign w:val="center"/>
                </w:tcPr>
                <w:p w14:paraId="326C46C2">
                  <w:pPr>
                    <w:pStyle w:val="29"/>
                    <w:rPr>
                      <w:color w:val="0000FF"/>
                    </w:rPr>
                  </w:pPr>
                  <w:r>
                    <w:rPr>
                      <w:rFonts w:hint="eastAsia"/>
                      <w:color w:val="0000FF"/>
                    </w:rPr>
                    <w:t>80</w:t>
                  </w:r>
                </w:p>
              </w:tc>
              <w:tc>
                <w:tcPr>
                  <w:tcW w:w="717" w:type="pct"/>
                  <w:shd w:val="clear" w:color="auto" w:fill="auto"/>
                  <w:vAlign w:val="center"/>
                </w:tcPr>
                <w:p w14:paraId="7EE353A5">
                  <w:pPr>
                    <w:pStyle w:val="29"/>
                    <w:rPr>
                      <w:color w:val="0000FF"/>
                    </w:rPr>
                  </w:pPr>
                  <w:r>
                    <w:rPr>
                      <w:rFonts w:hint="eastAsia"/>
                      <w:color w:val="0000FF"/>
                    </w:rPr>
                    <w:t>45</w:t>
                  </w:r>
                </w:p>
              </w:tc>
              <w:tc>
                <w:tcPr>
                  <w:tcW w:w="536" w:type="pct"/>
                  <w:shd w:val="clear" w:color="auto" w:fill="auto"/>
                  <w:vAlign w:val="center"/>
                </w:tcPr>
                <w:p w14:paraId="720CD29B">
                  <w:pPr>
                    <w:pStyle w:val="29"/>
                    <w:rPr>
                      <w:color w:val="0000FF"/>
                    </w:rPr>
                  </w:pPr>
                  <w:r>
                    <w:rPr>
                      <w:rFonts w:hint="eastAsia"/>
                      <w:color w:val="0000FF"/>
                    </w:rPr>
                    <w:t>60</w:t>
                  </w:r>
                </w:p>
              </w:tc>
            </w:tr>
            <w:tr w14:paraId="7C7A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066B4516">
                  <w:pPr>
                    <w:pStyle w:val="29"/>
                    <w:rPr>
                      <w:color w:val="0000FF"/>
                    </w:rPr>
                  </w:pPr>
                </w:p>
              </w:tc>
              <w:tc>
                <w:tcPr>
                  <w:tcW w:w="574" w:type="pct"/>
                  <w:shd w:val="clear" w:color="auto" w:fill="auto"/>
                  <w:vAlign w:val="center"/>
                </w:tcPr>
                <w:p w14:paraId="5C460BD2">
                  <w:pPr>
                    <w:pStyle w:val="29"/>
                    <w:rPr>
                      <w:color w:val="0000FF"/>
                    </w:rPr>
                  </w:pPr>
                  <w:r>
                    <w:rPr>
                      <w:color w:val="0000FF"/>
                    </w:rPr>
                    <w:t>出水</w:t>
                  </w:r>
                </w:p>
              </w:tc>
              <w:tc>
                <w:tcPr>
                  <w:tcW w:w="608" w:type="pct"/>
                  <w:vAlign w:val="center"/>
                </w:tcPr>
                <w:p w14:paraId="0640654A">
                  <w:pPr>
                    <w:pStyle w:val="29"/>
                    <w:rPr>
                      <w:color w:val="0000FF"/>
                    </w:rPr>
                  </w:pPr>
                  <w:r>
                    <w:rPr>
                      <w:rFonts w:hint="eastAsia"/>
                      <w:color w:val="0000FF"/>
                    </w:rPr>
                    <w:t>2047.5</w:t>
                  </w:r>
                </w:p>
              </w:tc>
              <w:tc>
                <w:tcPr>
                  <w:tcW w:w="547" w:type="pct"/>
                  <w:vAlign w:val="center"/>
                </w:tcPr>
                <w:p w14:paraId="6F7A6DDE">
                  <w:pPr>
                    <w:pStyle w:val="29"/>
                    <w:rPr>
                      <w:color w:val="0000FF"/>
                    </w:rPr>
                  </w:pPr>
                  <w:r>
                    <w:rPr>
                      <w:rFonts w:hint="eastAsia"/>
                      <w:color w:val="0000FF"/>
                    </w:rPr>
                    <w:t>585</w:t>
                  </w:r>
                </w:p>
              </w:tc>
              <w:tc>
                <w:tcPr>
                  <w:tcW w:w="561" w:type="pct"/>
                  <w:vAlign w:val="center"/>
                </w:tcPr>
                <w:p w14:paraId="46D5E15F">
                  <w:pPr>
                    <w:pStyle w:val="29"/>
                    <w:rPr>
                      <w:color w:val="0000FF"/>
                    </w:rPr>
                  </w:pPr>
                  <w:r>
                    <w:rPr>
                      <w:rFonts w:hint="eastAsia"/>
                      <w:color w:val="0000FF"/>
                    </w:rPr>
                    <w:t>360</w:t>
                  </w:r>
                </w:p>
              </w:tc>
              <w:tc>
                <w:tcPr>
                  <w:tcW w:w="528" w:type="pct"/>
                  <w:vAlign w:val="center"/>
                </w:tcPr>
                <w:p w14:paraId="1633DFF1">
                  <w:pPr>
                    <w:pStyle w:val="29"/>
                    <w:rPr>
                      <w:color w:val="0000FF"/>
                    </w:rPr>
                  </w:pPr>
                  <w:r>
                    <w:rPr>
                      <w:rFonts w:hint="eastAsia"/>
                      <w:color w:val="0000FF"/>
                    </w:rPr>
                    <w:t>50</w:t>
                  </w:r>
                </w:p>
              </w:tc>
              <w:tc>
                <w:tcPr>
                  <w:tcW w:w="500" w:type="pct"/>
                  <w:vAlign w:val="center"/>
                </w:tcPr>
                <w:p w14:paraId="5F22DFA4">
                  <w:pPr>
                    <w:pStyle w:val="29"/>
                    <w:rPr>
                      <w:color w:val="0000FF"/>
                    </w:rPr>
                  </w:pPr>
                  <w:r>
                    <w:rPr>
                      <w:rFonts w:hint="eastAsia"/>
                      <w:color w:val="0000FF"/>
                    </w:rPr>
                    <w:t>80</w:t>
                  </w:r>
                </w:p>
              </w:tc>
              <w:tc>
                <w:tcPr>
                  <w:tcW w:w="717" w:type="pct"/>
                  <w:vAlign w:val="center"/>
                </w:tcPr>
                <w:p w14:paraId="57EA6E2B">
                  <w:pPr>
                    <w:pStyle w:val="29"/>
                    <w:rPr>
                      <w:color w:val="0000FF"/>
                    </w:rPr>
                  </w:pPr>
                  <w:r>
                    <w:rPr>
                      <w:rFonts w:hint="eastAsia"/>
                      <w:color w:val="0000FF"/>
                    </w:rPr>
                    <w:t>42.75</w:t>
                  </w:r>
                </w:p>
              </w:tc>
              <w:tc>
                <w:tcPr>
                  <w:tcW w:w="536" w:type="pct"/>
                  <w:vAlign w:val="center"/>
                </w:tcPr>
                <w:p w14:paraId="57914E6C">
                  <w:pPr>
                    <w:pStyle w:val="29"/>
                    <w:rPr>
                      <w:color w:val="0000FF"/>
                    </w:rPr>
                  </w:pPr>
                  <w:r>
                    <w:rPr>
                      <w:rFonts w:hint="eastAsia"/>
                      <w:color w:val="0000FF"/>
                    </w:rPr>
                    <w:t>57</w:t>
                  </w:r>
                </w:p>
              </w:tc>
            </w:tr>
            <w:tr w14:paraId="20CE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7ED49F9A">
                  <w:pPr>
                    <w:pStyle w:val="29"/>
                    <w:rPr>
                      <w:color w:val="0000FF"/>
                    </w:rPr>
                  </w:pPr>
                </w:p>
              </w:tc>
              <w:tc>
                <w:tcPr>
                  <w:tcW w:w="574" w:type="pct"/>
                  <w:shd w:val="clear" w:color="auto" w:fill="auto"/>
                  <w:vAlign w:val="center"/>
                </w:tcPr>
                <w:p w14:paraId="3DFBE622">
                  <w:pPr>
                    <w:pStyle w:val="29"/>
                    <w:rPr>
                      <w:color w:val="0000FF"/>
                    </w:rPr>
                  </w:pPr>
                  <w:r>
                    <w:rPr>
                      <w:color w:val="0000FF"/>
                    </w:rPr>
                    <w:t>效率</w:t>
                  </w:r>
                </w:p>
              </w:tc>
              <w:tc>
                <w:tcPr>
                  <w:tcW w:w="608" w:type="pct"/>
                  <w:vAlign w:val="center"/>
                </w:tcPr>
                <w:p w14:paraId="03B884B1">
                  <w:pPr>
                    <w:pStyle w:val="29"/>
                    <w:rPr>
                      <w:color w:val="0000FF"/>
                    </w:rPr>
                  </w:pPr>
                  <w:r>
                    <w:rPr>
                      <w:rFonts w:hint="eastAsia"/>
                      <w:color w:val="0000FF"/>
                    </w:rPr>
                    <w:t>10</w:t>
                  </w:r>
                </w:p>
              </w:tc>
              <w:tc>
                <w:tcPr>
                  <w:tcW w:w="547" w:type="pct"/>
                  <w:vAlign w:val="center"/>
                </w:tcPr>
                <w:p w14:paraId="58C721B6">
                  <w:pPr>
                    <w:pStyle w:val="29"/>
                    <w:rPr>
                      <w:color w:val="0000FF"/>
                    </w:rPr>
                  </w:pPr>
                  <w:r>
                    <w:rPr>
                      <w:rFonts w:hint="eastAsia"/>
                      <w:color w:val="0000FF"/>
                    </w:rPr>
                    <w:t>10</w:t>
                  </w:r>
                </w:p>
              </w:tc>
              <w:tc>
                <w:tcPr>
                  <w:tcW w:w="561" w:type="pct"/>
                  <w:vAlign w:val="center"/>
                </w:tcPr>
                <w:p w14:paraId="6A6531C9">
                  <w:pPr>
                    <w:pStyle w:val="29"/>
                    <w:rPr>
                      <w:color w:val="0000FF"/>
                    </w:rPr>
                  </w:pPr>
                  <w:r>
                    <w:rPr>
                      <w:rFonts w:hint="eastAsia"/>
                      <w:color w:val="0000FF"/>
                    </w:rPr>
                    <w:t>25</w:t>
                  </w:r>
                </w:p>
              </w:tc>
              <w:tc>
                <w:tcPr>
                  <w:tcW w:w="528" w:type="pct"/>
                  <w:vAlign w:val="center"/>
                </w:tcPr>
                <w:p w14:paraId="4733D0B9">
                  <w:pPr>
                    <w:pStyle w:val="29"/>
                    <w:rPr>
                      <w:color w:val="0000FF"/>
                    </w:rPr>
                  </w:pPr>
                  <w:r>
                    <w:rPr>
                      <w:rFonts w:hint="eastAsia"/>
                      <w:color w:val="0000FF"/>
                    </w:rPr>
                    <w:t>0</w:t>
                  </w:r>
                </w:p>
              </w:tc>
              <w:tc>
                <w:tcPr>
                  <w:tcW w:w="500" w:type="pct"/>
                  <w:vAlign w:val="center"/>
                </w:tcPr>
                <w:p w14:paraId="29DB27D8">
                  <w:pPr>
                    <w:pStyle w:val="29"/>
                    <w:rPr>
                      <w:color w:val="0000FF"/>
                    </w:rPr>
                  </w:pPr>
                  <w:r>
                    <w:rPr>
                      <w:rFonts w:hint="eastAsia"/>
                      <w:color w:val="0000FF"/>
                    </w:rPr>
                    <w:t>0</w:t>
                  </w:r>
                </w:p>
              </w:tc>
              <w:tc>
                <w:tcPr>
                  <w:tcW w:w="717" w:type="pct"/>
                  <w:vAlign w:val="center"/>
                </w:tcPr>
                <w:p w14:paraId="57944CC1">
                  <w:pPr>
                    <w:pStyle w:val="29"/>
                    <w:rPr>
                      <w:color w:val="0000FF"/>
                    </w:rPr>
                  </w:pPr>
                  <w:r>
                    <w:rPr>
                      <w:rFonts w:hint="eastAsia"/>
                      <w:color w:val="0000FF"/>
                    </w:rPr>
                    <w:t>5</w:t>
                  </w:r>
                </w:p>
              </w:tc>
              <w:tc>
                <w:tcPr>
                  <w:tcW w:w="536" w:type="pct"/>
                  <w:vAlign w:val="center"/>
                </w:tcPr>
                <w:p w14:paraId="6F51664C">
                  <w:pPr>
                    <w:pStyle w:val="29"/>
                    <w:rPr>
                      <w:color w:val="0000FF"/>
                    </w:rPr>
                  </w:pPr>
                  <w:r>
                    <w:rPr>
                      <w:rFonts w:hint="eastAsia"/>
                      <w:color w:val="0000FF"/>
                    </w:rPr>
                    <w:t>5</w:t>
                  </w:r>
                </w:p>
              </w:tc>
            </w:tr>
            <w:tr w14:paraId="3AE3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270B971D">
                  <w:pPr>
                    <w:pStyle w:val="29"/>
                    <w:rPr>
                      <w:color w:val="0000FF"/>
                    </w:rPr>
                  </w:pPr>
                  <w:r>
                    <w:rPr>
                      <w:color w:val="0000FF"/>
                    </w:rPr>
                    <w:t>隔油</w:t>
                  </w:r>
                </w:p>
              </w:tc>
              <w:tc>
                <w:tcPr>
                  <w:tcW w:w="574" w:type="pct"/>
                  <w:shd w:val="clear" w:color="auto" w:fill="auto"/>
                  <w:vAlign w:val="center"/>
                </w:tcPr>
                <w:p w14:paraId="02B0F121">
                  <w:pPr>
                    <w:pStyle w:val="29"/>
                    <w:rPr>
                      <w:color w:val="0000FF"/>
                    </w:rPr>
                  </w:pPr>
                  <w:r>
                    <w:rPr>
                      <w:color w:val="0000FF"/>
                    </w:rPr>
                    <w:t>进水</w:t>
                  </w:r>
                </w:p>
              </w:tc>
              <w:tc>
                <w:tcPr>
                  <w:tcW w:w="608" w:type="pct"/>
                  <w:shd w:val="clear" w:color="auto" w:fill="auto"/>
                  <w:vAlign w:val="center"/>
                </w:tcPr>
                <w:p w14:paraId="591F3E4D">
                  <w:pPr>
                    <w:pStyle w:val="29"/>
                    <w:rPr>
                      <w:color w:val="0000FF"/>
                    </w:rPr>
                  </w:pPr>
                  <w:r>
                    <w:rPr>
                      <w:rFonts w:hint="eastAsia"/>
                      <w:color w:val="0000FF"/>
                    </w:rPr>
                    <w:t>2047.5</w:t>
                  </w:r>
                </w:p>
              </w:tc>
              <w:tc>
                <w:tcPr>
                  <w:tcW w:w="547" w:type="pct"/>
                  <w:shd w:val="clear" w:color="auto" w:fill="auto"/>
                  <w:vAlign w:val="center"/>
                </w:tcPr>
                <w:p w14:paraId="1EA5FC79">
                  <w:pPr>
                    <w:pStyle w:val="29"/>
                    <w:rPr>
                      <w:color w:val="0000FF"/>
                    </w:rPr>
                  </w:pPr>
                  <w:r>
                    <w:rPr>
                      <w:rFonts w:hint="eastAsia"/>
                      <w:color w:val="0000FF"/>
                    </w:rPr>
                    <w:t>585</w:t>
                  </w:r>
                </w:p>
              </w:tc>
              <w:tc>
                <w:tcPr>
                  <w:tcW w:w="561" w:type="pct"/>
                  <w:shd w:val="clear" w:color="auto" w:fill="auto"/>
                  <w:vAlign w:val="center"/>
                </w:tcPr>
                <w:p w14:paraId="60D37909">
                  <w:pPr>
                    <w:pStyle w:val="29"/>
                    <w:rPr>
                      <w:color w:val="0000FF"/>
                    </w:rPr>
                  </w:pPr>
                  <w:r>
                    <w:rPr>
                      <w:rFonts w:hint="eastAsia"/>
                      <w:color w:val="0000FF"/>
                    </w:rPr>
                    <w:t>360</w:t>
                  </w:r>
                </w:p>
              </w:tc>
              <w:tc>
                <w:tcPr>
                  <w:tcW w:w="528" w:type="pct"/>
                  <w:shd w:val="clear" w:color="auto" w:fill="auto"/>
                  <w:vAlign w:val="center"/>
                </w:tcPr>
                <w:p w14:paraId="2BD72843">
                  <w:pPr>
                    <w:pStyle w:val="29"/>
                    <w:rPr>
                      <w:color w:val="0000FF"/>
                    </w:rPr>
                  </w:pPr>
                  <w:r>
                    <w:rPr>
                      <w:rFonts w:hint="eastAsia"/>
                      <w:color w:val="0000FF"/>
                    </w:rPr>
                    <w:t>50</w:t>
                  </w:r>
                </w:p>
              </w:tc>
              <w:tc>
                <w:tcPr>
                  <w:tcW w:w="500" w:type="pct"/>
                  <w:shd w:val="clear" w:color="auto" w:fill="auto"/>
                  <w:vAlign w:val="center"/>
                </w:tcPr>
                <w:p w14:paraId="78304B95">
                  <w:pPr>
                    <w:pStyle w:val="29"/>
                    <w:rPr>
                      <w:color w:val="0000FF"/>
                    </w:rPr>
                  </w:pPr>
                  <w:r>
                    <w:rPr>
                      <w:rFonts w:hint="eastAsia"/>
                      <w:color w:val="0000FF"/>
                    </w:rPr>
                    <w:t>80</w:t>
                  </w:r>
                </w:p>
              </w:tc>
              <w:tc>
                <w:tcPr>
                  <w:tcW w:w="717" w:type="pct"/>
                  <w:shd w:val="clear" w:color="auto" w:fill="auto"/>
                  <w:vAlign w:val="center"/>
                </w:tcPr>
                <w:p w14:paraId="6FD08AA3">
                  <w:pPr>
                    <w:pStyle w:val="29"/>
                    <w:rPr>
                      <w:color w:val="0000FF"/>
                    </w:rPr>
                  </w:pPr>
                  <w:r>
                    <w:rPr>
                      <w:rFonts w:hint="eastAsia"/>
                      <w:color w:val="0000FF"/>
                    </w:rPr>
                    <w:t>42.75</w:t>
                  </w:r>
                </w:p>
              </w:tc>
              <w:tc>
                <w:tcPr>
                  <w:tcW w:w="536" w:type="pct"/>
                  <w:shd w:val="clear" w:color="auto" w:fill="auto"/>
                  <w:vAlign w:val="center"/>
                </w:tcPr>
                <w:p w14:paraId="2E6384A1">
                  <w:pPr>
                    <w:pStyle w:val="29"/>
                    <w:rPr>
                      <w:color w:val="0000FF"/>
                    </w:rPr>
                  </w:pPr>
                  <w:r>
                    <w:rPr>
                      <w:rFonts w:hint="eastAsia"/>
                      <w:color w:val="0000FF"/>
                    </w:rPr>
                    <w:t>57</w:t>
                  </w:r>
                </w:p>
              </w:tc>
            </w:tr>
            <w:tr w14:paraId="04A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531E7680">
                  <w:pPr>
                    <w:pStyle w:val="29"/>
                    <w:rPr>
                      <w:color w:val="0000FF"/>
                    </w:rPr>
                  </w:pPr>
                </w:p>
              </w:tc>
              <w:tc>
                <w:tcPr>
                  <w:tcW w:w="574" w:type="pct"/>
                  <w:shd w:val="clear" w:color="auto" w:fill="auto"/>
                  <w:vAlign w:val="center"/>
                </w:tcPr>
                <w:p w14:paraId="52B4ED62">
                  <w:pPr>
                    <w:pStyle w:val="29"/>
                    <w:rPr>
                      <w:color w:val="0000FF"/>
                    </w:rPr>
                  </w:pPr>
                  <w:r>
                    <w:rPr>
                      <w:color w:val="0000FF"/>
                    </w:rPr>
                    <w:t>出水</w:t>
                  </w:r>
                </w:p>
              </w:tc>
              <w:tc>
                <w:tcPr>
                  <w:tcW w:w="608" w:type="pct"/>
                  <w:vAlign w:val="center"/>
                </w:tcPr>
                <w:p w14:paraId="02039D20">
                  <w:pPr>
                    <w:pStyle w:val="29"/>
                    <w:rPr>
                      <w:color w:val="0000FF"/>
                    </w:rPr>
                  </w:pPr>
                  <w:r>
                    <w:rPr>
                      <w:rFonts w:hint="eastAsia"/>
                      <w:color w:val="0000FF"/>
                    </w:rPr>
                    <w:t>2047.5</w:t>
                  </w:r>
                </w:p>
              </w:tc>
              <w:tc>
                <w:tcPr>
                  <w:tcW w:w="547" w:type="pct"/>
                  <w:vAlign w:val="center"/>
                </w:tcPr>
                <w:p w14:paraId="5FAF83E7">
                  <w:pPr>
                    <w:pStyle w:val="29"/>
                    <w:rPr>
                      <w:color w:val="0000FF"/>
                    </w:rPr>
                  </w:pPr>
                  <w:r>
                    <w:rPr>
                      <w:rFonts w:hint="eastAsia"/>
                      <w:color w:val="0000FF"/>
                    </w:rPr>
                    <w:t>585</w:t>
                  </w:r>
                </w:p>
              </w:tc>
              <w:tc>
                <w:tcPr>
                  <w:tcW w:w="561" w:type="pct"/>
                  <w:vAlign w:val="center"/>
                </w:tcPr>
                <w:p w14:paraId="6B64265C">
                  <w:pPr>
                    <w:pStyle w:val="29"/>
                    <w:rPr>
                      <w:color w:val="0000FF"/>
                    </w:rPr>
                  </w:pPr>
                  <w:r>
                    <w:rPr>
                      <w:rFonts w:hint="eastAsia"/>
                      <w:color w:val="0000FF"/>
                    </w:rPr>
                    <w:t>342</w:t>
                  </w:r>
                </w:p>
              </w:tc>
              <w:tc>
                <w:tcPr>
                  <w:tcW w:w="528" w:type="pct"/>
                  <w:vAlign w:val="center"/>
                </w:tcPr>
                <w:p w14:paraId="7C208869">
                  <w:pPr>
                    <w:pStyle w:val="29"/>
                    <w:rPr>
                      <w:color w:val="0000FF"/>
                    </w:rPr>
                  </w:pPr>
                  <w:r>
                    <w:rPr>
                      <w:rFonts w:hint="eastAsia"/>
                      <w:color w:val="0000FF"/>
                    </w:rPr>
                    <w:t>50</w:t>
                  </w:r>
                </w:p>
              </w:tc>
              <w:tc>
                <w:tcPr>
                  <w:tcW w:w="500" w:type="pct"/>
                  <w:vAlign w:val="center"/>
                </w:tcPr>
                <w:p w14:paraId="071E210E">
                  <w:pPr>
                    <w:pStyle w:val="29"/>
                    <w:rPr>
                      <w:color w:val="0000FF"/>
                    </w:rPr>
                  </w:pPr>
                  <w:r>
                    <w:rPr>
                      <w:rFonts w:hint="eastAsia"/>
                      <w:color w:val="0000FF"/>
                    </w:rPr>
                    <w:t>40</w:t>
                  </w:r>
                </w:p>
              </w:tc>
              <w:tc>
                <w:tcPr>
                  <w:tcW w:w="717" w:type="pct"/>
                  <w:vAlign w:val="center"/>
                </w:tcPr>
                <w:p w14:paraId="29E6C1C5">
                  <w:pPr>
                    <w:pStyle w:val="29"/>
                    <w:rPr>
                      <w:color w:val="0000FF"/>
                    </w:rPr>
                  </w:pPr>
                  <w:r>
                    <w:rPr>
                      <w:rFonts w:hint="eastAsia"/>
                      <w:color w:val="0000FF"/>
                    </w:rPr>
                    <w:t>42</w:t>
                  </w:r>
                </w:p>
              </w:tc>
              <w:tc>
                <w:tcPr>
                  <w:tcW w:w="536" w:type="pct"/>
                  <w:vAlign w:val="center"/>
                </w:tcPr>
                <w:p w14:paraId="14A47870">
                  <w:pPr>
                    <w:pStyle w:val="29"/>
                    <w:rPr>
                      <w:color w:val="0000FF"/>
                    </w:rPr>
                  </w:pPr>
                  <w:r>
                    <w:rPr>
                      <w:rFonts w:hint="eastAsia"/>
                      <w:color w:val="0000FF"/>
                    </w:rPr>
                    <w:t>54</w:t>
                  </w:r>
                </w:p>
              </w:tc>
            </w:tr>
            <w:tr w14:paraId="654B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7FD71652">
                  <w:pPr>
                    <w:pStyle w:val="29"/>
                    <w:rPr>
                      <w:color w:val="0000FF"/>
                    </w:rPr>
                  </w:pPr>
                </w:p>
              </w:tc>
              <w:tc>
                <w:tcPr>
                  <w:tcW w:w="574" w:type="pct"/>
                  <w:shd w:val="clear" w:color="auto" w:fill="auto"/>
                  <w:vAlign w:val="center"/>
                </w:tcPr>
                <w:p w14:paraId="79804EE2">
                  <w:pPr>
                    <w:pStyle w:val="29"/>
                    <w:rPr>
                      <w:color w:val="0000FF"/>
                    </w:rPr>
                  </w:pPr>
                  <w:r>
                    <w:rPr>
                      <w:color w:val="0000FF"/>
                    </w:rPr>
                    <w:t>效率</w:t>
                  </w:r>
                </w:p>
              </w:tc>
              <w:tc>
                <w:tcPr>
                  <w:tcW w:w="608" w:type="pct"/>
                  <w:vAlign w:val="center"/>
                </w:tcPr>
                <w:p w14:paraId="4A5F211F">
                  <w:pPr>
                    <w:pStyle w:val="29"/>
                    <w:rPr>
                      <w:color w:val="0000FF"/>
                    </w:rPr>
                  </w:pPr>
                  <w:r>
                    <w:rPr>
                      <w:rFonts w:hint="eastAsia"/>
                      <w:color w:val="0000FF"/>
                    </w:rPr>
                    <w:t>0</w:t>
                  </w:r>
                </w:p>
              </w:tc>
              <w:tc>
                <w:tcPr>
                  <w:tcW w:w="547" w:type="pct"/>
                  <w:vAlign w:val="center"/>
                </w:tcPr>
                <w:p w14:paraId="3E868731">
                  <w:pPr>
                    <w:pStyle w:val="29"/>
                    <w:rPr>
                      <w:color w:val="0000FF"/>
                    </w:rPr>
                  </w:pPr>
                  <w:r>
                    <w:rPr>
                      <w:rFonts w:hint="eastAsia"/>
                      <w:color w:val="0000FF"/>
                    </w:rPr>
                    <w:t>0</w:t>
                  </w:r>
                </w:p>
              </w:tc>
              <w:tc>
                <w:tcPr>
                  <w:tcW w:w="561" w:type="pct"/>
                  <w:vAlign w:val="center"/>
                </w:tcPr>
                <w:p w14:paraId="49FD2FFA">
                  <w:pPr>
                    <w:pStyle w:val="29"/>
                    <w:rPr>
                      <w:color w:val="0000FF"/>
                    </w:rPr>
                  </w:pPr>
                  <w:r>
                    <w:rPr>
                      <w:rFonts w:hint="eastAsia"/>
                      <w:color w:val="0000FF"/>
                    </w:rPr>
                    <w:t>5</w:t>
                  </w:r>
                </w:p>
              </w:tc>
              <w:tc>
                <w:tcPr>
                  <w:tcW w:w="528" w:type="pct"/>
                  <w:vAlign w:val="center"/>
                </w:tcPr>
                <w:p w14:paraId="1126671C">
                  <w:pPr>
                    <w:pStyle w:val="29"/>
                    <w:rPr>
                      <w:color w:val="0000FF"/>
                    </w:rPr>
                  </w:pPr>
                  <w:r>
                    <w:rPr>
                      <w:rFonts w:hint="eastAsia"/>
                      <w:color w:val="0000FF"/>
                    </w:rPr>
                    <w:t>0</w:t>
                  </w:r>
                </w:p>
              </w:tc>
              <w:tc>
                <w:tcPr>
                  <w:tcW w:w="500" w:type="pct"/>
                  <w:vAlign w:val="center"/>
                </w:tcPr>
                <w:p w14:paraId="094E561F">
                  <w:pPr>
                    <w:pStyle w:val="29"/>
                    <w:rPr>
                      <w:color w:val="0000FF"/>
                    </w:rPr>
                  </w:pPr>
                  <w:r>
                    <w:rPr>
                      <w:rFonts w:hint="eastAsia"/>
                      <w:color w:val="0000FF"/>
                    </w:rPr>
                    <w:t>50</w:t>
                  </w:r>
                </w:p>
              </w:tc>
              <w:tc>
                <w:tcPr>
                  <w:tcW w:w="717" w:type="pct"/>
                  <w:vAlign w:val="center"/>
                </w:tcPr>
                <w:p w14:paraId="1D4A988A">
                  <w:pPr>
                    <w:pStyle w:val="29"/>
                    <w:rPr>
                      <w:color w:val="0000FF"/>
                    </w:rPr>
                  </w:pPr>
                  <w:r>
                    <w:rPr>
                      <w:rFonts w:hint="eastAsia"/>
                      <w:color w:val="0000FF"/>
                    </w:rPr>
                    <w:t>2</w:t>
                  </w:r>
                </w:p>
              </w:tc>
              <w:tc>
                <w:tcPr>
                  <w:tcW w:w="536" w:type="pct"/>
                  <w:vAlign w:val="center"/>
                </w:tcPr>
                <w:p w14:paraId="51CA9F3A">
                  <w:pPr>
                    <w:pStyle w:val="29"/>
                    <w:rPr>
                      <w:color w:val="0000FF"/>
                    </w:rPr>
                  </w:pPr>
                  <w:r>
                    <w:rPr>
                      <w:rFonts w:hint="eastAsia"/>
                      <w:color w:val="0000FF"/>
                    </w:rPr>
                    <w:t>5</w:t>
                  </w:r>
                </w:p>
              </w:tc>
            </w:tr>
            <w:tr w14:paraId="302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shd w:val="clear" w:color="auto" w:fill="auto"/>
                  <w:vAlign w:val="center"/>
                </w:tcPr>
                <w:p w14:paraId="17545A29">
                  <w:pPr>
                    <w:pStyle w:val="29"/>
                    <w:rPr>
                      <w:color w:val="0000FF"/>
                    </w:rPr>
                  </w:pPr>
                  <w:r>
                    <w:rPr>
                      <w:color w:val="0000FF"/>
                    </w:rPr>
                    <w:t>SBR</w:t>
                  </w:r>
                </w:p>
                <w:p w14:paraId="1A139ADB">
                  <w:pPr>
                    <w:pStyle w:val="29"/>
                    <w:rPr>
                      <w:color w:val="0000FF"/>
                    </w:rPr>
                  </w:pPr>
                </w:p>
              </w:tc>
              <w:tc>
                <w:tcPr>
                  <w:tcW w:w="574" w:type="pct"/>
                  <w:shd w:val="clear" w:color="auto" w:fill="auto"/>
                  <w:vAlign w:val="center"/>
                </w:tcPr>
                <w:p w14:paraId="7D2893BA">
                  <w:pPr>
                    <w:pStyle w:val="29"/>
                    <w:rPr>
                      <w:color w:val="0000FF"/>
                    </w:rPr>
                  </w:pPr>
                  <w:r>
                    <w:rPr>
                      <w:color w:val="0000FF"/>
                    </w:rPr>
                    <w:t>进水</w:t>
                  </w:r>
                </w:p>
              </w:tc>
              <w:tc>
                <w:tcPr>
                  <w:tcW w:w="608" w:type="pct"/>
                  <w:shd w:val="clear" w:color="auto" w:fill="auto"/>
                  <w:vAlign w:val="center"/>
                </w:tcPr>
                <w:p w14:paraId="18B8546A">
                  <w:pPr>
                    <w:pStyle w:val="29"/>
                    <w:rPr>
                      <w:color w:val="0000FF"/>
                    </w:rPr>
                  </w:pPr>
                  <w:r>
                    <w:rPr>
                      <w:rFonts w:hint="eastAsia"/>
                      <w:color w:val="0000FF"/>
                    </w:rPr>
                    <w:t>2047.5</w:t>
                  </w:r>
                </w:p>
              </w:tc>
              <w:tc>
                <w:tcPr>
                  <w:tcW w:w="547" w:type="pct"/>
                  <w:shd w:val="clear" w:color="auto" w:fill="auto"/>
                  <w:vAlign w:val="center"/>
                </w:tcPr>
                <w:p w14:paraId="728B1423">
                  <w:pPr>
                    <w:pStyle w:val="29"/>
                    <w:rPr>
                      <w:color w:val="0000FF"/>
                    </w:rPr>
                  </w:pPr>
                  <w:r>
                    <w:rPr>
                      <w:rFonts w:hint="eastAsia"/>
                      <w:color w:val="0000FF"/>
                    </w:rPr>
                    <w:t>585</w:t>
                  </w:r>
                </w:p>
              </w:tc>
              <w:tc>
                <w:tcPr>
                  <w:tcW w:w="561" w:type="pct"/>
                  <w:shd w:val="clear" w:color="auto" w:fill="auto"/>
                  <w:vAlign w:val="center"/>
                </w:tcPr>
                <w:p w14:paraId="5C90744E">
                  <w:pPr>
                    <w:pStyle w:val="29"/>
                    <w:rPr>
                      <w:color w:val="0000FF"/>
                    </w:rPr>
                  </w:pPr>
                  <w:r>
                    <w:rPr>
                      <w:rFonts w:hint="eastAsia"/>
                      <w:color w:val="0000FF"/>
                    </w:rPr>
                    <w:t>342</w:t>
                  </w:r>
                </w:p>
              </w:tc>
              <w:tc>
                <w:tcPr>
                  <w:tcW w:w="528" w:type="pct"/>
                  <w:shd w:val="clear" w:color="auto" w:fill="auto"/>
                  <w:vAlign w:val="center"/>
                </w:tcPr>
                <w:p w14:paraId="2CCABC43">
                  <w:pPr>
                    <w:pStyle w:val="29"/>
                    <w:rPr>
                      <w:color w:val="0000FF"/>
                    </w:rPr>
                  </w:pPr>
                  <w:r>
                    <w:rPr>
                      <w:rFonts w:hint="eastAsia"/>
                      <w:color w:val="0000FF"/>
                    </w:rPr>
                    <w:t>50</w:t>
                  </w:r>
                </w:p>
              </w:tc>
              <w:tc>
                <w:tcPr>
                  <w:tcW w:w="500" w:type="pct"/>
                  <w:shd w:val="clear" w:color="auto" w:fill="auto"/>
                  <w:vAlign w:val="center"/>
                </w:tcPr>
                <w:p w14:paraId="78A52DB4">
                  <w:pPr>
                    <w:pStyle w:val="29"/>
                    <w:rPr>
                      <w:color w:val="0000FF"/>
                    </w:rPr>
                  </w:pPr>
                  <w:r>
                    <w:rPr>
                      <w:rFonts w:hint="eastAsia"/>
                      <w:color w:val="0000FF"/>
                    </w:rPr>
                    <w:t>40</w:t>
                  </w:r>
                </w:p>
              </w:tc>
              <w:tc>
                <w:tcPr>
                  <w:tcW w:w="717" w:type="pct"/>
                  <w:shd w:val="clear" w:color="auto" w:fill="auto"/>
                  <w:vAlign w:val="center"/>
                </w:tcPr>
                <w:p w14:paraId="73D74AA6">
                  <w:pPr>
                    <w:pStyle w:val="29"/>
                    <w:rPr>
                      <w:color w:val="0000FF"/>
                    </w:rPr>
                  </w:pPr>
                  <w:r>
                    <w:rPr>
                      <w:rFonts w:hint="eastAsia"/>
                      <w:color w:val="0000FF"/>
                    </w:rPr>
                    <w:t>42</w:t>
                  </w:r>
                </w:p>
              </w:tc>
              <w:tc>
                <w:tcPr>
                  <w:tcW w:w="536" w:type="pct"/>
                  <w:shd w:val="clear" w:color="auto" w:fill="auto"/>
                  <w:vAlign w:val="center"/>
                </w:tcPr>
                <w:p w14:paraId="2557B0AD">
                  <w:pPr>
                    <w:pStyle w:val="29"/>
                    <w:rPr>
                      <w:color w:val="0000FF"/>
                    </w:rPr>
                  </w:pPr>
                  <w:r>
                    <w:rPr>
                      <w:rFonts w:hint="eastAsia"/>
                      <w:color w:val="0000FF"/>
                    </w:rPr>
                    <w:t>54</w:t>
                  </w:r>
                </w:p>
              </w:tc>
            </w:tr>
            <w:tr w14:paraId="480E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15E0ACD7">
                  <w:pPr>
                    <w:pStyle w:val="29"/>
                    <w:rPr>
                      <w:color w:val="0000FF"/>
                    </w:rPr>
                  </w:pPr>
                </w:p>
              </w:tc>
              <w:tc>
                <w:tcPr>
                  <w:tcW w:w="574" w:type="pct"/>
                  <w:shd w:val="clear" w:color="auto" w:fill="auto"/>
                  <w:vAlign w:val="center"/>
                </w:tcPr>
                <w:p w14:paraId="675371C5">
                  <w:pPr>
                    <w:pStyle w:val="29"/>
                    <w:rPr>
                      <w:color w:val="0000FF"/>
                    </w:rPr>
                  </w:pPr>
                  <w:r>
                    <w:rPr>
                      <w:color w:val="0000FF"/>
                    </w:rPr>
                    <w:t>出水</w:t>
                  </w:r>
                </w:p>
              </w:tc>
              <w:tc>
                <w:tcPr>
                  <w:tcW w:w="608" w:type="pct"/>
                  <w:shd w:val="clear" w:color="auto" w:fill="auto"/>
                  <w:vAlign w:val="center"/>
                </w:tcPr>
                <w:p w14:paraId="07407F37">
                  <w:pPr>
                    <w:pStyle w:val="29"/>
                    <w:rPr>
                      <w:color w:val="0000FF"/>
                    </w:rPr>
                  </w:pPr>
                  <w:r>
                    <w:rPr>
                      <w:rFonts w:hint="eastAsia"/>
                      <w:color w:val="0000FF"/>
                    </w:rPr>
                    <w:t>614.3</w:t>
                  </w:r>
                </w:p>
              </w:tc>
              <w:tc>
                <w:tcPr>
                  <w:tcW w:w="547" w:type="pct"/>
                  <w:shd w:val="clear" w:color="auto" w:fill="auto"/>
                  <w:vAlign w:val="center"/>
                </w:tcPr>
                <w:p w14:paraId="505D22FE">
                  <w:pPr>
                    <w:pStyle w:val="29"/>
                    <w:rPr>
                      <w:color w:val="0000FF"/>
                    </w:rPr>
                  </w:pPr>
                  <w:r>
                    <w:rPr>
                      <w:rFonts w:hint="eastAsia"/>
                      <w:color w:val="0000FF"/>
                    </w:rPr>
                    <w:t>351</w:t>
                  </w:r>
                </w:p>
              </w:tc>
              <w:tc>
                <w:tcPr>
                  <w:tcW w:w="561" w:type="pct"/>
                  <w:shd w:val="clear" w:color="auto" w:fill="auto"/>
                  <w:vAlign w:val="center"/>
                </w:tcPr>
                <w:p w14:paraId="20144517">
                  <w:pPr>
                    <w:pStyle w:val="37"/>
                    <w:rPr>
                      <w:color w:val="0000FF"/>
                    </w:rPr>
                  </w:pPr>
                  <w:r>
                    <w:rPr>
                      <w:rFonts w:hint="eastAsia"/>
                      <w:color w:val="0000FF"/>
                    </w:rPr>
                    <w:t>205.2</w:t>
                  </w:r>
                </w:p>
              </w:tc>
              <w:tc>
                <w:tcPr>
                  <w:tcW w:w="528" w:type="pct"/>
                  <w:shd w:val="clear" w:color="auto" w:fill="auto"/>
                  <w:vAlign w:val="center"/>
                </w:tcPr>
                <w:p w14:paraId="44AB3C87">
                  <w:pPr>
                    <w:pStyle w:val="29"/>
                    <w:rPr>
                      <w:color w:val="0000FF"/>
                    </w:rPr>
                  </w:pPr>
                  <w:r>
                    <w:rPr>
                      <w:rFonts w:hint="eastAsia"/>
                      <w:color w:val="0000FF"/>
                    </w:rPr>
                    <w:t>32.5</w:t>
                  </w:r>
                </w:p>
              </w:tc>
              <w:tc>
                <w:tcPr>
                  <w:tcW w:w="500" w:type="pct"/>
                  <w:shd w:val="clear" w:color="auto" w:fill="auto"/>
                  <w:vAlign w:val="center"/>
                </w:tcPr>
                <w:p w14:paraId="783DD138">
                  <w:pPr>
                    <w:pStyle w:val="29"/>
                    <w:rPr>
                      <w:color w:val="0000FF"/>
                    </w:rPr>
                  </w:pPr>
                  <w:r>
                    <w:rPr>
                      <w:rFonts w:hint="eastAsia"/>
                      <w:color w:val="0000FF"/>
                    </w:rPr>
                    <w:t>40</w:t>
                  </w:r>
                </w:p>
              </w:tc>
              <w:tc>
                <w:tcPr>
                  <w:tcW w:w="717" w:type="pct"/>
                  <w:shd w:val="clear" w:color="auto" w:fill="auto"/>
                  <w:vAlign w:val="center"/>
                </w:tcPr>
                <w:p w14:paraId="76904ACD">
                  <w:pPr>
                    <w:pStyle w:val="29"/>
                    <w:rPr>
                      <w:color w:val="0000FF"/>
                    </w:rPr>
                  </w:pPr>
                  <w:r>
                    <w:rPr>
                      <w:rFonts w:hint="eastAsia"/>
                      <w:color w:val="0000FF"/>
                    </w:rPr>
                    <w:t>29.4</w:t>
                  </w:r>
                </w:p>
              </w:tc>
              <w:tc>
                <w:tcPr>
                  <w:tcW w:w="536" w:type="pct"/>
                  <w:shd w:val="clear" w:color="auto" w:fill="auto"/>
                  <w:vAlign w:val="center"/>
                </w:tcPr>
                <w:p w14:paraId="18928540">
                  <w:pPr>
                    <w:pStyle w:val="29"/>
                    <w:rPr>
                      <w:color w:val="0000FF"/>
                    </w:rPr>
                  </w:pPr>
                  <w:r>
                    <w:rPr>
                      <w:rFonts w:hint="eastAsia"/>
                      <w:color w:val="0000FF"/>
                    </w:rPr>
                    <w:t>32.4</w:t>
                  </w:r>
                </w:p>
              </w:tc>
            </w:tr>
            <w:tr w14:paraId="7820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728D4AD8">
                  <w:pPr>
                    <w:pStyle w:val="29"/>
                    <w:rPr>
                      <w:color w:val="0000FF"/>
                    </w:rPr>
                  </w:pPr>
                </w:p>
              </w:tc>
              <w:tc>
                <w:tcPr>
                  <w:tcW w:w="574" w:type="pct"/>
                  <w:shd w:val="clear" w:color="auto" w:fill="auto"/>
                  <w:vAlign w:val="center"/>
                </w:tcPr>
                <w:p w14:paraId="317D38E1">
                  <w:pPr>
                    <w:pStyle w:val="29"/>
                    <w:rPr>
                      <w:color w:val="0000FF"/>
                    </w:rPr>
                  </w:pPr>
                  <w:r>
                    <w:rPr>
                      <w:color w:val="0000FF"/>
                    </w:rPr>
                    <w:t>效率</w:t>
                  </w:r>
                </w:p>
              </w:tc>
              <w:tc>
                <w:tcPr>
                  <w:tcW w:w="608" w:type="pct"/>
                  <w:shd w:val="clear" w:color="auto" w:fill="auto"/>
                  <w:vAlign w:val="center"/>
                </w:tcPr>
                <w:p w14:paraId="2BFBE5AF">
                  <w:pPr>
                    <w:pStyle w:val="29"/>
                    <w:rPr>
                      <w:color w:val="0000FF"/>
                    </w:rPr>
                  </w:pPr>
                  <w:r>
                    <w:rPr>
                      <w:rFonts w:hint="eastAsia"/>
                      <w:color w:val="0000FF"/>
                    </w:rPr>
                    <w:t>70</w:t>
                  </w:r>
                </w:p>
              </w:tc>
              <w:tc>
                <w:tcPr>
                  <w:tcW w:w="547" w:type="pct"/>
                  <w:shd w:val="clear" w:color="auto" w:fill="auto"/>
                  <w:vAlign w:val="center"/>
                </w:tcPr>
                <w:p w14:paraId="79A72B29">
                  <w:pPr>
                    <w:pStyle w:val="29"/>
                    <w:rPr>
                      <w:color w:val="0000FF"/>
                    </w:rPr>
                  </w:pPr>
                  <w:r>
                    <w:rPr>
                      <w:rFonts w:hint="eastAsia"/>
                      <w:color w:val="0000FF"/>
                    </w:rPr>
                    <w:t>40</w:t>
                  </w:r>
                </w:p>
              </w:tc>
              <w:tc>
                <w:tcPr>
                  <w:tcW w:w="561" w:type="pct"/>
                  <w:shd w:val="clear" w:color="auto" w:fill="auto"/>
                  <w:vAlign w:val="center"/>
                </w:tcPr>
                <w:p w14:paraId="1D2FB3C4">
                  <w:pPr>
                    <w:pStyle w:val="37"/>
                    <w:rPr>
                      <w:color w:val="0000FF"/>
                    </w:rPr>
                  </w:pPr>
                  <w:r>
                    <w:rPr>
                      <w:rFonts w:hint="eastAsia"/>
                      <w:color w:val="0000FF"/>
                    </w:rPr>
                    <w:t>40</w:t>
                  </w:r>
                </w:p>
              </w:tc>
              <w:tc>
                <w:tcPr>
                  <w:tcW w:w="528" w:type="pct"/>
                  <w:shd w:val="clear" w:color="auto" w:fill="auto"/>
                  <w:vAlign w:val="center"/>
                </w:tcPr>
                <w:p w14:paraId="4A102106">
                  <w:pPr>
                    <w:pStyle w:val="29"/>
                    <w:rPr>
                      <w:color w:val="0000FF"/>
                    </w:rPr>
                  </w:pPr>
                  <w:r>
                    <w:rPr>
                      <w:rFonts w:hint="eastAsia"/>
                      <w:color w:val="0000FF"/>
                    </w:rPr>
                    <w:t>35</w:t>
                  </w:r>
                </w:p>
              </w:tc>
              <w:tc>
                <w:tcPr>
                  <w:tcW w:w="500" w:type="pct"/>
                  <w:shd w:val="clear" w:color="auto" w:fill="auto"/>
                  <w:vAlign w:val="center"/>
                </w:tcPr>
                <w:p w14:paraId="67CFAD35">
                  <w:pPr>
                    <w:pStyle w:val="29"/>
                    <w:rPr>
                      <w:color w:val="0000FF"/>
                    </w:rPr>
                  </w:pPr>
                  <w:r>
                    <w:rPr>
                      <w:rFonts w:hint="eastAsia"/>
                      <w:color w:val="0000FF"/>
                    </w:rPr>
                    <w:t>0</w:t>
                  </w:r>
                </w:p>
              </w:tc>
              <w:tc>
                <w:tcPr>
                  <w:tcW w:w="717" w:type="pct"/>
                  <w:shd w:val="clear" w:color="auto" w:fill="auto"/>
                  <w:vAlign w:val="center"/>
                </w:tcPr>
                <w:p w14:paraId="2534B5C7">
                  <w:pPr>
                    <w:pStyle w:val="29"/>
                    <w:rPr>
                      <w:color w:val="0000FF"/>
                    </w:rPr>
                  </w:pPr>
                  <w:r>
                    <w:rPr>
                      <w:rFonts w:hint="eastAsia"/>
                      <w:color w:val="0000FF"/>
                    </w:rPr>
                    <w:t>30</w:t>
                  </w:r>
                </w:p>
              </w:tc>
              <w:tc>
                <w:tcPr>
                  <w:tcW w:w="536" w:type="pct"/>
                  <w:shd w:val="clear" w:color="auto" w:fill="auto"/>
                  <w:vAlign w:val="center"/>
                </w:tcPr>
                <w:p w14:paraId="722E5FDE">
                  <w:pPr>
                    <w:pStyle w:val="29"/>
                    <w:rPr>
                      <w:color w:val="0000FF"/>
                    </w:rPr>
                  </w:pPr>
                  <w:r>
                    <w:rPr>
                      <w:rFonts w:hint="eastAsia"/>
                      <w:color w:val="0000FF"/>
                    </w:rPr>
                    <w:t>40</w:t>
                  </w:r>
                </w:p>
              </w:tc>
            </w:tr>
            <w:tr w14:paraId="002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1A892000">
                  <w:pPr>
                    <w:pStyle w:val="29"/>
                    <w:rPr>
                      <w:color w:val="0000FF"/>
                    </w:rPr>
                  </w:pPr>
                  <w:r>
                    <w:rPr>
                      <w:color w:val="0000FF"/>
                    </w:rPr>
                    <w:t>厌氧</w:t>
                  </w:r>
                </w:p>
              </w:tc>
              <w:tc>
                <w:tcPr>
                  <w:tcW w:w="574" w:type="pct"/>
                  <w:shd w:val="clear" w:color="auto" w:fill="auto"/>
                  <w:vAlign w:val="center"/>
                </w:tcPr>
                <w:p w14:paraId="199D5953">
                  <w:pPr>
                    <w:pStyle w:val="29"/>
                    <w:rPr>
                      <w:color w:val="0000FF"/>
                    </w:rPr>
                  </w:pPr>
                  <w:r>
                    <w:rPr>
                      <w:color w:val="0000FF"/>
                    </w:rPr>
                    <w:t>进水</w:t>
                  </w:r>
                </w:p>
              </w:tc>
              <w:tc>
                <w:tcPr>
                  <w:tcW w:w="608" w:type="pct"/>
                  <w:vAlign w:val="center"/>
                </w:tcPr>
                <w:p w14:paraId="447876E8">
                  <w:pPr>
                    <w:pStyle w:val="29"/>
                    <w:rPr>
                      <w:color w:val="0000FF"/>
                    </w:rPr>
                  </w:pPr>
                  <w:r>
                    <w:rPr>
                      <w:rFonts w:hint="eastAsia"/>
                      <w:color w:val="0000FF"/>
                    </w:rPr>
                    <w:t>614.3</w:t>
                  </w:r>
                </w:p>
              </w:tc>
              <w:tc>
                <w:tcPr>
                  <w:tcW w:w="547" w:type="pct"/>
                  <w:shd w:val="clear" w:color="auto" w:fill="auto"/>
                  <w:vAlign w:val="center"/>
                </w:tcPr>
                <w:p w14:paraId="5C766D22">
                  <w:pPr>
                    <w:pStyle w:val="37"/>
                    <w:rPr>
                      <w:color w:val="0000FF"/>
                    </w:rPr>
                  </w:pPr>
                  <w:r>
                    <w:rPr>
                      <w:rFonts w:hint="eastAsia"/>
                      <w:color w:val="0000FF"/>
                    </w:rPr>
                    <w:t>351</w:t>
                  </w:r>
                </w:p>
              </w:tc>
              <w:tc>
                <w:tcPr>
                  <w:tcW w:w="561" w:type="pct"/>
                  <w:shd w:val="clear" w:color="auto" w:fill="auto"/>
                  <w:vAlign w:val="center"/>
                </w:tcPr>
                <w:p w14:paraId="46459CCC">
                  <w:pPr>
                    <w:pStyle w:val="37"/>
                    <w:rPr>
                      <w:color w:val="0000FF"/>
                    </w:rPr>
                  </w:pPr>
                  <w:r>
                    <w:rPr>
                      <w:rFonts w:hint="eastAsia"/>
                      <w:color w:val="0000FF"/>
                    </w:rPr>
                    <w:t>205.2</w:t>
                  </w:r>
                </w:p>
              </w:tc>
              <w:tc>
                <w:tcPr>
                  <w:tcW w:w="528" w:type="pct"/>
                  <w:vAlign w:val="center"/>
                </w:tcPr>
                <w:p w14:paraId="779D2A14">
                  <w:pPr>
                    <w:pStyle w:val="29"/>
                    <w:rPr>
                      <w:color w:val="0000FF"/>
                    </w:rPr>
                  </w:pPr>
                  <w:r>
                    <w:rPr>
                      <w:rFonts w:hint="eastAsia"/>
                      <w:color w:val="0000FF"/>
                    </w:rPr>
                    <w:t>32.5</w:t>
                  </w:r>
                </w:p>
              </w:tc>
              <w:tc>
                <w:tcPr>
                  <w:tcW w:w="797" w:type="dxa"/>
                  <w:vAlign w:val="center"/>
                </w:tcPr>
                <w:p w14:paraId="636437A7">
                  <w:pPr>
                    <w:pStyle w:val="29"/>
                    <w:rPr>
                      <w:color w:val="0000FF"/>
                    </w:rPr>
                  </w:pPr>
                  <w:r>
                    <w:rPr>
                      <w:rFonts w:hint="eastAsia"/>
                      <w:color w:val="0000FF"/>
                    </w:rPr>
                    <w:t>40</w:t>
                  </w:r>
                </w:p>
              </w:tc>
              <w:tc>
                <w:tcPr>
                  <w:tcW w:w="717" w:type="pct"/>
                  <w:vAlign w:val="center"/>
                </w:tcPr>
                <w:p w14:paraId="16B7DB36">
                  <w:pPr>
                    <w:pStyle w:val="29"/>
                    <w:rPr>
                      <w:color w:val="0000FF"/>
                    </w:rPr>
                  </w:pPr>
                  <w:r>
                    <w:rPr>
                      <w:rFonts w:hint="eastAsia"/>
                      <w:color w:val="0000FF"/>
                    </w:rPr>
                    <w:t>29.4</w:t>
                  </w:r>
                </w:p>
              </w:tc>
              <w:tc>
                <w:tcPr>
                  <w:tcW w:w="536" w:type="pct"/>
                  <w:vAlign w:val="center"/>
                </w:tcPr>
                <w:p w14:paraId="26615C6B">
                  <w:pPr>
                    <w:pStyle w:val="29"/>
                    <w:rPr>
                      <w:color w:val="0000FF"/>
                    </w:rPr>
                  </w:pPr>
                  <w:r>
                    <w:rPr>
                      <w:rFonts w:hint="eastAsia"/>
                      <w:color w:val="0000FF"/>
                    </w:rPr>
                    <w:t>32.4</w:t>
                  </w:r>
                </w:p>
              </w:tc>
            </w:tr>
            <w:tr w14:paraId="3412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6236D454">
                  <w:pPr>
                    <w:pStyle w:val="29"/>
                    <w:rPr>
                      <w:color w:val="0000FF"/>
                    </w:rPr>
                  </w:pPr>
                </w:p>
              </w:tc>
              <w:tc>
                <w:tcPr>
                  <w:tcW w:w="574" w:type="pct"/>
                  <w:shd w:val="clear" w:color="auto" w:fill="auto"/>
                  <w:vAlign w:val="center"/>
                </w:tcPr>
                <w:p w14:paraId="6C7C745B">
                  <w:pPr>
                    <w:pStyle w:val="29"/>
                    <w:rPr>
                      <w:color w:val="0000FF"/>
                    </w:rPr>
                  </w:pPr>
                  <w:r>
                    <w:rPr>
                      <w:color w:val="0000FF"/>
                    </w:rPr>
                    <w:t>出水</w:t>
                  </w:r>
                </w:p>
              </w:tc>
              <w:tc>
                <w:tcPr>
                  <w:tcW w:w="608" w:type="pct"/>
                  <w:vAlign w:val="center"/>
                </w:tcPr>
                <w:p w14:paraId="7D88A71D">
                  <w:pPr>
                    <w:pStyle w:val="29"/>
                    <w:rPr>
                      <w:color w:val="0000FF"/>
                    </w:rPr>
                  </w:pPr>
                  <w:r>
                    <w:rPr>
                      <w:rFonts w:hint="eastAsia"/>
                      <w:color w:val="0000FF"/>
                    </w:rPr>
                    <w:t>460.7</w:t>
                  </w:r>
                </w:p>
              </w:tc>
              <w:tc>
                <w:tcPr>
                  <w:tcW w:w="547" w:type="pct"/>
                  <w:shd w:val="clear" w:color="auto" w:fill="auto"/>
                  <w:vAlign w:val="center"/>
                </w:tcPr>
                <w:p w14:paraId="7E7FFEA4">
                  <w:pPr>
                    <w:pStyle w:val="37"/>
                    <w:rPr>
                      <w:color w:val="0000FF"/>
                    </w:rPr>
                  </w:pPr>
                  <w:r>
                    <w:rPr>
                      <w:rFonts w:hint="eastAsia"/>
                      <w:color w:val="0000FF"/>
                    </w:rPr>
                    <w:t>316</w:t>
                  </w:r>
                </w:p>
              </w:tc>
              <w:tc>
                <w:tcPr>
                  <w:tcW w:w="561" w:type="pct"/>
                  <w:shd w:val="clear" w:color="auto" w:fill="auto"/>
                  <w:vAlign w:val="center"/>
                </w:tcPr>
                <w:p w14:paraId="0F58C434">
                  <w:pPr>
                    <w:pStyle w:val="37"/>
                    <w:rPr>
                      <w:color w:val="0000FF"/>
                    </w:rPr>
                  </w:pPr>
                  <w:r>
                    <w:rPr>
                      <w:rFonts w:hint="eastAsia"/>
                      <w:color w:val="0000FF"/>
                    </w:rPr>
                    <w:t>184.7</w:t>
                  </w:r>
                </w:p>
              </w:tc>
              <w:tc>
                <w:tcPr>
                  <w:tcW w:w="528" w:type="pct"/>
                  <w:vAlign w:val="center"/>
                </w:tcPr>
                <w:p w14:paraId="5B6BC4A6">
                  <w:pPr>
                    <w:pStyle w:val="29"/>
                    <w:rPr>
                      <w:color w:val="0000FF"/>
                    </w:rPr>
                  </w:pPr>
                  <w:r>
                    <w:rPr>
                      <w:rFonts w:hint="eastAsia"/>
                      <w:color w:val="0000FF"/>
                    </w:rPr>
                    <w:t>32.5</w:t>
                  </w:r>
                </w:p>
              </w:tc>
              <w:tc>
                <w:tcPr>
                  <w:tcW w:w="797" w:type="dxa"/>
                  <w:vAlign w:val="center"/>
                </w:tcPr>
                <w:p w14:paraId="5063F244">
                  <w:pPr>
                    <w:pStyle w:val="29"/>
                    <w:rPr>
                      <w:color w:val="0000FF"/>
                    </w:rPr>
                  </w:pPr>
                  <w:r>
                    <w:rPr>
                      <w:rFonts w:hint="eastAsia"/>
                      <w:color w:val="0000FF"/>
                    </w:rPr>
                    <w:t>40</w:t>
                  </w:r>
                </w:p>
              </w:tc>
              <w:tc>
                <w:tcPr>
                  <w:tcW w:w="717" w:type="pct"/>
                  <w:vAlign w:val="center"/>
                </w:tcPr>
                <w:p w14:paraId="2551EC01">
                  <w:pPr>
                    <w:pStyle w:val="29"/>
                    <w:rPr>
                      <w:color w:val="0000FF"/>
                    </w:rPr>
                  </w:pPr>
                  <w:r>
                    <w:rPr>
                      <w:rFonts w:hint="eastAsia"/>
                      <w:color w:val="0000FF"/>
                    </w:rPr>
                    <w:t>29.4</w:t>
                  </w:r>
                </w:p>
              </w:tc>
              <w:tc>
                <w:tcPr>
                  <w:tcW w:w="536" w:type="pct"/>
                  <w:vAlign w:val="center"/>
                </w:tcPr>
                <w:p w14:paraId="52D798E9">
                  <w:pPr>
                    <w:pStyle w:val="29"/>
                    <w:rPr>
                      <w:color w:val="0000FF"/>
                    </w:rPr>
                  </w:pPr>
                  <w:r>
                    <w:rPr>
                      <w:rFonts w:hint="eastAsia"/>
                      <w:color w:val="0000FF"/>
                    </w:rPr>
                    <w:t>26</w:t>
                  </w:r>
                </w:p>
              </w:tc>
            </w:tr>
            <w:tr w14:paraId="3862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3268E333">
                  <w:pPr>
                    <w:pStyle w:val="29"/>
                    <w:rPr>
                      <w:color w:val="0000FF"/>
                    </w:rPr>
                  </w:pPr>
                </w:p>
              </w:tc>
              <w:tc>
                <w:tcPr>
                  <w:tcW w:w="574" w:type="pct"/>
                  <w:shd w:val="clear" w:color="auto" w:fill="auto"/>
                  <w:vAlign w:val="center"/>
                </w:tcPr>
                <w:p w14:paraId="7CE0F91C">
                  <w:pPr>
                    <w:pStyle w:val="29"/>
                    <w:rPr>
                      <w:color w:val="0000FF"/>
                    </w:rPr>
                  </w:pPr>
                  <w:r>
                    <w:rPr>
                      <w:color w:val="0000FF"/>
                    </w:rPr>
                    <w:t>效率</w:t>
                  </w:r>
                </w:p>
              </w:tc>
              <w:tc>
                <w:tcPr>
                  <w:tcW w:w="608" w:type="pct"/>
                  <w:shd w:val="clear" w:color="auto" w:fill="auto"/>
                  <w:vAlign w:val="center"/>
                </w:tcPr>
                <w:p w14:paraId="5DC1A25A">
                  <w:pPr>
                    <w:pStyle w:val="37"/>
                    <w:rPr>
                      <w:color w:val="0000FF"/>
                    </w:rPr>
                  </w:pPr>
                  <w:r>
                    <w:rPr>
                      <w:rFonts w:hint="eastAsia"/>
                      <w:color w:val="0000FF"/>
                    </w:rPr>
                    <w:t>25</w:t>
                  </w:r>
                </w:p>
              </w:tc>
              <w:tc>
                <w:tcPr>
                  <w:tcW w:w="547" w:type="pct"/>
                  <w:shd w:val="clear" w:color="auto" w:fill="auto"/>
                  <w:vAlign w:val="center"/>
                </w:tcPr>
                <w:p w14:paraId="687E4836">
                  <w:pPr>
                    <w:pStyle w:val="37"/>
                    <w:rPr>
                      <w:color w:val="0000FF"/>
                    </w:rPr>
                  </w:pPr>
                  <w:r>
                    <w:rPr>
                      <w:rFonts w:hint="eastAsia"/>
                      <w:color w:val="0000FF"/>
                    </w:rPr>
                    <w:t>10</w:t>
                  </w:r>
                </w:p>
              </w:tc>
              <w:tc>
                <w:tcPr>
                  <w:tcW w:w="561" w:type="pct"/>
                  <w:shd w:val="clear" w:color="auto" w:fill="auto"/>
                  <w:vAlign w:val="center"/>
                </w:tcPr>
                <w:p w14:paraId="4FA52093">
                  <w:pPr>
                    <w:pStyle w:val="37"/>
                    <w:rPr>
                      <w:color w:val="0000FF"/>
                    </w:rPr>
                  </w:pPr>
                  <w:r>
                    <w:rPr>
                      <w:rFonts w:hint="eastAsia"/>
                      <w:color w:val="0000FF"/>
                    </w:rPr>
                    <w:t>10</w:t>
                  </w:r>
                </w:p>
              </w:tc>
              <w:tc>
                <w:tcPr>
                  <w:tcW w:w="528" w:type="pct"/>
                  <w:vAlign w:val="center"/>
                </w:tcPr>
                <w:p w14:paraId="0CDF82E5">
                  <w:pPr>
                    <w:pStyle w:val="29"/>
                    <w:rPr>
                      <w:color w:val="0000FF"/>
                    </w:rPr>
                  </w:pPr>
                  <w:r>
                    <w:rPr>
                      <w:rFonts w:hint="eastAsia"/>
                      <w:color w:val="0000FF"/>
                    </w:rPr>
                    <w:t>0</w:t>
                  </w:r>
                </w:p>
              </w:tc>
              <w:tc>
                <w:tcPr>
                  <w:tcW w:w="797" w:type="dxa"/>
                  <w:vAlign w:val="center"/>
                </w:tcPr>
                <w:p w14:paraId="75AD3659">
                  <w:pPr>
                    <w:pStyle w:val="29"/>
                    <w:rPr>
                      <w:color w:val="0000FF"/>
                    </w:rPr>
                  </w:pPr>
                  <w:r>
                    <w:rPr>
                      <w:rFonts w:hint="eastAsia"/>
                      <w:color w:val="0000FF"/>
                    </w:rPr>
                    <w:t>0</w:t>
                  </w:r>
                </w:p>
              </w:tc>
              <w:tc>
                <w:tcPr>
                  <w:tcW w:w="717" w:type="pct"/>
                  <w:vAlign w:val="center"/>
                </w:tcPr>
                <w:p w14:paraId="110AE627">
                  <w:pPr>
                    <w:pStyle w:val="29"/>
                    <w:rPr>
                      <w:color w:val="0000FF"/>
                    </w:rPr>
                  </w:pPr>
                  <w:r>
                    <w:rPr>
                      <w:rFonts w:hint="eastAsia"/>
                      <w:color w:val="0000FF"/>
                    </w:rPr>
                    <w:t>0</w:t>
                  </w:r>
                </w:p>
              </w:tc>
              <w:tc>
                <w:tcPr>
                  <w:tcW w:w="536" w:type="pct"/>
                  <w:vAlign w:val="center"/>
                </w:tcPr>
                <w:p w14:paraId="6A2C1658">
                  <w:pPr>
                    <w:pStyle w:val="29"/>
                    <w:rPr>
                      <w:color w:val="0000FF"/>
                    </w:rPr>
                  </w:pPr>
                  <w:r>
                    <w:rPr>
                      <w:rFonts w:hint="eastAsia"/>
                      <w:color w:val="0000FF"/>
                    </w:rPr>
                    <w:t>10</w:t>
                  </w:r>
                </w:p>
              </w:tc>
            </w:tr>
            <w:tr w14:paraId="7F6D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28644D3D">
                  <w:pPr>
                    <w:pStyle w:val="29"/>
                    <w:rPr>
                      <w:color w:val="0000FF"/>
                    </w:rPr>
                  </w:pPr>
                  <w:r>
                    <w:rPr>
                      <w:color w:val="0000FF"/>
                    </w:rPr>
                    <w:t>A/O</w:t>
                  </w:r>
                </w:p>
              </w:tc>
              <w:tc>
                <w:tcPr>
                  <w:tcW w:w="574" w:type="pct"/>
                  <w:shd w:val="clear" w:color="auto" w:fill="auto"/>
                  <w:vAlign w:val="center"/>
                </w:tcPr>
                <w:p w14:paraId="2AF3DAE7">
                  <w:pPr>
                    <w:pStyle w:val="29"/>
                    <w:rPr>
                      <w:color w:val="0000FF"/>
                    </w:rPr>
                  </w:pPr>
                  <w:r>
                    <w:rPr>
                      <w:color w:val="0000FF"/>
                    </w:rPr>
                    <w:t>进水</w:t>
                  </w:r>
                </w:p>
              </w:tc>
              <w:tc>
                <w:tcPr>
                  <w:tcW w:w="608" w:type="pct"/>
                  <w:shd w:val="clear" w:color="auto" w:fill="auto"/>
                  <w:vAlign w:val="center"/>
                </w:tcPr>
                <w:p w14:paraId="68219D2B">
                  <w:pPr>
                    <w:pStyle w:val="37"/>
                    <w:rPr>
                      <w:color w:val="0000FF"/>
                    </w:rPr>
                  </w:pPr>
                  <w:r>
                    <w:rPr>
                      <w:rFonts w:hint="eastAsia"/>
                      <w:color w:val="0000FF"/>
                    </w:rPr>
                    <w:t>460.7</w:t>
                  </w:r>
                </w:p>
              </w:tc>
              <w:tc>
                <w:tcPr>
                  <w:tcW w:w="547" w:type="pct"/>
                  <w:shd w:val="clear" w:color="auto" w:fill="auto"/>
                  <w:vAlign w:val="center"/>
                </w:tcPr>
                <w:p w14:paraId="6C975EDF">
                  <w:pPr>
                    <w:pStyle w:val="37"/>
                    <w:rPr>
                      <w:color w:val="0000FF"/>
                    </w:rPr>
                  </w:pPr>
                  <w:r>
                    <w:rPr>
                      <w:rFonts w:hint="eastAsia"/>
                      <w:color w:val="0000FF"/>
                    </w:rPr>
                    <w:t>316</w:t>
                  </w:r>
                </w:p>
              </w:tc>
              <w:tc>
                <w:tcPr>
                  <w:tcW w:w="561" w:type="pct"/>
                  <w:shd w:val="clear" w:color="auto" w:fill="auto"/>
                  <w:vAlign w:val="center"/>
                </w:tcPr>
                <w:p w14:paraId="061F9291">
                  <w:pPr>
                    <w:pStyle w:val="37"/>
                    <w:rPr>
                      <w:color w:val="0000FF"/>
                    </w:rPr>
                  </w:pPr>
                  <w:r>
                    <w:rPr>
                      <w:rFonts w:hint="eastAsia"/>
                      <w:color w:val="0000FF"/>
                    </w:rPr>
                    <w:t>184.7</w:t>
                  </w:r>
                </w:p>
              </w:tc>
              <w:tc>
                <w:tcPr>
                  <w:tcW w:w="842" w:type="dxa"/>
                  <w:vAlign w:val="center"/>
                </w:tcPr>
                <w:p w14:paraId="04467A67">
                  <w:pPr>
                    <w:pStyle w:val="29"/>
                    <w:rPr>
                      <w:color w:val="0000FF"/>
                    </w:rPr>
                  </w:pPr>
                  <w:r>
                    <w:rPr>
                      <w:rFonts w:hint="eastAsia"/>
                      <w:color w:val="0000FF"/>
                    </w:rPr>
                    <w:t>32.5</w:t>
                  </w:r>
                </w:p>
              </w:tc>
              <w:tc>
                <w:tcPr>
                  <w:tcW w:w="797" w:type="dxa"/>
                  <w:vAlign w:val="center"/>
                </w:tcPr>
                <w:p w14:paraId="1ED27DF6">
                  <w:pPr>
                    <w:pStyle w:val="29"/>
                    <w:rPr>
                      <w:color w:val="0000FF"/>
                    </w:rPr>
                  </w:pPr>
                  <w:r>
                    <w:rPr>
                      <w:rFonts w:hint="eastAsia"/>
                      <w:color w:val="0000FF"/>
                    </w:rPr>
                    <w:t>40</w:t>
                  </w:r>
                </w:p>
              </w:tc>
              <w:tc>
                <w:tcPr>
                  <w:tcW w:w="717" w:type="pct"/>
                  <w:vAlign w:val="center"/>
                </w:tcPr>
                <w:p w14:paraId="0C371738">
                  <w:pPr>
                    <w:pStyle w:val="29"/>
                    <w:rPr>
                      <w:color w:val="0000FF"/>
                    </w:rPr>
                  </w:pPr>
                  <w:r>
                    <w:rPr>
                      <w:rFonts w:hint="eastAsia"/>
                      <w:color w:val="0000FF"/>
                    </w:rPr>
                    <w:t>29.4</w:t>
                  </w:r>
                </w:p>
              </w:tc>
              <w:tc>
                <w:tcPr>
                  <w:tcW w:w="536" w:type="pct"/>
                  <w:vAlign w:val="center"/>
                </w:tcPr>
                <w:p w14:paraId="38827272">
                  <w:pPr>
                    <w:pStyle w:val="29"/>
                    <w:rPr>
                      <w:color w:val="0000FF"/>
                    </w:rPr>
                  </w:pPr>
                  <w:r>
                    <w:rPr>
                      <w:rFonts w:hint="eastAsia"/>
                      <w:color w:val="0000FF"/>
                    </w:rPr>
                    <w:t>26</w:t>
                  </w:r>
                </w:p>
              </w:tc>
            </w:tr>
            <w:tr w14:paraId="635E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2053AC4E">
                  <w:pPr>
                    <w:pStyle w:val="29"/>
                    <w:rPr>
                      <w:color w:val="0000FF"/>
                    </w:rPr>
                  </w:pPr>
                </w:p>
              </w:tc>
              <w:tc>
                <w:tcPr>
                  <w:tcW w:w="574" w:type="pct"/>
                  <w:shd w:val="clear" w:color="auto" w:fill="auto"/>
                  <w:vAlign w:val="center"/>
                </w:tcPr>
                <w:p w14:paraId="4505F8B0">
                  <w:pPr>
                    <w:pStyle w:val="29"/>
                    <w:rPr>
                      <w:color w:val="0000FF"/>
                    </w:rPr>
                  </w:pPr>
                  <w:r>
                    <w:rPr>
                      <w:color w:val="0000FF"/>
                    </w:rPr>
                    <w:t>出水</w:t>
                  </w:r>
                </w:p>
              </w:tc>
              <w:tc>
                <w:tcPr>
                  <w:tcW w:w="608" w:type="pct"/>
                  <w:shd w:val="clear" w:color="auto" w:fill="auto"/>
                  <w:vAlign w:val="center"/>
                </w:tcPr>
                <w:p w14:paraId="1122554D">
                  <w:pPr>
                    <w:pStyle w:val="37"/>
                    <w:rPr>
                      <w:color w:val="0000FF"/>
                    </w:rPr>
                  </w:pPr>
                  <w:r>
                    <w:rPr>
                      <w:rFonts w:hint="eastAsia"/>
                      <w:color w:val="0000FF"/>
                    </w:rPr>
                    <w:t>280</w:t>
                  </w:r>
                </w:p>
              </w:tc>
              <w:tc>
                <w:tcPr>
                  <w:tcW w:w="547" w:type="pct"/>
                  <w:shd w:val="clear" w:color="auto" w:fill="auto"/>
                  <w:vAlign w:val="center"/>
                </w:tcPr>
                <w:p w14:paraId="6D2F2AE2">
                  <w:pPr>
                    <w:pStyle w:val="37"/>
                    <w:rPr>
                      <w:color w:val="0000FF"/>
                    </w:rPr>
                  </w:pPr>
                  <w:r>
                    <w:rPr>
                      <w:rFonts w:hint="eastAsia"/>
                      <w:color w:val="0000FF"/>
                    </w:rPr>
                    <w:t>250</w:t>
                  </w:r>
                </w:p>
              </w:tc>
              <w:tc>
                <w:tcPr>
                  <w:tcW w:w="561" w:type="pct"/>
                  <w:vAlign w:val="center"/>
                </w:tcPr>
                <w:p w14:paraId="458D1DFB">
                  <w:pPr>
                    <w:pStyle w:val="29"/>
                    <w:rPr>
                      <w:color w:val="0000FF"/>
                    </w:rPr>
                  </w:pPr>
                  <w:r>
                    <w:rPr>
                      <w:rFonts w:hint="eastAsia"/>
                      <w:color w:val="0000FF"/>
                    </w:rPr>
                    <w:t>166.2</w:t>
                  </w:r>
                </w:p>
              </w:tc>
              <w:tc>
                <w:tcPr>
                  <w:tcW w:w="842" w:type="dxa"/>
                  <w:vAlign w:val="center"/>
                </w:tcPr>
                <w:p w14:paraId="51C40604">
                  <w:pPr>
                    <w:pStyle w:val="29"/>
                    <w:rPr>
                      <w:color w:val="0000FF"/>
                    </w:rPr>
                  </w:pPr>
                  <w:r>
                    <w:rPr>
                      <w:rFonts w:hint="eastAsia"/>
                      <w:color w:val="0000FF"/>
                    </w:rPr>
                    <w:t>32.5</w:t>
                  </w:r>
                </w:p>
              </w:tc>
              <w:tc>
                <w:tcPr>
                  <w:tcW w:w="797" w:type="dxa"/>
                  <w:vAlign w:val="center"/>
                </w:tcPr>
                <w:p w14:paraId="6827AD81">
                  <w:pPr>
                    <w:pStyle w:val="29"/>
                    <w:rPr>
                      <w:color w:val="0000FF"/>
                    </w:rPr>
                  </w:pPr>
                  <w:r>
                    <w:rPr>
                      <w:rFonts w:hint="eastAsia"/>
                      <w:color w:val="0000FF"/>
                    </w:rPr>
                    <w:t>40</w:t>
                  </w:r>
                </w:p>
              </w:tc>
              <w:tc>
                <w:tcPr>
                  <w:tcW w:w="717" w:type="pct"/>
                  <w:vAlign w:val="center"/>
                </w:tcPr>
                <w:p w14:paraId="553816D6">
                  <w:pPr>
                    <w:pStyle w:val="29"/>
                    <w:rPr>
                      <w:color w:val="0000FF"/>
                    </w:rPr>
                  </w:pPr>
                  <w:r>
                    <w:rPr>
                      <w:color w:val="0000FF"/>
                    </w:rPr>
                    <w:t>7.5</w:t>
                  </w:r>
                </w:p>
              </w:tc>
              <w:tc>
                <w:tcPr>
                  <w:tcW w:w="536" w:type="pct"/>
                  <w:vAlign w:val="center"/>
                </w:tcPr>
                <w:p w14:paraId="63D0FBF0">
                  <w:pPr>
                    <w:pStyle w:val="29"/>
                    <w:rPr>
                      <w:color w:val="0000FF"/>
                    </w:rPr>
                  </w:pPr>
                  <w:r>
                    <w:rPr>
                      <w:rFonts w:hint="eastAsia"/>
                      <w:color w:val="0000FF"/>
                    </w:rPr>
                    <w:t>7</w:t>
                  </w:r>
                </w:p>
              </w:tc>
            </w:tr>
            <w:tr w14:paraId="3DB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29DD4B14">
                  <w:pPr>
                    <w:pStyle w:val="29"/>
                    <w:rPr>
                      <w:color w:val="0000FF"/>
                    </w:rPr>
                  </w:pPr>
                </w:p>
              </w:tc>
              <w:tc>
                <w:tcPr>
                  <w:tcW w:w="574" w:type="pct"/>
                  <w:shd w:val="clear" w:color="auto" w:fill="auto"/>
                  <w:vAlign w:val="center"/>
                </w:tcPr>
                <w:p w14:paraId="2995F531">
                  <w:pPr>
                    <w:pStyle w:val="29"/>
                    <w:rPr>
                      <w:color w:val="0000FF"/>
                    </w:rPr>
                  </w:pPr>
                  <w:r>
                    <w:rPr>
                      <w:color w:val="0000FF"/>
                    </w:rPr>
                    <w:t>效率</w:t>
                  </w:r>
                </w:p>
              </w:tc>
              <w:tc>
                <w:tcPr>
                  <w:tcW w:w="608" w:type="pct"/>
                  <w:shd w:val="clear" w:color="auto" w:fill="auto"/>
                  <w:vAlign w:val="center"/>
                </w:tcPr>
                <w:p w14:paraId="78EC11BE">
                  <w:pPr>
                    <w:pStyle w:val="37"/>
                    <w:rPr>
                      <w:color w:val="0000FF"/>
                    </w:rPr>
                  </w:pPr>
                  <w:r>
                    <w:rPr>
                      <w:rFonts w:hint="eastAsia"/>
                      <w:color w:val="0000FF"/>
                    </w:rPr>
                    <w:t>39.2</w:t>
                  </w:r>
                </w:p>
              </w:tc>
              <w:tc>
                <w:tcPr>
                  <w:tcW w:w="547" w:type="pct"/>
                  <w:shd w:val="clear" w:color="auto" w:fill="auto"/>
                  <w:vAlign w:val="center"/>
                </w:tcPr>
                <w:p w14:paraId="1371A807">
                  <w:pPr>
                    <w:pStyle w:val="37"/>
                    <w:rPr>
                      <w:color w:val="0000FF"/>
                    </w:rPr>
                  </w:pPr>
                  <w:r>
                    <w:rPr>
                      <w:rFonts w:hint="eastAsia"/>
                      <w:color w:val="0000FF"/>
                    </w:rPr>
                    <w:t>21</w:t>
                  </w:r>
                </w:p>
              </w:tc>
              <w:tc>
                <w:tcPr>
                  <w:tcW w:w="561" w:type="pct"/>
                  <w:vAlign w:val="center"/>
                </w:tcPr>
                <w:p w14:paraId="0A47CDB8">
                  <w:pPr>
                    <w:pStyle w:val="29"/>
                    <w:rPr>
                      <w:color w:val="0000FF"/>
                    </w:rPr>
                  </w:pPr>
                  <w:r>
                    <w:rPr>
                      <w:rFonts w:hint="eastAsia"/>
                      <w:color w:val="0000FF"/>
                    </w:rPr>
                    <w:t>10</w:t>
                  </w:r>
                </w:p>
              </w:tc>
              <w:tc>
                <w:tcPr>
                  <w:tcW w:w="842" w:type="dxa"/>
                  <w:vAlign w:val="center"/>
                </w:tcPr>
                <w:p w14:paraId="7FABAFA8">
                  <w:pPr>
                    <w:pStyle w:val="29"/>
                    <w:rPr>
                      <w:color w:val="0000FF"/>
                    </w:rPr>
                  </w:pPr>
                  <w:r>
                    <w:rPr>
                      <w:rFonts w:hint="eastAsia"/>
                      <w:color w:val="0000FF"/>
                    </w:rPr>
                    <w:t>0</w:t>
                  </w:r>
                </w:p>
              </w:tc>
              <w:tc>
                <w:tcPr>
                  <w:tcW w:w="797" w:type="dxa"/>
                  <w:vAlign w:val="center"/>
                </w:tcPr>
                <w:p w14:paraId="787EB97D">
                  <w:pPr>
                    <w:pStyle w:val="29"/>
                    <w:rPr>
                      <w:color w:val="0000FF"/>
                    </w:rPr>
                  </w:pPr>
                  <w:r>
                    <w:rPr>
                      <w:rFonts w:hint="eastAsia"/>
                      <w:color w:val="0000FF"/>
                    </w:rPr>
                    <w:t>0</w:t>
                  </w:r>
                </w:p>
              </w:tc>
              <w:tc>
                <w:tcPr>
                  <w:tcW w:w="717" w:type="pct"/>
                  <w:vAlign w:val="center"/>
                </w:tcPr>
                <w:p w14:paraId="309EDB2F">
                  <w:pPr>
                    <w:pStyle w:val="29"/>
                    <w:rPr>
                      <w:color w:val="0000FF"/>
                    </w:rPr>
                  </w:pPr>
                  <w:r>
                    <w:rPr>
                      <w:rFonts w:hint="eastAsia"/>
                      <w:color w:val="0000FF"/>
                    </w:rPr>
                    <w:t>74.5</w:t>
                  </w:r>
                </w:p>
              </w:tc>
              <w:tc>
                <w:tcPr>
                  <w:tcW w:w="536" w:type="pct"/>
                  <w:vAlign w:val="center"/>
                </w:tcPr>
                <w:p w14:paraId="594B6DC5">
                  <w:pPr>
                    <w:pStyle w:val="29"/>
                    <w:rPr>
                      <w:color w:val="0000FF"/>
                    </w:rPr>
                  </w:pPr>
                  <w:r>
                    <w:rPr>
                      <w:rFonts w:hint="eastAsia"/>
                      <w:color w:val="0000FF"/>
                    </w:rPr>
                    <w:t>73</w:t>
                  </w:r>
                </w:p>
              </w:tc>
            </w:tr>
            <w:tr w14:paraId="5DDA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61AE6690">
                  <w:pPr>
                    <w:pStyle w:val="29"/>
                    <w:rPr>
                      <w:color w:val="0000FF"/>
                    </w:rPr>
                  </w:pPr>
                  <w:r>
                    <w:rPr>
                      <w:color w:val="0000FF"/>
                    </w:rPr>
                    <w:t>沉淀</w:t>
                  </w:r>
                </w:p>
              </w:tc>
              <w:tc>
                <w:tcPr>
                  <w:tcW w:w="574" w:type="pct"/>
                  <w:vAlign w:val="center"/>
                </w:tcPr>
                <w:p w14:paraId="7AA19E8A">
                  <w:pPr>
                    <w:pStyle w:val="29"/>
                    <w:rPr>
                      <w:color w:val="0000FF"/>
                    </w:rPr>
                  </w:pPr>
                  <w:r>
                    <w:rPr>
                      <w:color w:val="0000FF"/>
                    </w:rPr>
                    <w:t>进水</w:t>
                  </w:r>
                </w:p>
              </w:tc>
              <w:tc>
                <w:tcPr>
                  <w:tcW w:w="608" w:type="pct"/>
                  <w:shd w:val="clear" w:color="auto" w:fill="auto"/>
                  <w:vAlign w:val="center"/>
                </w:tcPr>
                <w:p w14:paraId="254C1A7B">
                  <w:pPr>
                    <w:pStyle w:val="37"/>
                    <w:rPr>
                      <w:color w:val="0000FF"/>
                    </w:rPr>
                  </w:pPr>
                  <w:r>
                    <w:rPr>
                      <w:rFonts w:hint="eastAsia"/>
                      <w:color w:val="0000FF"/>
                    </w:rPr>
                    <w:t>280</w:t>
                  </w:r>
                </w:p>
              </w:tc>
              <w:tc>
                <w:tcPr>
                  <w:tcW w:w="547" w:type="pct"/>
                  <w:shd w:val="clear" w:color="auto" w:fill="auto"/>
                  <w:vAlign w:val="center"/>
                </w:tcPr>
                <w:p w14:paraId="73A0AE62">
                  <w:pPr>
                    <w:pStyle w:val="37"/>
                    <w:rPr>
                      <w:color w:val="0000FF"/>
                    </w:rPr>
                  </w:pPr>
                  <w:r>
                    <w:rPr>
                      <w:rFonts w:hint="eastAsia"/>
                      <w:color w:val="0000FF"/>
                    </w:rPr>
                    <w:t>250</w:t>
                  </w:r>
                </w:p>
              </w:tc>
              <w:tc>
                <w:tcPr>
                  <w:tcW w:w="561" w:type="pct"/>
                  <w:vAlign w:val="center"/>
                </w:tcPr>
                <w:p w14:paraId="764ECD4D">
                  <w:pPr>
                    <w:pStyle w:val="29"/>
                    <w:rPr>
                      <w:color w:val="0000FF"/>
                    </w:rPr>
                  </w:pPr>
                  <w:r>
                    <w:rPr>
                      <w:rFonts w:hint="eastAsia"/>
                      <w:color w:val="0000FF"/>
                    </w:rPr>
                    <w:t>166.2</w:t>
                  </w:r>
                </w:p>
              </w:tc>
              <w:tc>
                <w:tcPr>
                  <w:tcW w:w="842" w:type="dxa"/>
                  <w:vAlign w:val="center"/>
                </w:tcPr>
                <w:p w14:paraId="4826EBCC">
                  <w:pPr>
                    <w:pStyle w:val="29"/>
                    <w:rPr>
                      <w:color w:val="0000FF"/>
                    </w:rPr>
                  </w:pPr>
                  <w:r>
                    <w:rPr>
                      <w:rFonts w:hint="eastAsia"/>
                      <w:color w:val="0000FF"/>
                    </w:rPr>
                    <w:t>32.5</w:t>
                  </w:r>
                </w:p>
              </w:tc>
              <w:tc>
                <w:tcPr>
                  <w:tcW w:w="797" w:type="dxa"/>
                  <w:vAlign w:val="center"/>
                </w:tcPr>
                <w:p w14:paraId="1830CF72">
                  <w:pPr>
                    <w:pStyle w:val="29"/>
                    <w:rPr>
                      <w:color w:val="0000FF"/>
                    </w:rPr>
                  </w:pPr>
                  <w:r>
                    <w:rPr>
                      <w:rFonts w:hint="eastAsia"/>
                      <w:color w:val="0000FF"/>
                    </w:rPr>
                    <w:t>40</w:t>
                  </w:r>
                </w:p>
              </w:tc>
              <w:tc>
                <w:tcPr>
                  <w:tcW w:w="717" w:type="pct"/>
                  <w:vAlign w:val="center"/>
                </w:tcPr>
                <w:p w14:paraId="23931631">
                  <w:pPr>
                    <w:pStyle w:val="29"/>
                    <w:rPr>
                      <w:color w:val="0000FF"/>
                    </w:rPr>
                  </w:pPr>
                  <w:r>
                    <w:rPr>
                      <w:color w:val="0000FF"/>
                    </w:rPr>
                    <w:t>7.5</w:t>
                  </w:r>
                </w:p>
              </w:tc>
              <w:tc>
                <w:tcPr>
                  <w:tcW w:w="536" w:type="pct"/>
                  <w:vAlign w:val="center"/>
                </w:tcPr>
                <w:p w14:paraId="5CC71E1B">
                  <w:pPr>
                    <w:pStyle w:val="29"/>
                    <w:rPr>
                      <w:color w:val="0000FF"/>
                    </w:rPr>
                  </w:pPr>
                  <w:r>
                    <w:rPr>
                      <w:rFonts w:hint="eastAsia"/>
                      <w:color w:val="0000FF"/>
                    </w:rPr>
                    <w:t>7</w:t>
                  </w:r>
                </w:p>
              </w:tc>
            </w:tr>
            <w:tr w14:paraId="3B6C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2F643E3A">
                  <w:pPr>
                    <w:pStyle w:val="29"/>
                    <w:rPr>
                      <w:color w:val="0000FF"/>
                    </w:rPr>
                  </w:pPr>
                </w:p>
              </w:tc>
              <w:tc>
                <w:tcPr>
                  <w:tcW w:w="574" w:type="pct"/>
                  <w:vAlign w:val="center"/>
                </w:tcPr>
                <w:p w14:paraId="33B3FA5B">
                  <w:pPr>
                    <w:pStyle w:val="29"/>
                    <w:rPr>
                      <w:color w:val="0000FF"/>
                    </w:rPr>
                  </w:pPr>
                  <w:r>
                    <w:rPr>
                      <w:color w:val="0000FF"/>
                    </w:rPr>
                    <w:t>出水</w:t>
                  </w:r>
                </w:p>
              </w:tc>
              <w:tc>
                <w:tcPr>
                  <w:tcW w:w="608" w:type="pct"/>
                  <w:shd w:val="clear" w:color="auto" w:fill="auto"/>
                  <w:vAlign w:val="center"/>
                </w:tcPr>
                <w:p w14:paraId="1A98533F">
                  <w:pPr>
                    <w:pStyle w:val="37"/>
                    <w:rPr>
                      <w:color w:val="0000FF"/>
                    </w:rPr>
                  </w:pPr>
                  <w:r>
                    <w:rPr>
                      <w:rFonts w:hint="eastAsia"/>
                      <w:color w:val="0000FF"/>
                    </w:rPr>
                    <w:t>280</w:t>
                  </w:r>
                </w:p>
              </w:tc>
              <w:tc>
                <w:tcPr>
                  <w:tcW w:w="547" w:type="pct"/>
                  <w:vAlign w:val="center"/>
                </w:tcPr>
                <w:p w14:paraId="60BE57B9">
                  <w:pPr>
                    <w:pStyle w:val="29"/>
                    <w:rPr>
                      <w:color w:val="0000FF"/>
                    </w:rPr>
                  </w:pPr>
                  <w:r>
                    <w:rPr>
                      <w:rFonts w:hint="eastAsia"/>
                      <w:color w:val="0000FF"/>
                    </w:rPr>
                    <w:t>250</w:t>
                  </w:r>
                </w:p>
              </w:tc>
              <w:tc>
                <w:tcPr>
                  <w:tcW w:w="561" w:type="pct"/>
                  <w:vAlign w:val="center"/>
                </w:tcPr>
                <w:p w14:paraId="01384B1F">
                  <w:pPr>
                    <w:pStyle w:val="29"/>
                    <w:rPr>
                      <w:color w:val="0000FF"/>
                    </w:rPr>
                  </w:pPr>
                  <w:r>
                    <w:rPr>
                      <w:rFonts w:hint="eastAsia"/>
                      <w:color w:val="0000FF"/>
                    </w:rPr>
                    <w:t>160</w:t>
                  </w:r>
                </w:p>
              </w:tc>
              <w:tc>
                <w:tcPr>
                  <w:tcW w:w="842" w:type="dxa"/>
                  <w:vAlign w:val="center"/>
                </w:tcPr>
                <w:p w14:paraId="67A6A1DA">
                  <w:pPr>
                    <w:pStyle w:val="29"/>
                    <w:rPr>
                      <w:color w:val="0000FF"/>
                    </w:rPr>
                  </w:pPr>
                  <w:r>
                    <w:rPr>
                      <w:rFonts w:hint="eastAsia"/>
                      <w:color w:val="0000FF"/>
                    </w:rPr>
                    <w:t>32.5</w:t>
                  </w:r>
                </w:p>
              </w:tc>
              <w:tc>
                <w:tcPr>
                  <w:tcW w:w="797" w:type="dxa"/>
                  <w:vAlign w:val="center"/>
                </w:tcPr>
                <w:p w14:paraId="7E9C0DDF">
                  <w:pPr>
                    <w:pStyle w:val="29"/>
                    <w:rPr>
                      <w:color w:val="0000FF"/>
                    </w:rPr>
                  </w:pPr>
                  <w:r>
                    <w:rPr>
                      <w:rFonts w:hint="eastAsia"/>
                      <w:color w:val="0000FF"/>
                    </w:rPr>
                    <w:t>40</w:t>
                  </w:r>
                </w:p>
              </w:tc>
              <w:tc>
                <w:tcPr>
                  <w:tcW w:w="717" w:type="pct"/>
                  <w:vAlign w:val="center"/>
                </w:tcPr>
                <w:p w14:paraId="43CD1BF9">
                  <w:pPr>
                    <w:pStyle w:val="29"/>
                    <w:rPr>
                      <w:color w:val="0000FF"/>
                    </w:rPr>
                  </w:pPr>
                  <w:r>
                    <w:rPr>
                      <w:color w:val="0000FF"/>
                    </w:rPr>
                    <w:t>7.5</w:t>
                  </w:r>
                </w:p>
              </w:tc>
              <w:tc>
                <w:tcPr>
                  <w:tcW w:w="536" w:type="pct"/>
                  <w:vAlign w:val="center"/>
                </w:tcPr>
                <w:p w14:paraId="2EB6F1F4">
                  <w:pPr>
                    <w:pStyle w:val="29"/>
                    <w:rPr>
                      <w:color w:val="0000FF"/>
                    </w:rPr>
                  </w:pPr>
                  <w:r>
                    <w:rPr>
                      <w:rFonts w:hint="eastAsia"/>
                      <w:color w:val="0000FF"/>
                    </w:rPr>
                    <w:t>7</w:t>
                  </w:r>
                </w:p>
              </w:tc>
            </w:tr>
            <w:tr w14:paraId="6678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5E4ADC42">
                  <w:pPr>
                    <w:pStyle w:val="29"/>
                    <w:rPr>
                      <w:color w:val="0000FF"/>
                    </w:rPr>
                  </w:pPr>
                </w:p>
              </w:tc>
              <w:tc>
                <w:tcPr>
                  <w:tcW w:w="574" w:type="pct"/>
                  <w:vAlign w:val="center"/>
                </w:tcPr>
                <w:p w14:paraId="78F0C636">
                  <w:pPr>
                    <w:pStyle w:val="29"/>
                    <w:rPr>
                      <w:color w:val="0000FF"/>
                    </w:rPr>
                  </w:pPr>
                  <w:r>
                    <w:rPr>
                      <w:color w:val="0000FF"/>
                    </w:rPr>
                    <w:t>效率</w:t>
                  </w:r>
                </w:p>
              </w:tc>
              <w:tc>
                <w:tcPr>
                  <w:tcW w:w="608" w:type="pct"/>
                  <w:shd w:val="clear" w:color="auto" w:fill="auto"/>
                  <w:vAlign w:val="center"/>
                </w:tcPr>
                <w:p w14:paraId="47F0F795">
                  <w:pPr>
                    <w:pStyle w:val="37"/>
                    <w:rPr>
                      <w:color w:val="0000FF"/>
                    </w:rPr>
                  </w:pPr>
                  <w:r>
                    <w:rPr>
                      <w:rFonts w:hint="eastAsia"/>
                      <w:color w:val="0000FF"/>
                    </w:rPr>
                    <w:t>0</w:t>
                  </w:r>
                </w:p>
              </w:tc>
              <w:tc>
                <w:tcPr>
                  <w:tcW w:w="547" w:type="pct"/>
                  <w:vAlign w:val="center"/>
                </w:tcPr>
                <w:p w14:paraId="0256F39D">
                  <w:pPr>
                    <w:pStyle w:val="29"/>
                    <w:rPr>
                      <w:color w:val="0000FF"/>
                    </w:rPr>
                  </w:pPr>
                  <w:r>
                    <w:rPr>
                      <w:rFonts w:hint="eastAsia"/>
                      <w:color w:val="0000FF"/>
                    </w:rPr>
                    <w:t>0</w:t>
                  </w:r>
                </w:p>
              </w:tc>
              <w:tc>
                <w:tcPr>
                  <w:tcW w:w="561" w:type="pct"/>
                  <w:vAlign w:val="center"/>
                </w:tcPr>
                <w:p w14:paraId="5CCC7166">
                  <w:pPr>
                    <w:pStyle w:val="29"/>
                    <w:rPr>
                      <w:color w:val="0000FF"/>
                    </w:rPr>
                  </w:pPr>
                  <w:r>
                    <w:rPr>
                      <w:rFonts w:hint="eastAsia"/>
                      <w:color w:val="0000FF"/>
                    </w:rPr>
                    <w:t>3.7</w:t>
                  </w:r>
                </w:p>
              </w:tc>
              <w:tc>
                <w:tcPr>
                  <w:tcW w:w="842" w:type="dxa"/>
                  <w:vAlign w:val="center"/>
                </w:tcPr>
                <w:p w14:paraId="2A274C12">
                  <w:pPr>
                    <w:pStyle w:val="29"/>
                    <w:rPr>
                      <w:color w:val="0000FF"/>
                    </w:rPr>
                  </w:pPr>
                  <w:r>
                    <w:rPr>
                      <w:rFonts w:hint="eastAsia"/>
                      <w:color w:val="0000FF"/>
                    </w:rPr>
                    <w:t>0</w:t>
                  </w:r>
                </w:p>
              </w:tc>
              <w:tc>
                <w:tcPr>
                  <w:tcW w:w="797" w:type="dxa"/>
                  <w:vAlign w:val="center"/>
                </w:tcPr>
                <w:p w14:paraId="409E1C3D">
                  <w:pPr>
                    <w:pStyle w:val="29"/>
                    <w:rPr>
                      <w:color w:val="0000FF"/>
                    </w:rPr>
                  </w:pPr>
                  <w:r>
                    <w:rPr>
                      <w:rFonts w:hint="eastAsia"/>
                      <w:color w:val="0000FF"/>
                    </w:rPr>
                    <w:t>0</w:t>
                  </w:r>
                </w:p>
              </w:tc>
              <w:tc>
                <w:tcPr>
                  <w:tcW w:w="717" w:type="pct"/>
                  <w:vAlign w:val="center"/>
                </w:tcPr>
                <w:p w14:paraId="0CAE37DD">
                  <w:pPr>
                    <w:pStyle w:val="29"/>
                    <w:rPr>
                      <w:color w:val="0000FF"/>
                    </w:rPr>
                  </w:pPr>
                  <w:r>
                    <w:rPr>
                      <w:rFonts w:hint="eastAsia"/>
                      <w:color w:val="0000FF"/>
                    </w:rPr>
                    <w:t>0</w:t>
                  </w:r>
                </w:p>
              </w:tc>
              <w:tc>
                <w:tcPr>
                  <w:tcW w:w="536" w:type="pct"/>
                  <w:vAlign w:val="center"/>
                </w:tcPr>
                <w:p w14:paraId="12A1DBC0">
                  <w:pPr>
                    <w:pStyle w:val="29"/>
                    <w:rPr>
                      <w:color w:val="0000FF"/>
                    </w:rPr>
                  </w:pPr>
                  <w:r>
                    <w:rPr>
                      <w:rFonts w:hint="eastAsia"/>
                      <w:color w:val="0000FF"/>
                    </w:rPr>
                    <w:t>0</w:t>
                  </w:r>
                </w:p>
              </w:tc>
            </w:tr>
            <w:tr w14:paraId="2F42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pct"/>
                  <w:gridSpan w:val="2"/>
                  <w:vAlign w:val="center"/>
                </w:tcPr>
                <w:p w14:paraId="268A031D">
                  <w:pPr>
                    <w:pStyle w:val="29"/>
                    <w:rPr>
                      <w:color w:val="0000FF"/>
                    </w:rPr>
                  </w:pPr>
                  <w:r>
                    <w:rPr>
                      <w:color w:val="0000FF"/>
                    </w:rPr>
                    <w:t>总排放浓度</w:t>
                  </w:r>
                </w:p>
              </w:tc>
              <w:tc>
                <w:tcPr>
                  <w:tcW w:w="608" w:type="pct"/>
                  <w:vAlign w:val="center"/>
                </w:tcPr>
                <w:p w14:paraId="17A63BF7">
                  <w:pPr>
                    <w:pStyle w:val="29"/>
                    <w:rPr>
                      <w:color w:val="0000FF"/>
                    </w:rPr>
                  </w:pPr>
                  <w:r>
                    <w:rPr>
                      <w:color w:val="0000FF"/>
                    </w:rPr>
                    <w:t>280</w:t>
                  </w:r>
                </w:p>
              </w:tc>
              <w:tc>
                <w:tcPr>
                  <w:tcW w:w="547" w:type="pct"/>
                  <w:vAlign w:val="center"/>
                </w:tcPr>
                <w:p w14:paraId="5F5730B2">
                  <w:pPr>
                    <w:pStyle w:val="29"/>
                    <w:rPr>
                      <w:color w:val="0000FF"/>
                    </w:rPr>
                  </w:pPr>
                  <w:r>
                    <w:rPr>
                      <w:color w:val="0000FF"/>
                    </w:rPr>
                    <w:t>250</w:t>
                  </w:r>
                </w:p>
              </w:tc>
              <w:tc>
                <w:tcPr>
                  <w:tcW w:w="561" w:type="pct"/>
                  <w:vAlign w:val="center"/>
                </w:tcPr>
                <w:p w14:paraId="2EF3FED2">
                  <w:pPr>
                    <w:pStyle w:val="29"/>
                    <w:rPr>
                      <w:color w:val="0000FF"/>
                    </w:rPr>
                  </w:pPr>
                  <w:r>
                    <w:rPr>
                      <w:color w:val="0000FF"/>
                    </w:rPr>
                    <w:t>160</w:t>
                  </w:r>
                </w:p>
              </w:tc>
              <w:tc>
                <w:tcPr>
                  <w:tcW w:w="528" w:type="pct"/>
                  <w:vAlign w:val="center"/>
                </w:tcPr>
                <w:p w14:paraId="6183962E">
                  <w:pPr>
                    <w:pStyle w:val="29"/>
                    <w:rPr>
                      <w:color w:val="0000FF"/>
                    </w:rPr>
                  </w:pPr>
                  <w:r>
                    <w:rPr>
                      <w:color w:val="0000FF"/>
                    </w:rPr>
                    <w:t>32.5</w:t>
                  </w:r>
                </w:p>
              </w:tc>
              <w:tc>
                <w:tcPr>
                  <w:tcW w:w="500" w:type="pct"/>
                  <w:vAlign w:val="center"/>
                </w:tcPr>
                <w:p w14:paraId="10253F07">
                  <w:pPr>
                    <w:pStyle w:val="29"/>
                    <w:rPr>
                      <w:color w:val="0000FF"/>
                    </w:rPr>
                  </w:pPr>
                  <w:r>
                    <w:rPr>
                      <w:color w:val="0000FF"/>
                    </w:rPr>
                    <w:t>40</w:t>
                  </w:r>
                </w:p>
              </w:tc>
              <w:tc>
                <w:tcPr>
                  <w:tcW w:w="717" w:type="pct"/>
                  <w:vAlign w:val="center"/>
                </w:tcPr>
                <w:p w14:paraId="7FEF9AA0">
                  <w:pPr>
                    <w:pStyle w:val="29"/>
                    <w:rPr>
                      <w:color w:val="0000FF"/>
                    </w:rPr>
                  </w:pPr>
                  <w:r>
                    <w:rPr>
                      <w:color w:val="0000FF"/>
                    </w:rPr>
                    <w:t>7.5</w:t>
                  </w:r>
                </w:p>
              </w:tc>
              <w:tc>
                <w:tcPr>
                  <w:tcW w:w="536" w:type="pct"/>
                  <w:vAlign w:val="center"/>
                </w:tcPr>
                <w:p w14:paraId="260BD6FA">
                  <w:pPr>
                    <w:pStyle w:val="29"/>
                    <w:rPr>
                      <w:color w:val="0000FF"/>
                    </w:rPr>
                  </w:pPr>
                  <w:r>
                    <w:rPr>
                      <w:color w:val="0000FF"/>
                    </w:rPr>
                    <w:t>7</w:t>
                  </w:r>
                </w:p>
              </w:tc>
            </w:tr>
            <w:tr w14:paraId="4A4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pct"/>
                  <w:gridSpan w:val="2"/>
                  <w:vAlign w:val="center"/>
                </w:tcPr>
                <w:p w14:paraId="34F8FBBB">
                  <w:pPr>
                    <w:pStyle w:val="29"/>
                    <w:rPr>
                      <w:color w:val="0000FF"/>
                    </w:rPr>
                  </w:pPr>
                  <w:r>
                    <w:rPr>
                      <w:color w:val="0000FF"/>
                    </w:rPr>
                    <w:t>执行标准</w:t>
                  </w:r>
                </w:p>
              </w:tc>
              <w:tc>
                <w:tcPr>
                  <w:tcW w:w="608" w:type="pct"/>
                  <w:vAlign w:val="center"/>
                </w:tcPr>
                <w:p w14:paraId="4EDE033C">
                  <w:pPr>
                    <w:pStyle w:val="29"/>
                    <w:rPr>
                      <w:color w:val="0000FF"/>
                    </w:rPr>
                  </w:pPr>
                  <w:r>
                    <w:rPr>
                      <w:color w:val="0000FF"/>
                    </w:rPr>
                    <w:t>500</w:t>
                  </w:r>
                </w:p>
              </w:tc>
              <w:tc>
                <w:tcPr>
                  <w:tcW w:w="547" w:type="pct"/>
                  <w:vAlign w:val="center"/>
                </w:tcPr>
                <w:p w14:paraId="362EE785">
                  <w:pPr>
                    <w:pStyle w:val="29"/>
                    <w:rPr>
                      <w:color w:val="0000FF"/>
                    </w:rPr>
                  </w:pPr>
                  <w:r>
                    <w:rPr>
                      <w:color w:val="0000FF"/>
                    </w:rPr>
                    <w:t>300</w:t>
                  </w:r>
                </w:p>
              </w:tc>
              <w:tc>
                <w:tcPr>
                  <w:tcW w:w="561" w:type="pct"/>
                  <w:vAlign w:val="center"/>
                </w:tcPr>
                <w:p w14:paraId="4074A12C">
                  <w:pPr>
                    <w:pStyle w:val="29"/>
                    <w:rPr>
                      <w:color w:val="0000FF"/>
                    </w:rPr>
                  </w:pPr>
                  <w:r>
                    <w:rPr>
                      <w:color w:val="0000FF"/>
                    </w:rPr>
                    <w:t>400</w:t>
                  </w:r>
                </w:p>
              </w:tc>
              <w:tc>
                <w:tcPr>
                  <w:tcW w:w="528" w:type="pct"/>
                  <w:vAlign w:val="center"/>
                </w:tcPr>
                <w:p w14:paraId="5557F63E">
                  <w:pPr>
                    <w:pStyle w:val="29"/>
                    <w:rPr>
                      <w:color w:val="0000FF"/>
                    </w:rPr>
                  </w:pPr>
                  <w:r>
                    <w:rPr>
                      <w:color w:val="0000FF"/>
                    </w:rPr>
                    <w:t>45</w:t>
                  </w:r>
                </w:p>
              </w:tc>
              <w:tc>
                <w:tcPr>
                  <w:tcW w:w="500" w:type="pct"/>
                  <w:vAlign w:val="center"/>
                </w:tcPr>
                <w:p w14:paraId="2A8E7986">
                  <w:pPr>
                    <w:pStyle w:val="29"/>
                    <w:rPr>
                      <w:color w:val="0000FF"/>
                    </w:rPr>
                  </w:pPr>
                  <w:r>
                    <w:rPr>
                      <w:color w:val="0000FF"/>
                    </w:rPr>
                    <w:t>100</w:t>
                  </w:r>
                </w:p>
              </w:tc>
              <w:tc>
                <w:tcPr>
                  <w:tcW w:w="717" w:type="pct"/>
                  <w:vAlign w:val="center"/>
                </w:tcPr>
                <w:p w14:paraId="36D8CAB8">
                  <w:pPr>
                    <w:pStyle w:val="29"/>
                    <w:rPr>
                      <w:color w:val="0000FF"/>
                    </w:rPr>
                  </w:pPr>
                  <w:r>
                    <w:rPr>
                      <w:color w:val="0000FF"/>
                    </w:rPr>
                    <w:t>8</w:t>
                  </w:r>
                </w:p>
              </w:tc>
              <w:tc>
                <w:tcPr>
                  <w:tcW w:w="536" w:type="pct"/>
                  <w:vAlign w:val="center"/>
                </w:tcPr>
                <w:p w14:paraId="35E5C1CC">
                  <w:pPr>
                    <w:pStyle w:val="29"/>
                    <w:rPr>
                      <w:color w:val="0000FF"/>
                    </w:rPr>
                  </w:pPr>
                  <w:r>
                    <w:rPr>
                      <w:color w:val="0000FF"/>
                    </w:rPr>
                    <w:t>10</w:t>
                  </w:r>
                </w:p>
              </w:tc>
            </w:tr>
          </w:tbl>
          <w:p w14:paraId="591CE215">
            <w:r>
              <w:rPr>
                <w:rFonts w:hint="eastAsia"/>
                <w:bCs/>
              </w:rPr>
              <w:t>③</w:t>
            </w:r>
            <w:r>
              <w:rPr>
                <w:rFonts w:hint="eastAsia"/>
              </w:rPr>
              <w:t>可行技术分析</w:t>
            </w:r>
          </w:p>
          <w:p w14:paraId="441A1A24">
            <w:r>
              <w:rPr>
                <w:rFonts w:hint="eastAsia"/>
              </w:rPr>
              <w:t>对照</w:t>
            </w:r>
            <w:r>
              <w:t>《</w:t>
            </w:r>
            <w:r>
              <w:rPr>
                <w:rFonts w:hint="eastAsia"/>
              </w:rPr>
              <w:t>排污许可证申请与核发技术规范食品制造工业—方便食品、食品及饲料添加剂制造工业</w:t>
            </w:r>
            <w:r>
              <w:t>》（HJ 1030.3—2019），该规范中“表2推荐的污水治理可行技术参照表”见</w:t>
            </w:r>
            <w:r>
              <w:rPr>
                <w:rFonts w:hint="eastAsia"/>
              </w:rPr>
              <w:t>下</w:t>
            </w:r>
            <w:r>
              <w:t>表。</w:t>
            </w:r>
          </w:p>
          <w:p w14:paraId="3869C11A">
            <w:pPr>
              <w:spacing w:line="240" w:lineRule="auto"/>
              <w:ind w:firstLine="482"/>
              <w:jc w:val="center"/>
              <w:rPr>
                <w:b/>
                <w:bCs/>
              </w:rPr>
            </w:pPr>
            <w:r>
              <w:rPr>
                <w:b/>
                <w:bCs/>
              </w:rPr>
              <w:t>表4</w:t>
            </w:r>
            <w:r>
              <w:rPr>
                <w:rFonts w:hint="eastAsia"/>
                <w:b/>
                <w:bCs/>
              </w:rPr>
              <w:t>-9  方便食品</w:t>
            </w:r>
            <w:r>
              <w:rPr>
                <w:b/>
                <w:bCs/>
              </w:rPr>
              <w:t>排污单位污水治理可行技术参照表</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017"/>
              <w:gridCol w:w="833"/>
              <w:gridCol w:w="3580"/>
              <w:gridCol w:w="927"/>
              <w:gridCol w:w="754"/>
            </w:tblGrid>
            <w:tr w14:paraId="05EE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vAlign w:val="center"/>
                </w:tcPr>
                <w:p w14:paraId="4C21DD1C">
                  <w:pPr>
                    <w:adjustRightInd w:val="0"/>
                    <w:snapToGrid w:val="0"/>
                    <w:spacing w:line="240" w:lineRule="auto"/>
                    <w:ind w:firstLine="0" w:firstLineChars="0"/>
                    <w:jc w:val="center"/>
                    <w:rPr>
                      <w:color w:val="0000FF"/>
                      <w:sz w:val="21"/>
                      <w:szCs w:val="21"/>
                    </w:rPr>
                  </w:pPr>
                  <w:r>
                    <w:rPr>
                      <w:color w:val="0000FF"/>
                      <w:sz w:val="21"/>
                      <w:szCs w:val="21"/>
                    </w:rPr>
                    <w:t>污水类型</w:t>
                  </w:r>
                </w:p>
              </w:tc>
              <w:tc>
                <w:tcPr>
                  <w:tcW w:w="638" w:type="pct"/>
                  <w:vAlign w:val="center"/>
                </w:tcPr>
                <w:p w14:paraId="4A2C4CC5">
                  <w:pPr>
                    <w:adjustRightInd w:val="0"/>
                    <w:snapToGrid w:val="0"/>
                    <w:spacing w:line="240" w:lineRule="auto"/>
                    <w:ind w:firstLine="0" w:firstLineChars="0"/>
                    <w:jc w:val="center"/>
                    <w:rPr>
                      <w:color w:val="0000FF"/>
                      <w:sz w:val="21"/>
                      <w:szCs w:val="21"/>
                    </w:rPr>
                  </w:pPr>
                  <w:r>
                    <w:rPr>
                      <w:color w:val="0000FF"/>
                      <w:sz w:val="21"/>
                      <w:szCs w:val="21"/>
                    </w:rPr>
                    <w:t>污染物种类</w:t>
                  </w:r>
                </w:p>
              </w:tc>
              <w:tc>
                <w:tcPr>
                  <w:tcW w:w="523" w:type="pct"/>
                  <w:vAlign w:val="center"/>
                </w:tcPr>
                <w:p w14:paraId="2089F3FD">
                  <w:pPr>
                    <w:adjustRightInd w:val="0"/>
                    <w:snapToGrid w:val="0"/>
                    <w:spacing w:line="240" w:lineRule="auto"/>
                    <w:ind w:firstLine="0" w:firstLineChars="0"/>
                    <w:jc w:val="center"/>
                    <w:rPr>
                      <w:color w:val="0000FF"/>
                      <w:sz w:val="21"/>
                      <w:szCs w:val="21"/>
                    </w:rPr>
                  </w:pPr>
                  <w:r>
                    <w:rPr>
                      <w:color w:val="0000FF"/>
                      <w:sz w:val="21"/>
                      <w:szCs w:val="21"/>
                    </w:rPr>
                    <w:t>排放去向</w:t>
                  </w:r>
                </w:p>
              </w:tc>
              <w:tc>
                <w:tcPr>
                  <w:tcW w:w="2246" w:type="pct"/>
                  <w:vAlign w:val="center"/>
                </w:tcPr>
                <w:p w14:paraId="67620341">
                  <w:pPr>
                    <w:adjustRightInd w:val="0"/>
                    <w:snapToGrid w:val="0"/>
                    <w:spacing w:line="240" w:lineRule="auto"/>
                    <w:ind w:firstLine="0" w:firstLineChars="0"/>
                    <w:jc w:val="center"/>
                    <w:rPr>
                      <w:color w:val="0000FF"/>
                      <w:sz w:val="21"/>
                      <w:szCs w:val="21"/>
                    </w:rPr>
                  </w:pPr>
                  <w:r>
                    <w:rPr>
                      <w:color w:val="0000FF"/>
                      <w:sz w:val="21"/>
                      <w:szCs w:val="21"/>
                    </w:rPr>
                    <w:t>可行技术</w:t>
                  </w:r>
                </w:p>
              </w:tc>
              <w:tc>
                <w:tcPr>
                  <w:tcW w:w="582" w:type="pct"/>
                  <w:vAlign w:val="center"/>
                </w:tcPr>
                <w:p w14:paraId="3623C65B">
                  <w:pPr>
                    <w:adjustRightInd w:val="0"/>
                    <w:snapToGrid w:val="0"/>
                    <w:spacing w:line="240" w:lineRule="auto"/>
                    <w:ind w:firstLine="0" w:firstLineChars="0"/>
                    <w:jc w:val="center"/>
                    <w:rPr>
                      <w:color w:val="0000FF"/>
                      <w:sz w:val="21"/>
                      <w:szCs w:val="21"/>
                    </w:rPr>
                  </w:pPr>
                  <w:r>
                    <w:rPr>
                      <w:color w:val="0000FF"/>
                      <w:sz w:val="21"/>
                      <w:szCs w:val="21"/>
                    </w:rPr>
                    <w:t>本项目情况</w:t>
                  </w:r>
                </w:p>
              </w:tc>
              <w:tc>
                <w:tcPr>
                  <w:tcW w:w="473" w:type="pct"/>
                  <w:vAlign w:val="center"/>
                </w:tcPr>
                <w:p w14:paraId="157D608F">
                  <w:pPr>
                    <w:adjustRightInd w:val="0"/>
                    <w:snapToGrid w:val="0"/>
                    <w:spacing w:line="240" w:lineRule="auto"/>
                    <w:ind w:firstLine="0" w:firstLineChars="0"/>
                    <w:jc w:val="center"/>
                    <w:rPr>
                      <w:color w:val="0000FF"/>
                      <w:sz w:val="21"/>
                      <w:szCs w:val="21"/>
                    </w:rPr>
                  </w:pPr>
                  <w:r>
                    <w:rPr>
                      <w:color w:val="0000FF"/>
                      <w:sz w:val="21"/>
                      <w:szCs w:val="21"/>
                    </w:rPr>
                    <w:t>备注</w:t>
                  </w:r>
                </w:p>
              </w:tc>
            </w:tr>
            <w:tr w14:paraId="25FF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vAlign w:val="center"/>
                </w:tcPr>
                <w:p w14:paraId="1ADE348D">
                  <w:pPr>
                    <w:adjustRightInd w:val="0"/>
                    <w:snapToGrid w:val="0"/>
                    <w:spacing w:line="240" w:lineRule="auto"/>
                    <w:ind w:firstLine="0" w:firstLineChars="0"/>
                    <w:jc w:val="center"/>
                    <w:rPr>
                      <w:color w:val="0000FF"/>
                      <w:sz w:val="21"/>
                      <w:szCs w:val="21"/>
                    </w:rPr>
                  </w:pPr>
                  <w:r>
                    <w:rPr>
                      <w:color w:val="0000FF"/>
                      <w:sz w:val="21"/>
                      <w:szCs w:val="21"/>
                    </w:rPr>
                    <w:t>厂内综合污水处理站的综合污水</w:t>
                  </w:r>
                </w:p>
              </w:tc>
              <w:tc>
                <w:tcPr>
                  <w:tcW w:w="638" w:type="pct"/>
                  <w:vAlign w:val="center"/>
                </w:tcPr>
                <w:p w14:paraId="5992C61C">
                  <w:pPr>
                    <w:adjustRightInd w:val="0"/>
                    <w:snapToGrid w:val="0"/>
                    <w:spacing w:line="240" w:lineRule="auto"/>
                    <w:ind w:firstLine="0" w:firstLineChars="0"/>
                    <w:jc w:val="center"/>
                    <w:rPr>
                      <w:color w:val="0000FF"/>
                      <w:sz w:val="21"/>
                      <w:szCs w:val="21"/>
                    </w:rPr>
                  </w:pPr>
                  <w:r>
                    <w:rPr>
                      <w:color w:val="0000FF"/>
                      <w:sz w:val="21"/>
                      <w:szCs w:val="21"/>
                    </w:rPr>
                    <w:t>pH 值、CODCr、NH</w:t>
                  </w:r>
                  <w:r>
                    <w:rPr>
                      <w:color w:val="0000FF"/>
                      <w:sz w:val="21"/>
                      <w:szCs w:val="21"/>
                      <w:vertAlign w:val="subscript"/>
                    </w:rPr>
                    <w:t>3</w:t>
                  </w:r>
                  <w:r>
                    <w:rPr>
                      <w:color w:val="0000FF"/>
                      <w:sz w:val="21"/>
                      <w:szCs w:val="21"/>
                    </w:rPr>
                    <w:t>-N、SS、BOD</w:t>
                  </w:r>
                  <w:r>
                    <w:rPr>
                      <w:color w:val="0000FF"/>
                      <w:sz w:val="21"/>
                      <w:szCs w:val="21"/>
                      <w:vertAlign w:val="subscript"/>
                    </w:rPr>
                    <w:t>5</w:t>
                  </w:r>
                  <w:r>
                    <w:rPr>
                      <w:color w:val="0000FF"/>
                      <w:sz w:val="21"/>
                      <w:szCs w:val="21"/>
                    </w:rPr>
                    <w:t>、动植物油 、TP、LAS</w:t>
                  </w:r>
                </w:p>
              </w:tc>
              <w:tc>
                <w:tcPr>
                  <w:tcW w:w="523" w:type="pct"/>
                  <w:vAlign w:val="center"/>
                </w:tcPr>
                <w:p w14:paraId="6EC7058C">
                  <w:pPr>
                    <w:adjustRightInd w:val="0"/>
                    <w:snapToGrid w:val="0"/>
                    <w:spacing w:line="240" w:lineRule="auto"/>
                    <w:ind w:firstLine="0" w:firstLineChars="0"/>
                    <w:jc w:val="center"/>
                    <w:rPr>
                      <w:color w:val="0000FF"/>
                      <w:sz w:val="21"/>
                      <w:szCs w:val="21"/>
                    </w:rPr>
                  </w:pPr>
                  <w:r>
                    <w:rPr>
                      <w:color w:val="0000FF"/>
                      <w:sz w:val="21"/>
                      <w:szCs w:val="21"/>
                    </w:rPr>
                    <w:t>排入城镇污水处理厂</w:t>
                  </w:r>
                </w:p>
              </w:tc>
              <w:tc>
                <w:tcPr>
                  <w:tcW w:w="2246" w:type="pct"/>
                  <w:vAlign w:val="center"/>
                </w:tcPr>
                <w:p w14:paraId="642CC2D8">
                  <w:pPr>
                    <w:adjustRightInd w:val="0"/>
                    <w:snapToGrid w:val="0"/>
                    <w:spacing w:line="240" w:lineRule="auto"/>
                    <w:ind w:firstLine="0" w:firstLineChars="0"/>
                    <w:jc w:val="center"/>
                    <w:rPr>
                      <w:color w:val="0000FF"/>
                      <w:sz w:val="21"/>
                      <w:szCs w:val="21"/>
                    </w:rPr>
                  </w:pPr>
                  <w:r>
                    <w:rPr>
                      <w:color w:val="0000FF"/>
                      <w:sz w:val="21"/>
                      <w:szCs w:val="21"/>
                    </w:rPr>
                    <w:t>1）预处理：粗（细）格栅；竖流或辐流式沉淀；混凝沉淀；气浮；其他2）生化处理：升流式厌氧污泥床（UASB）；内循环厌氧（IC）反应器或水解酸化技术；厌氧滤池（AF）；活性污泥法；氧化沟及其各类改型工艺；生物接触氧化法；序批式活性污泥法（SBR）；缺氧/好氧活性污泥法（A/O法）；厌氧-缺氧-好氧活性污泥法（A2/O法）；膜生物反应器（MBR）法；其他3）除磷处理：化学除磷（注明混凝剂）；生物除磷；生物与化学组合除磷；其他4）深度处理：曝气生物滤池（BAF）、V 型滤池；臭氧氧化；膜分离技术（超滤等）；人工湿地；其他</w:t>
                  </w:r>
                </w:p>
              </w:tc>
              <w:tc>
                <w:tcPr>
                  <w:tcW w:w="582" w:type="pct"/>
                  <w:vAlign w:val="center"/>
                </w:tcPr>
                <w:p w14:paraId="243BC365">
                  <w:pPr>
                    <w:adjustRightInd w:val="0"/>
                    <w:snapToGrid w:val="0"/>
                    <w:spacing w:line="240" w:lineRule="auto"/>
                    <w:ind w:firstLine="0" w:firstLineChars="0"/>
                    <w:jc w:val="center"/>
                    <w:rPr>
                      <w:color w:val="0000FF"/>
                      <w:sz w:val="21"/>
                      <w:szCs w:val="21"/>
                    </w:rPr>
                  </w:pPr>
                  <w:r>
                    <w:rPr>
                      <w:rFonts w:hint="eastAsia"/>
                      <w:color w:val="0000FF"/>
                      <w:sz w:val="21"/>
                      <w:szCs w:val="21"/>
                    </w:rPr>
                    <w:t>格栅+调节+气浮+初沉+隔油+SBR+厌氧+A/O+沉淀+紫外消毒+出水</w:t>
                  </w:r>
                </w:p>
              </w:tc>
              <w:tc>
                <w:tcPr>
                  <w:tcW w:w="473" w:type="pct"/>
                  <w:vAlign w:val="center"/>
                </w:tcPr>
                <w:p w14:paraId="23C3B4E3">
                  <w:pPr>
                    <w:adjustRightInd w:val="0"/>
                    <w:snapToGrid w:val="0"/>
                    <w:spacing w:line="240" w:lineRule="auto"/>
                    <w:ind w:firstLine="0" w:firstLineChars="0"/>
                    <w:jc w:val="center"/>
                    <w:rPr>
                      <w:color w:val="0000FF"/>
                      <w:sz w:val="21"/>
                      <w:szCs w:val="21"/>
                    </w:rPr>
                  </w:pPr>
                  <w:r>
                    <w:rPr>
                      <w:color w:val="0000FF"/>
                      <w:sz w:val="21"/>
                      <w:szCs w:val="21"/>
                    </w:rPr>
                    <w:t>可行</w:t>
                  </w:r>
                </w:p>
              </w:tc>
            </w:tr>
          </w:tbl>
          <w:p w14:paraId="49B9DD60">
            <w:r>
              <w:rPr>
                <w:rFonts w:hint="eastAsia"/>
              </w:rPr>
              <w:t>由上表可知，本</w:t>
            </w:r>
            <w:r>
              <w:t>项目采用的废水治理措施属于《</w:t>
            </w:r>
            <w:r>
              <w:rPr>
                <w:rFonts w:hint="eastAsia"/>
              </w:rPr>
              <w:t>排污许可证申请与核发技术规范食品制造工业—方便食品、食品及饲料添加剂制造工业</w:t>
            </w:r>
            <w:r>
              <w:t>》（HJ 1030.3—2019）中推荐的可行技术。</w:t>
            </w:r>
          </w:p>
          <w:p w14:paraId="7A6E7A52">
            <w:r>
              <w:rPr>
                <w:rFonts w:hint="eastAsia"/>
              </w:rPr>
              <w:t>3）污水处理厂治理设施分析及可行性分析</w:t>
            </w:r>
          </w:p>
          <w:p w14:paraId="7B57A2CE">
            <w:r>
              <w:rPr>
                <w:rFonts w:hint="eastAsia"/>
              </w:rPr>
              <w:t>①依托污水处理厂可行性分析</w:t>
            </w:r>
          </w:p>
          <w:p w14:paraId="6C0DC553">
            <w:r>
              <w:rPr>
                <w:rFonts w:hint="eastAsia"/>
              </w:rPr>
              <w:t>安徽淮相科技发展有限公司第二污水处理厂位于安徽淮北相山经济开发区显通变东、洪碱河西，污水处理规模为1万t/d。</w:t>
            </w:r>
            <w:r>
              <w:t>服务范围：</w:t>
            </w:r>
            <w:r>
              <w:rPr>
                <w:rFonts w:hint="eastAsia"/>
                <w:shd w:val="clear" w:color="auto" w:fill="FFFFFF"/>
                <w:lang w:bidi="ar"/>
              </w:rPr>
              <w:t>污水处理厂</w:t>
            </w:r>
            <w:r>
              <w:rPr>
                <w:rFonts w:hint="eastAsia" w:ascii="宋体" w:hAnsi="宋体"/>
              </w:rPr>
              <w:t>主要服务于相山经济开发区内食品工业园部分。</w:t>
            </w:r>
            <w:r>
              <w:rPr>
                <w:rFonts w:hint="eastAsia"/>
              </w:rPr>
              <w:t>尾水排放方式：污水处理厂尾水通过尾水管道排入老濉河。</w:t>
            </w:r>
            <w:r>
              <w:rPr>
                <w:kern w:val="2"/>
              </w:rPr>
              <w:t>污水处理厂尾水排放口</w:t>
            </w:r>
            <w:r>
              <w:rPr>
                <w:rFonts w:hint="eastAsia"/>
                <w:kern w:val="2"/>
              </w:rPr>
              <w:t>利用</w:t>
            </w:r>
            <w:r>
              <w:rPr>
                <w:spacing w:val="-4"/>
              </w:rPr>
              <w:t>安徽淮北相山经济开发区凤凰新城污水处理厂入河排污口</w:t>
            </w:r>
            <w:r>
              <w:rPr>
                <w:rFonts w:hint="eastAsia"/>
                <w:spacing w:val="-4"/>
              </w:rPr>
              <w:t>，</w:t>
            </w:r>
            <w:r>
              <w:t>位于老濉河左岸，渠沟涵（又名阎王闸）下游100m，地理坐标为经度（东经116°45´23"）、纬度（北纬33°57´11"）。</w:t>
            </w:r>
            <w:r>
              <w:rPr>
                <w:rFonts w:hint="eastAsia" w:ascii="宋体" w:hAnsi="宋体"/>
              </w:rPr>
              <w:t>污水处理工艺：采用粗格栅及进水泵房+细格栅及曝气沉砂池+调节池+气浮池+水解</w:t>
            </w:r>
            <w:r>
              <w:t>酸化池+多级A/O</w:t>
            </w:r>
            <w:r>
              <w:rPr>
                <w:rFonts w:hint="eastAsia"/>
              </w:rPr>
              <w:t>生化池</w:t>
            </w:r>
            <w:r>
              <w:t>+</w:t>
            </w:r>
            <w:r>
              <w:rPr>
                <w:rFonts w:hint="eastAsia"/>
              </w:rPr>
              <w:t>二沉池+</w:t>
            </w:r>
            <w:r>
              <w:t>高效沉淀池+曝气生物滤池+反硝化深床滤池+臭氧氧化+接触消毒。</w:t>
            </w:r>
          </w:p>
          <w:p w14:paraId="6757F12B">
            <w:pPr>
              <w:widowControl/>
              <w:jc w:val="left"/>
              <w:rPr>
                <w:rFonts w:hint="eastAsia" w:ascii="宋体" w:hAnsi="宋体" w:cs="宋体"/>
                <w:lang w:bidi="ar"/>
              </w:rPr>
            </w:pPr>
            <w:r>
              <w:rPr>
                <w:rFonts w:hint="eastAsia" w:ascii="宋体" w:hAnsi="宋体" w:cs="宋体"/>
                <w:lang w:bidi="ar"/>
              </w:rPr>
              <w:t xml:space="preserve">② </w:t>
            </w:r>
            <w:r>
              <w:rPr>
                <w:rFonts w:hint="eastAsia"/>
              </w:rPr>
              <w:t>接管水质可行性：本项目生活污水经化粪池处理后与经过污水处理站预处理的生产废水满足</w:t>
            </w:r>
            <w:r>
              <w:rPr>
                <w:rFonts w:hint="eastAsia" w:ascii="宋体" w:hAnsi="宋体" w:cs="宋体"/>
                <w:lang w:bidi="ar"/>
              </w:rPr>
              <w:t>《污水综合排放标准》</w:t>
            </w:r>
            <w:r>
              <w:rPr>
                <w:rFonts w:hint="eastAsia"/>
              </w:rPr>
              <w:t>（GB8978-1996）</w:t>
            </w:r>
            <w:r>
              <w:rPr>
                <w:rFonts w:hint="eastAsia" w:ascii="宋体" w:hAnsi="宋体" w:cs="宋体"/>
                <w:lang w:bidi="ar"/>
              </w:rPr>
              <w:t>中三级标准并满足</w:t>
            </w:r>
            <w:r>
              <w:rPr>
                <w:rFonts w:hint="eastAsia"/>
              </w:rPr>
              <w:t>安徽淮相科技发展有限公司第二污水处理厂接管标准，</w:t>
            </w:r>
            <w:r>
              <w:rPr>
                <w:rFonts w:hint="eastAsia" w:ascii="宋体" w:hAnsi="宋体" w:cs="宋体"/>
                <w:lang w:bidi="ar"/>
              </w:rPr>
              <w:t>通过园区污水管网排入</w:t>
            </w:r>
            <w:r>
              <w:rPr>
                <w:rFonts w:hint="eastAsia"/>
              </w:rPr>
              <w:t>安徽淮相科技发展有限公司第二污水处理厂</w:t>
            </w:r>
            <w:r>
              <w:rPr>
                <w:rFonts w:hint="eastAsia" w:ascii="宋体" w:hAnsi="宋体" w:cs="宋体"/>
                <w:lang w:bidi="ar"/>
              </w:rPr>
              <w:t>进一步处理。废水水质简单，不会对</w:t>
            </w:r>
            <w:r>
              <w:rPr>
                <w:rFonts w:hint="eastAsia"/>
              </w:rPr>
              <w:t>安徽淮相科技发展有限公司第二污水处理厂</w:t>
            </w:r>
            <w:r>
              <w:rPr>
                <w:rFonts w:hint="eastAsia" w:ascii="宋体" w:hAnsi="宋体" w:cs="宋体"/>
                <w:lang w:bidi="ar"/>
              </w:rPr>
              <w:t>处理工艺造成影响，水质满足接管要求。</w:t>
            </w:r>
          </w:p>
          <w:p w14:paraId="33CBEDBE">
            <w:pPr>
              <w:widowControl/>
              <w:jc w:val="left"/>
              <w:rPr>
                <w:rFonts w:hint="eastAsia" w:ascii="宋体" w:hAnsi="宋体" w:cs="宋体"/>
                <w:lang w:bidi="ar"/>
              </w:rPr>
            </w:pPr>
            <w:r>
              <w:rPr>
                <w:rFonts w:hint="eastAsia"/>
              </w:rPr>
              <w:t>③接管水量可行性：</w:t>
            </w:r>
            <w:r>
              <w:rPr>
                <w:rFonts w:hint="eastAsia" w:ascii="宋体" w:hAnsi="宋体" w:cs="宋体"/>
                <w:color w:val="0000FF"/>
                <w:lang w:bidi="ar"/>
              </w:rPr>
              <w:t>项目完成后纳入市政污水管网水</w:t>
            </w:r>
            <w:r>
              <w:rPr>
                <w:color w:val="0000FF"/>
                <w:lang w:bidi="ar"/>
              </w:rPr>
              <w:t>量为</w:t>
            </w:r>
            <w:r>
              <w:rPr>
                <w:rFonts w:hint="eastAsia"/>
                <w:color w:val="0000FF"/>
                <w:lang w:bidi="ar"/>
              </w:rPr>
              <w:t>6.178</w:t>
            </w:r>
            <w:r>
              <w:rPr>
                <w:color w:val="0000FF"/>
                <w:lang w:bidi="ar"/>
              </w:rPr>
              <w:t>m</w:t>
            </w:r>
            <w:r>
              <w:rPr>
                <w:color w:val="0000FF"/>
                <w:vertAlign w:val="superscript"/>
                <w:lang w:bidi="ar"/>
              </w:rPr>
              <w:t>3</w:t>
            </w:r>
            <w:r>
              <w:rPr>
                <w:color w:val="0000FF"/>
                <w:lang w:bidi="ar"/>
              </w:rPr>
              <w:t>/d</w:t>
            </w:r>
            <w:r>
              <w:rPr>
                <w:rFonts w:hint="eastAsia" w:ascii="宋体" w:hAnsi="宋体" w:cs="宋体"/>
                <w:color w:val="0000FF"/>
                <w:lang w:bidi="ar"/>
              </w:rPr>
              <w:t>，</w:t>
            </w:r>
            <w:r>
              <w:rPr>
                <w:rFonts w:hint="eastAsia"/>
              </w:rPr>
              <w:t>安徽淮相科技发展有限公司第二污水处理厂</w:t>
            </w:r>
            <w:r>
              <w:rPr>
                <w:rFonts w:hint="eastAsia" w:ascii="宋体" w:hAnsi="宋体" w:cs="宋体"/>
                <w:lang w:bidi="ar"/>
              </w:rPr>
              <w:t>日设计污水处理规模为</w:t>
            </w:r>
            <w:r>
              <w:rPr>
                <w:lang w:bidi="ar"/>
              </w:rPr>
              <w:t>1</w:t>
            </w:r>
            <w:r>
              <w:rPr>
                <w:rFonts w:hint="eastAsia" w:ascii="宋体" w:hAnsi="宋体" w:cs="宋体"/>
                <w:lang w:bidi="ar"/>
              </w:rPr>
              <w:t>万吨</w:t>
            </w:r>
            <w:r>
              <w:rPr>
                <w:lang w:bidi="ar"/>
              </w:rPr>
              <w:t>/</w:t>
            </w:r>
            <w:r>
              <w:rPr>
                <w:rFonts w:hint="eastAsia" w:ascii="宋体" w:hAnsi="宋体" w:cs="宋体"/>
                <w:lang w:bidi="ar"/>
              </w:rPr>
              <w:t>天，</w:t>
            </w:r>
            <w:r>
              <w:rPr>
                <w:rFonts w:hint="eastAsia"/>
              </w:rPr>
              <w:t>现收水余量约为4710</w:t>
            </w:r>
            <w:r>
              <w:rPr>
                <w:lang w:bidi="ar"/>
              </w:rPr>
              <w:t>m</w:t>
            </w:r>
            <w:r>
              <w:rPr>
                <w:vertAlign w:val="superscript"/>
                <w:lang w:bidi="ar"/>
              </w:rPr>
              <w:t>3</w:t>
            </w:r>
            <w:r>
              <w:rPr>
                <w:lang w:bidi="ar"/>
              </w:rPr>
              <w:t>/d</w:t>
            </w:r>
            <w:r>
              <w:rPr>
                <w:rFonts w:hint="eastAsia"/>
              </w:rPr>
              <w:t>，</w:t>
            </w:r>
            <w:r>
              <w:rPr>
                <w:rFonts w:hint="eastAsia" w:ascii="宋体" w:hAnsi="宋体" w:cs="宋体"/>
                <w:lang w:bidi="ar"/>
              </w:rPr>
              <w:t>本项目废水量占比较小，不会对其处理能力造成较大的冲击，因此接管水量是可行的。</w:t>
            </w:r>
          </w:p>
          <w:p w14:paraId="316C53D0">
            <w:pPr>
              <w:pStyle w:val="28"/>
              <w:ind w:firstLine="480"/>
              <w:rPr>
                <w:rFonts w:hint="eastAsia" w:ascii="宋体" w:hAnsi="宋体" w:eastAsia="宋体" w:cs="宋体"/>
                <w:lang w:bidi="ar"/>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8255</wp:posOffset>
                  </wp:positionV>
                  <wp:extent cx="4719955" cy="5722620"/>
                  <wp:effectExtent l="0" t="0" r="4445" b="11430"/>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9"/>
                          <a:srcRect t="2734"/>
                          <a:stretch>
                            <a:fillRect/>
                          </a:stretch>
                        </pic:blipFill>
                        <pic:spPr>
                          <a:xfrm>
                            <a:off x="0" y="0"/>
                            <a:ext cx="4719955" cy="5722620"/>
                          </a:xfrm>
                          <a:prstGeom prst="rect">
                            <a:avLst/>
                          </a:prstGeom>
                          <a:noFill/>
                          <a:ln>
                            <a:noFill/>
                          </a:ln>
                        </pic:spPr>
                      </pic:pic>
                    </a:graphicData>
                  </a:graphic>
                </wp:anchor>
              </w:drawing>
            </w:r>
          </w:p>
          <w:p w14:paraId="23D81879">
            <w:pPr>
              <w:pStyle w:val="28"/>
              <w:ind w:firstLine="480"/>
              <w:rPr>
                <w:rFonts w:hint="eastAsia" w:ascii="宋体" w:hAnsi="宋体" w:eastAsia="宋体" w:cs="宋体"/>
                <w:lang w:bidi="ar"/>
              </w:rPr>
            </w:pPr>
          </w:p>
          <w:p w14:paraId="342F9F7E">
            <w:pPr>
              <w:pStyle w:val="28"/>
              <w:ind w:firstLine="480"/>
              <w:rPr>
                <w:rFonts w:hint="eastAsia" w:ascii="宋体" w:hAnsi="宋体" w:eastAsia="宋体" w:cs="宋体"/>
                <w:lang w:bidi="ar"/>
              </w:rPr>
            </w:pPr>
          </w:p>
          <w:p w14:paraId="22066DD5">
            <w:pPr>
              <w:pStyle w:val="28"/>
              <w:ind w:firstLine="480"/>
              <w:rPr>
                <w:rFonts w:hint="eastAsia" w:ascii="宋体" w:hAnsi="宋体" w:eastAsia="宋体" w:cs="宋体"/>
                <w:lang w:bidi="ar"/>
              </w:rPr>
            </w:pPr>
          </w:p>
          <w:p w14:paraId="6BB03BAC">
            <w:pPr>
              <w:pStyle w:val="28"/>
              <w:ind w:firstLine="480"/>
              <w:rPr>
                <w:rFonts w:hint="eastAsia" w:ascii="宋体" w:hAnsi="宋体" w:eastAsia="宋体" w:cs="宋体"/>
                <w:lang w:bidi="ar"/>
              </w:rPr>
            </w:pPr>
          </w:p>
          <w:p w14:paraId="62EE37A2">
            <w:pPr>
              <w:pStyle w:val="28"/>
              <w:ind w:firstLine="480"/>
              <w:rPr>
                <w:rFonts w:hint="eastAsia" w:ascii="宋体" w:hAnsi="宋体" w:eastAsia="宋体" w:cs="宋体"/>
                <w:lang w:bidi="ar"/>
              </w:rPr>
            </w:pPr>
          </w:p>
          <w:p w14:paraId="67D92F52">
            <w:pPr>
              <w:pStyle w:val="28"/>
              <w:ind w:firstLine="480"/>
              <w:rPr>
                <w:rFonts w:hint="eastAsia" w:ascii="宋体" w:hAnsi="宋体" w:eastAsia="宋体" w:cs="宋体"/>
                <w:lang w:bidi="ar"/>
              </w:rPr>
            </w:pPr>
          </w:p>
          <w:p w14:paraId="11F94518">
            <w:pPr>
              <w:pStyle w:val="28"/>
              <w:ind w:firstLine="480"/>
              <w:rPr>
                <w:rFonts w:hint="eastAsia" w:ascii="宋体" w:hAnsi="宋体" w:eastAsia="宋体" w:cs="宋体"/>
                <w:lang w:bidi="ar"/>
              </w:rPr>
            </w:pPr>
          </w:p>
          <w:p w14:paraId="22DC5734">
            <w:pPr>
              <w:pStyle w:val="28"/>
              <w:ind w:firstLine="480"/>
              <w:rPr>
                <w:rFonts w:hint="eastAsia" w:ascii="宋体" w:hAnsi="宋体" w:eastAsia="宋体" w:cs="宋体"/>
                <w:lang w:bidi="ar"/>
              </w:rPr>
            </w:pPr>
          </w:p>
          <w:p w14:paraId="7A0A232E">
            <w:pPr>
              <w:pStyle w:val="28"/>
              <w:ind w:firstLine="480"/>
              <w:rPr>
                <w:rFonts w:hint="eastAsia" w:ascii="宋体" w:hAnsi="宋体" w:eastAsia="宋体" w:cs="宋体"/>
                <w:lang w:bidi="ar"/>
              </w:rPr>
            </w:pPr>
          </w:p>
          <w:p w14:paraId="71F48BE0">
            <w:pPr>
              <w:pStyle w:val="28"/>
              <w:ind w:firstLine="480"/>
              <w:rPr>
                <w:rFonts w:hint="eastAsia" w:ascii="宋体" w:hAnsi="宋体" w:eastAsia="宋体" w:cs="宋体"/>
                <w:lang w:bidi="ar"/>
              </w:rPr>
            </w:pPr>
          </w:p>
          <w:p w14:paraId="4DA70D6E">
            <w:pPr>
              <w:pStyle w:val="28"/>
              <w:ind w:firstLine="480"/>
              <w:rPr>
                <w:rFonts w:hint="eastAsia" w:ascii="宋体" w:hAnsi="宋体" w:eastAsia="宋体" w:cs="宋体"/>
                <w:lang w:bidi="ar"/>
              </w:rPr>
            </w:pPr>
          </w:p>
          <w:p w14:paraId="1CBB14F2">
            <w:pPr>
              <w:pStyle w:val="28"/>
              <w:ind w:firstLine="480"/>
              <w:rPr>
                <w:rFonts w:hint="eastAsia" w:ascii="宋体" w:hAnsi="宋体" w:eastAsia="宋体" w:cs="宋体"/>
                <w:lang w:bidi="ar"/>
              </w:rPr>
            </w:pPr>
          </w:p>
          <w:p w14:paraId="501F558A">
            <w:pPr>
              <w:pStyle w:val="28"/>
              <w:ind w:firstLine="480"/>
              <w:rPr>
                <w:rFonts w:hint="eastAsia" w:ascii="宋体" w:hAnsi="宋体" w:eastAsia="宋体" w:cs="宋体"/>
                <w:lang w:bidi="ar"/>
              </w:rPr>
            </w:pPr>
          </w:p>
          <w:p w14:paraId="5D216FDD">
            <w:pPr>
              <w:pStyle w:val="28"/>
              <w:ind w:firstLine="480"/>
              <w:rPr>
                <w:rFonts w:hint="eastAsia" w:ascii="宋体" w:hAnsi="宋体" w:eastAsia="宋体" w:cs="宋体"/>
                <w:lang w:bidi="ar"/>
              </w:rPr>
            </w:pPr>
          </w:p>
          <w:p w14:paraId="66CD5E3B">
            <w:pPr>
              <w:pStyle w:val="28"/>
              <w:ind w:firstLine="480"/>
              <w:rPr>
                <w:rFonts w:hint="eastAsia" w:ascii="宋体" w:hAnsi="宋体" w:eastAsia="宋体" w:cs="宋体"/>
                <w:lang w:bidi="ar"/>
              </w:rPr>
            </w:pPr>
          </w:p>
          <w:p w14:paraId="6FA4DB51">
            <w:pPr>
              <w:widowControl/>
              <w:spacing w:line="240" w:lineRule="auto"/>
              <w:ind w:firstLine="0" w:firstLineChars="0"/>
              <w:jc w:val="center"/>
              <w:rPr>
                <w:b/>
                <w:bCs/>
                <w:lang w:bidi="ar"/>
              </w:rPr>
            </w:pPr>
          </w:p>
          <w:p w14:paraId="227EA31F">
            <w:pPr>
              <w:widowControl/>
              <w:spacing w:line="240" w:lineRule="auto"/>
              <w:ind w:firstLine="0" w:firstLineChars="0"/>
              <w:jc w:val="center"/>
              <w:rPr>
                <w:b/>
                <w:bCs/>
                <w:lang w:bidi="ar"/>
              </w:rPr>
            </w:pPr>
            <w:r>
              <w:rPr>
                <w:rFonts w:hint="eastAsia"/>
                <w:b/>
                <w:bCs/>
                <w:lang w:bidi="ar"/>
              </w:rPr>
              <w:t>图4-2  污水处理厂工艺流程图</w:t>
            </w:r>
          </w:p>
          <w:p w14:paraId="6F4496EE">
            <w:pPr>
              <w:widowControl/>
              <w:jc w:val="left"/>
              <w:rPr>
                <w:rFonts w:hint="eastAsia" w:ascii="宋体" w:hAnsi="宋体" w:cs="宋体"/>
                <w:lang w:bidi="ar"/>
              </w:rPr>
            </w:pPr>
            <w:r>
              <w:rPr>
                <w:rFonts w:hint="eastAsia"/>
              </w:rPr>
              <w:t>④管网铺设情况可行性：安徽淮相科技发展有限公司第二污水处理厂</w:t>
            </w:r>
            <w:r>
              <w:rPr>
                <w:rFonts w:ascii="宋体" w:hAnsi="宋体" w:cs="宋体"/>
                <w:lang w:bidi="ar"/>
              </w:rPr>
              <w:t>将开发区食品产业园管网敷设范围内的所有工业废水、生活污水有效收集后深度处理达标后排放</w:t>
            </w:r>
            <w:r>
              <w:rPr>
                <w:rFonts w:hint="eastAsia" w:ascii="宋体" w:hAnsi="宋体" w:cs="宋体"/>
                <w:lang w:bidi="ar"/>
              </w:rPr>
              <w:t>。根据现场踏勘和收集相关资料，本项目所在地管网已铺设完毕，接管可行。</w:t>
            </w:r>
          </w:p>
          <w:p w14:paraId="355F0AEB">
            <w:r>
              <w:rPr>
                <w:rFonts w:hint="eastAsia"/>
              </w:rPr>
              <w:t>综上，</w:t>
            </w:r>
            <w:r>
              <w:t>本项目位于</w:t>
            </w:r>
            <w:r>
              <w:rPr>
                <w:rFonts w:hint="eastAsia"/>
              </w:rPr>
              <w:t>安徽淮相科技发展有限公司第二污水处理厂</w:t>
            </w:r>
            <w:r>
              <w:t>收水范围内，项目所在地管网已铺设完毕，外排废水水质、水量均满足污水处理厂接管要求</w:t>
            </w:r>
            <w:r>
              <w:rPr>
                <w:rFonts w:hint="eastAsia"/>
              </w:rPr>
              <w:t>，排放量为</w:t>
            </w:r>
            <w:r>
              <w:t>不会对污水处理厂造成冲击负荷。因此本项目污水进入</w:t>
            </w:r>
            <w:r>
              <w:rPr>
                <w:rFonts w:hint="eastAsia"/>
              </w:rPr>
              <w:t>安徽淮相科技发展有限公司第二污水处理厂</w:t>
            </w:r>
            <w:r>
              <w:t>处理是可行的。</w:t>
            </w:r>
          </w:p>
          <w:p w14:paraId="1A32A6ED">
            <w:r>
              <w:rPr>
                <w:rFonts w:hint="eastAsia"/>
              </w:rPr>
              <w:t>（5）监测计划</w:t>
            </w:r>
          </w:p>
          <w:p w14:paraId="243A8580">
            <w:r>
              <w:rPr>
                <w:rFonts w:hint="eastAsia"/>
              </w:rPr>
              <w:t>参照</w:t>
            </w:r>
            <w:r>
              <w:t>《排污许可证申请与核发技术规范</w:t>
            </w:r>
            <w:r>
              <w:rPr>
                <w:rFonts w:hint="eastAsia"/>
              </w:rPr>
              <w:t xml:space="preserve"> </w:t>
            </w:r>
            <w:r>
              <w:t>食品</w:t>
            </w:r>
            <w:r>
              <w:rPr>
                <w:rFonts w:hint="eastAsia"/>
              </w:rPr>
              <w:t>制造</w:t>
            </w:r>
            <w:r>
              <w:t>工业—</w:t>
            </w:r>
            <w:r>
              <w:rPr>
                <w:rFonts w:hint="eastAsia"/>
              </w:rPr>
              <w:t>方便食品、食品及饲料添加剂制造工业</w:t>
            </w:r>
            <w:r>
              <w:t>》（HJ</w:t>
            </w:r>
            <w:r>
              <w:rPr>
                <w:rFonts w:hint="eastAsia"/>
              </w:rPr>
              <w:t>1030.3-2019</w:t>
            </w:r>
            <w:r>
              <w:t>）</w:t>
            </w:r>
            <w:r>
              <w:rPr>
                <w:rFonts w:hint="eastAsia"/>
              </w:rPr>
              <w:t>，制定废水自行监测计划如下。</w:t>
            </w:r>
          </w:p>
          <w:p w14:paraId="74204A33">
            <w:pPr>
              <w:pStyle w:val="32"/>
              <w:rPr>
                <w:rFonts w:hint="default"/>
              </w:rPr>
            </w:pPr>
            <w:r>
              <w:t>表4-10  项目运营期废水污染源监测计划一览表</w:t>
            </w:r>
          </w:p>
          <w:tbl>
            <w:tblPr>
              <w:tblStyle w:val="22"/>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75"/>
              <w:gridCol w:w="4319"/>
              <w:gridCol w:w="1133"/>
            </w:tblGrid>
            <w:tr w14:paraId="505B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0" w:type="dxa"/>
                  <w:vAlign w:val="center"/>
                </w:tcPr>
                <w:p w14:paraId="15CB8A67">
                  <w:pPr>
                    <w:spacing w:line="240" w:lineRule="auto"/>
                    <w:ind w:firstLine="0" w:firstLineChars="0"/>
                    <w:jc w:val="center"/>
                    <w:rPr>
                      <w:sz w:val="21"/>
                      <w:szCs w:val="21"/>
                    </w:rPr>
                  </w:pPr>
                  <w:r>
                    <w:rPr>
                      <w:sz w:val="21"/>
                      <w:szCs w:val="21"/>
                    </w:rPr>
                    <w:t>污染物</w:t>
                  </w:r>
                </w:p>
              </w:tc>
              <w:tc>
                <w:tcPr>
                  <w:tcW w:w="1275" w:type="dxa"/>
                  <w:vAlign w:val="center"/>
                </w:tcPr>
                <w:p w14:paraId="3C895F45">
                  <w:pPr>
                    <w:spacing w:line="240" w:lineRule="auto"/>
                    <w:ind w:firstLine="0" w:firstLineChars="0"/>
                    <w:jc w:val="center"/>
                    <w:rPr>
                      <w:sz w:val="21"/>
                      <w:szCs w:val="21"/>
                    </w:rPr>
                  </w:pPr>
                  <w:r>
                    <w:rPr>
                      <w:sz w:val="21"/>
                      <w:szCs w:val="21"/>
                    </w:rPr>
                    <w:t>监测点位</w:t>
                  </w:r>
                </w:p>
              </w:tc>
              <w:tc>
                <w:tcPr>
                  <w:tcW w:w="4319" w:type="dxa"/>
                  <w:vAlign w:val="center"/>
                </w:tcPr>
                <w:p w14:paraId="7D18A956">
                  <w:pPr>
                    <w:spacing w:line="240" w:lineRule="auto"/>
                    <w:ind w:firstLine="0" w:firstLineChars="0"/>
                    <w:jc w:val="center"/>
                    <w:rPr>
                      <w:sz w:val="21"/>
                      <w:szCs w:val="21"/>
                    </w:rPr>
                  </w:pPr>
                  <w:r>
                    <w:rPr>
                      <w:sz w:val="21"/>
                      <w:szCs w:val="21"/>
                    </w:rPr>
                    <w:t>监测项目</w:t>
                  </w:r>
                </w:p>
              </w:tc>
              <w:tc>
                <w:tcPr>
                  <w:tcW w:w="1133" w:type="dxa"/>
                  <w:vAlign w:val="center"/>
                </w:tcPr>
                <w:p w14:paraId="36254F30">
                  <w:pPr>
                    <w:spacing w:line="240" w:lineRule="auto"/>
                    <w:ind w:firstLine="0" w:firstLineChars="0"/>
                    <w:jc w:val="center"/>
                    <w:rPr>
                      <w:sz w:val="21"/>
                      <w:szCs w:val="21"/>
                    </w:rPr>
                  </w:pPr>
                  <w:r>
                    <w:rPr>
                      <w:sz w:val="21"/>
                      <w:szCs w:val="21"/>
                    </w:rPr>
                    <w:t>监测频率</w:t>
                  </w:r>
                </w:p>
              </w:tc>
            </w:tr>
            <w:tr w14:paraId="3785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0" w:type="dxa"/>
                  <w:vAlign w:val="center"/>
                </w:tcPr>
                <w:p w14:paraId="6B68B269">
                  <w:pPr>
                    <w:spacing w:line="240" w:lineRule="auto"/>
                    <w:ind w:firstLine="0" w:firstLineChars="0"/>
                    <w:jc w:val="center"/>
                    <w:rPr>
                      <w:sz w:val="21"/>
                      <w:szCs w:val="21"/>
                    </w:rPr>
                  </w:pPr>
                  <w:r>
                    <w:rPr>
                      <w:sz w:val="21"/>
                      <w:szCs w:val="21"/>
                    </w:rPr>
                    <w:t>废水</w:t>
                  </w:r>
                </w:p>
              </w:tc>
              <w:tc>
                <w:tcPr>
                  <w:tcW w:w="1275" w:type="dxa"/>
                  <w:vAlign w:val="center"/>
                </w:tcPr>
                <w:p w14:paraId="2A9151F8">
                  <w:pPr>
                    <w:spacing w:line="240" w:lineRule="auto"/>
                    <w:ind w:firstLine="0" w:firstLineChars="0"/>
                    <w:jc w:val="center"/>
                    <w:rPr>
                      <w:sz w:val="21"/>
                      <w:szCs w:val="21"/>
                    </w:rPr>
                  </w:pPr>
                  <w:r>
                    <w:rPr>
                      <w:sz w:val="21"/>
                      <w:szCs w:val="21"/>
                    </w:rPr>
                    <w:t>废水排放口</w:t>
                  </w:r>
                </w:p>
              </w:tc>
              <w:tc>
                <w:tcPr>
                  <w:tcW w:w="4319" w:type="dxa"/>
                </w:tcPr>
                <w:p w14:paraId="24025942">
                  <w:pPr>
                    <w:spacing w:line="240" w:lineRule="auto"/>
                    <w:ind w:firstLine="0" w:firstLineChars="0"/>
                    <w:jc w:val="center"/>
                    <w:rPr>
                      <w:color w:val="0000FF"/>
                      <w:sz w:val="21"/>
                      <w:szCs w:val="21"/>
                    </w:rPr>
                  </w:pPr>
                  <w:r>
                    <w:rPr>
                      <w:rFonts w:hint="eastAsia"/>
                      <w:color w:val="0000FF"/>
                      <w:sz w:val="21"/>
                      <w:szCs w:val="21"/>
                    </w:rPr>
                    <w:t>流量</w:t>
                  </w:r>
                  <w:r>
                    <w:rPr>
                      <w:color w:val="0000FF"/>
                      <w:sz w:val="21"/>
                      <w:szCs w:val="21"/>
                    </w:rPr>
                    <w:t>，</w:t>
                  </w:r>
                  <w:r>
                    <w:rPr>
                      <w:rFonts w:hint="eastAsia"/>
                      <w:color w:val="0000FF"/>
                      <w:sz w:val="21"/>
                      <w:szCs w:val="21"/>
                    </w:rPr>
                    <w:t>pH值、</w:t>
                  </w:r>
                  <w:r>
                    <w:rPr>
                      <w:color w:val="0000FF"/>
                      <w:sz w:val="21"/>
                      <w:szCs w:val="21"/>
                    </w:rPr>
                    <w:t>COD、BOD</w:t>
                  </w:r>
                  <w:r>
                    <w:rPr>
                      <w:color w:val="0000FF"/>
                      <w:sz w:val="21"/>
                      <w:szCs w:val="21"/>
                      <w:vertAlign w:val="subscript"/>
                    </w:rPr>
                    <w:t>5</w:t>
                  </w:r>
                  <w:r>
                    <w:rPr>
                      <w:color w:val="0000FF"/>
                      <w:sz w:val="21"/>
                      <w:szCs w:val="21"/>
                    </w:rPr>
                    <w:t>、SS、NH</w:t>
                  </w:r>
                  <w:r>
                    <w:rPr>
                      <w:color w:val="0000FF"/>
                      <w:sz w:val="21"/>
                      <w:szCs w:val="21"/>
                      <w:vertAlign w:val="subscript"/>
                    </w:rPr>
                    <w:t>3</w:t>
                  </w:r>
                  <w:r>
                    <w:rPr>
                      <w:color w:val="0000FF"/>
                      <w:sz w:val="21"/>
                      <w:szCs w:val="21"/>
                    </w:rPr>
                    <w:t>-N</w:t>
                  </w:r>
                  <w:r>
                    <w:rPr>
                      <w:rFonts w:hint="eastAsia"/>
                      <w:color w:val="0000FF"/>
                      <w:sz w:val="21"/>
                      <w:szCs w:val="21"/>
                    </w:rPr>
                    <w:t>、动植物油、TP、LAS</w:t>
                  </w:r>
                </w:p>
              </w:tc>
              <w:tc>
                <w:tcPr>
                  <w:tcW w:w="1133" w:type="dxa"/>
                  <w:vAlign w:val="center"/>
                </w:tcPr>
                <w:p w14:paraId="0926FB5E">
                  <w:pPr>
                    <w:spacing w:line="240" w:lineRule="auto"/>
                    <w:ind w:firstLine="0" w:firstLineChars="0"/>
                    <w:jc w:val="center"/>
                    <w:rPr>
                      <w:color w:val="0000FF"/>
                      <w:sz w:val="21"/>
                      <w:szCs w:val="21"/>
                    </w:rPr>
                  </w:pPr>
                  <w:r>
                    <w:rPr>
                      <w:color w:val="0000FF"/>
                      <w:sz w:val="21"/>
                      <w:szCs w:val="21"/>
                    </w:rPr>
                    <w:t>1次/</w:t>
                  </w:r>
                  <w:r>
                    <w:rPr>
                      <w:rFonts w:hint="eastAsia"/>
                      <w:color w:val="0000FF"/>
                      <w:sz w:val="21"/>
                      <w:szCs w:val="21"/>
                    </w:rPr>
                    <w:t>半</w:t>
                  </w:r>
                  <w:r>
                    <w:rPr>
                      <w:color w:val="0000FF"/>
                      <w:sz w:val="21"/>
                      <w:szCs w:val="21"/>
                    </w:rPr>
                    <w:t>年</w:t>
                  </w:r>
                </w:p>
              </w:tc>
            </w:tr>
          </w:tbl>
          <w:p w14:paraId="293E2832">
            <w:pPr>
              <w:ind w:firstLine="482"/>
              <w:rPr>
                <w:b/>
                <w:bCs/>
              </w:rPr>
            </w:pPr>
            <w:r>
              <w:rPr>
                <w:rFonts w:hint="eastAsia"/>
                <w:b/>
                <w:bCs/>
              </w:rPr>
              <w:t>3、噪声</w:t>
            </w:r>
          </w:p>
          <w:p w14:paraId="5098D237">
            <w:r>
              <w:rPr>
                <w:rFonts w:hint="eastAsia"/>
              </w:rPr>
              <w:t>（1）源强及治理措施</w:t>
            </w:r>
          </w:p>
          <w:p w14:paraId="11C56FD6">
            <w:r>
              <w:rPr>
                <w:rFonts w:hint="eastAsia"/>
              </w:rPr>
              <w:t>项目噪声主要来源于蒸汽发生器、小型叶菜清洗线、绞肉机、脱水机、搅拌机、封包机、切菜机、电蒸箱、分米机、快速脚踏封口机、压缩机、风机等设备运行产生的机械噪声，类比同类项目，各设备噪声源强约在65~90dB（A）。项目生产设备均使用低噪声设备，生产车间采用封闭式厂房并合理布局生产设备以隔声降噪。为保证项目运行过程中对周边环境的影响降到最低，建设单位应对各噪声设备采取适当的减振、降噪、消声措施并合理安排开机时间。</w:t>
            </w:r>
          </w:p>
          <w:p w14:paraId="5E600EC7">
            <w:r>
              <w:rPr>
                <w:rFonts w:hint="eastAsia"/>
              </w:rPr>
              <w:t>（2）噪声环境</w:t>
            </w:r>
            <w:r>
              <w:t>影响预测</w:t>
            </w:r>
          </w:p>
          <w:p w14:paraId="2623BE50">
            <w:r>
              <w:rPr>
                <w:rFonts w:hint="eastAsia"/>
              </w:rPr>
              <w:t>① 预测模式</w:t>
            </w:r>
          </w:p>
          <w:p w14:paraId="4448CA9E">
            <w:r>
              <w:rPr>
                <w:rFonts w:hint="eastAsia"/>
              </w:rPr>
              <w:t>根据拟建项目设备声源特征和声学环境的特点，视生产设备声源为点源，声场为半自由声场，依据《环境影响评价技术导则—声环境》（HJ2.4-2021）的规定，选用无指向性声源几何发散衰减预测模式预测厂界噪声，具体的预测模式如下：</w:t>
            </w:r>
          </w:p>
          <w:p w14:paraId="3791FB25">
            <w:r>
              <w:t>计算某个室内声源在靠近围护结构处产生的倍频带声压级：</w:t>
            </w:r>
          </w:p>
          <w:p w14:paraId="765C9BEC">
            <w:pPr>
              <w:ind w:firstLine="0" w:firstLineChars="0"/>
              <w:jc w:val="center"/>
              <w:rPr>
                <w:rFonts w:hint="eastAsia" w:ascii="宋体" w:hAnsi="宋体"/>
              </w:rPr>
            </w:pPr>
            <w:r>
              <w:rPr>
                <w:rFonts w:ascii="宋体" w:hAnsi="宋体"/>
                <w:position w:val="-41"/>
              </w:rPr>
              <w:object>
                <v:shape id="_x0000_i1032" o:spt="75" type="#_x0000_t75" style="height:43.5pt;width:166pt;" o:ole="t" filled="f" o:preferrelative="t" stroked="f" coordsize="21600,21600">
                  <v:path/>
                  <v:fill on="f" focussize="0,0"/>
                  <v:stroke on="f" joinstyle="miter"/>
                  <v:imagedata r:id="rId31" o:title=""/>
                  <o:lock v:ext="edit" aspectratio="t"/>
                  <w10:wrap type="none"/>
                  <w10:anchorlock/>
                </v:shape>
                <o:OLEObject Type="Embed" ProgID="Equation.AxMath" ShapeID="_x0000_i1032" DrawAspect="Content" ObjectID="_1468075732" r:id="rId30">
                  <o:LockedField>false</o:LockedField>
                </o:OLEObject>
              </w:object>
            </w:r>
          </w:p>
          <w:p w14:paraId="59D692A3">
            <w:r>
              <w:t>式中：</w:t>
            </w:r>
          </w:p>
          <w:p w14:paraId="17C45241">
            <w:pPr>
              <w:ind w:firstLine="720" w:firstLineChars="300"/>
            </w:pPr>
            <w:r>
              <w:rPr>
                <w:i/>
              </w:rPr>
              <w:t>L</w:t>
            </w:r>
            <w:r>
              <w:rPr>
                <w:rFonts w:hint="eastAsia"/>
                <w:i/>
                <w:vertAlign w:val="subscript"/>
              </w:rPr>
              <w:t>otc,</w:t>
            </w:r>
            <w:r>
              <w:rPr>
                <w:i/>
                <w:vertAlign w:val="subscript"/>
              </w:rPr>
              <w:t>1</w:t>
            </w:r>
            <w:r>
              <w:t xml:space="preserve"> — 某个室内声源在靠近围护结构处产生的倍频带声压级，dB；</w:t>
            </w:r>
          </w:p>
          <w:p w14:paraId="619455B0">
            <w:pPr>
              <w:ind w:firstLine="720" w:firstLineChars="300"/>
            </w:pPr>
            <w:r>
              <w:rPr>
                <w:i/>
              </w:rPr>
              <w:t>L</w:t>
            </w:r>
            <w:r>
              <w:rPr>
                <w:rFonts w:hint="eastAsia"/>
                <w:i/>
                <w:vertAlign w:val="subscript"/>
              </w:rPr>
              <w:t>wotc</w:t>
            </w:r>
            <w:r>
              <w:t>— 某个声源的倍频带声功率级，dB；</w:t>
            </w:r>
          </w:p>
          <w:p w14:paraId="12A8251F">
            <w:pPr>
              <w:ind w:firstLine="720" w:firstLineChars="300"/>
            </w:pPr>
            <w:r>
              <w:rPr>
                <w:rFonts w:hint="eastAsia"/>
                <w:i/>
                <w:iCs/>
              </w:rPr>
              <w:t>r</w:t>
            </w:r>
            <w:r>
              <w:rPr>
                <w:i/>
                <w:iCs/>
                <w:vertAlign w:val="subscript"/>
              </w:rPr>
              <w:t>1</w:t>
            </w:r>
            <w:r>
              <w:t>— 室内某个声源与靠近围护结构处的距离，m；</w:t>
            </w:r>
          </w:p>
          <w:p w14:paraId="57A4C41E">
            <w:pPr>
              <w:ind w:firstLine="720" w:firstLineChars="300"/>
            </w:pPr>
            <w:r>
              <w:rPr>
                <w:i/>
                <w:iCs/>
              </w:rPr>
              <w:t>R</w:t>
            </w:r>
            <w:r>
              <w:t>— 房间常数，m</w:t>
            </w:r>
            <w:r>
              <w:rPr>
                <w:vertAlign w:val="superscript"/>
              </w:rPr>
              <w:t>2</w:t>
            </w:r>
            <w:r>
              <w:t>；</w:t>
            </w:r>
          </w:p>
          <w:p w14:paraId="67049308">
            <w:pPr>
              <w:ind w:firstLine="720" w:firstLineChars="300"/>
            </w:pPr>
            <w:r>
              <w:rPr>
                <w:i/>
                <w:iCs/>
              </w:rPr>
              <w:t>Q</w:t>
            </w:r>
            <w:r>
              <w:t xml:space="preserve"> — 方向性因子。</w:t>
            </w:r>
          </w:p>
          <w:p w14:paraId="35897578">
            <w:r>
              <w:t>计算所有室内声源在靠近围护结构处产生的总倍频带声压级：</w:t>
            </w:r>
          </w:p>
          <w:p w14:paraId="756C5515">
            <w:pPr>
              <w:ind w:firstLine="0" w:firstLineChars="0"/>
              <w:jc w:val="center"/>
              <w:rPr>
                <w:rFonts w:hint="eastAsia" w:ascii="宋体" w:hAnsi="宋体"/>
              </w:rPr>
            </w:pPr>
            <w:r>
              <w:rPr>
                <w:rFonts w:ascii="宋体" w:hAnsi="宋体"/>
              </w:rPr>
              <w:drawing>
                <wp:inline distT="0" distB="0" distL="114300" distR="114300">
                  <wp:extent cx="1812925" cy="412750"/>
                  <wp:effectExtent l="0" t="0" r="1587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2"/>
                          <a:stretch>
                            <a:fillRect/>
                          </a:stretch>
                        </pic:blipFill>
                        <pic:spPr>
                          <a:xfrm>
                            <a:off x="0" y="0"/>
                            <a:ext cx="1812925" cy="412750"/>
                          </a:xfrm>
                          <a:prstGeom prst="rect">
                            <a:avLst/>
                          </a:prstGeom>
                          <a:noFill/>
                          <a:ln>
                            <a:noFill/>
                          </a:ln>
                        </pic:spPr>
                      </pic:pic>
                    </a:graphicData>
                  </a:graphic>
                </wp:inline>
              </w:drawing>
            </w:r>
          </w:p>
          <w:p w14:paraId="5808F453">
            <w:r>
              <w:t>计算室外靠近围护结构处的声压级：</w:t>
            </w:r>
          </w:p>
          <w:p w14:paraId="6A91EAFE">
            <w:pPr>
              <w:ind w:firstLine="0" w:firstLineChars="0"/>
              <w:jc w:val="center"/>
              <w:rPr>
                <w:rFonts w:hint="eastAsia" w:ascii="宋体" w:hAnsi="宋体"/>
              </w:rPr>
            </w:pPr>
            <w:r>
              <w:rPr>
                <w:rFonts w:ascii="宋体" w:hAnsi="宋体"/>
              </w:rPr>
              <w:drawing>
                <wp:inline distT="0" distB="0" distL="114300" distR="114300">
                  <wp:extent cx="1916430" cy="238760"/>
                  <wp:effectExtent l="0" t="0" r="7620" b="889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33"/>
                          <a:stretch>
                            <a:fillRect/>
                          </a:stretch>
                        </pic:blipFill>
                        <pic:spPr>
                          <a:xfrm>
                            <a:off x="0" y="0"/>
                            <a:ext cx="1916430" cy="238760"/>
                          </a:xfrm>
                          <a:prstGeom prst="rect">
                            <a:avLst/>
                          </a:prstGeom>
                          <a:noFill/>
                          <a:ln>
                            <a:noFill/>
                          </a:ln>
                        </pic:spPr>
                      </pic:pic>
                    </a:graphicData>
                  </a:graphic>
                </wp:inline>
              </w:drawing>
            </w:r>
          </w:p>
          <w:p w14:paraId="7AF1001D">
            <w:r>
              <w:t>将室外声级</w:t>
            </w:r>
            <w:r>
              <w:rPr>
                <w:i/>
              </w:rPr>
              <w:t>L</w:t>
            </w:r>
            <w:r>
              <w:rPr>
                <w:rFonts w:hint="eastAsia"/>
                <w:i/>
                <w:vertAlign w:val="subscript"/>
              </w:rPr>
              <w:t>otc，2</w:t>
            </w:r>
            <w:r>
              <w:rPr>
                <w:rFonts w:hint="eastAsia"/>
                <w:iCs/>
              </w:rPr>
              <w:t>(T)</w:t>
            </w:r>
            <w:r>
              <w:t>和透声面积换算成等效的室外声源，计算等效声源第i个倍频带的声功率级</w:t>
            </w:r>
            <w:r>
              <w:rPr>
                <w:i/>
              </w:rPr>
              <w:t>L</w:t>
            </w:r>
            <w:r>
              <w:rPr>
                <w:rFonts w:hint="eastAsia"/>
                <w:i/>
                <w:vertAlign w:val="subscript"/>
              </w:rPr>
              <w:t>wotc</w:t>
            </w:r>
            <w:r>
              <w:t>：</w:t>
            </w:r>
          </w:p>
          <w:p w14:paraId="0A9E63AE">
            <w:pPr>
              <w:ind w:firstLine="0" w:firstLineChars="0"/>
              <w:jc w:val="center"/>
              <w:rPr>
                <w:rFonts w:hint="eastAsia" w:ascii="宋体" w:hAnsi="宋体"/>
              </w:rPr>
            </w:pPr>
            <w:r>
              <w:rPr>
                <w:rFonts w:ascii="宋体" w:hAnsi="宋体"/>
              </w:rPr>
              <w:drawing>
                <wp:inline distT="0" distB="0" distL="114300" distR="114300">
                  <wp:extent cx="1510665" cy="238760"/>
                  <wp:effectExtent l="0" t="0" r="0" b="889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34"/>
                          <a:stretch>
                            <a:fillRect/>
                          </a:stretch>
                        </pic:blipFill>
                        <pic:spPr>
                          <a:xfrm>
                            <a:off x="0" y="0"/>
                            <a:ext cx="1510665" cy="238760"/>
                          </a:xfrm>
                          <a:prstGeom prst="rect">
                            <a:avLst/>
                          </a:prstGeom>
                          <a:noFill/>
                          <a:ln>
                            <a:noFill/>
                          </a:ln>
                        </pic:spPr>
                      </pic:pic>
                    </a:graphicData>
                  </a:graphic>
                </wp:inline>
              </w:drawing>
            </w:r>
          </w:p>
          <w:p w14:paraId="7962C986">
            <w:pPr>
              <w:spacing w:line="500" w:lineRule="exact"/>
            </w:pPr>
            <w:r>
              <w:t>式中：</w:t>
            </w:r>
          </w:p>
          <w:p w14:paraId="5DDA062D">
            <w:pPr>
              <w:spacing w:line="500" w:lineRule="exact"/>
              <w:ind w:firstLine="720" w:firstLineChars="300"/>
            </w:pPr>
            <w:r>
              <w:t>S — 透声面积，m</w:t>
            </w:r>
            <w:r>
              <w:rPr>
                <w:vertAlign w:val="superscript"/>
              </w:rPr>
              <w:t>2</w:t>
            </w:r>
            <w:r>
              <w:t>。</w:t>
            </w:r>
          </w:p>
          <w:p w14:paraId="102BC6CA">
            <w:r>
              <w:t>等效室外声源的位置为围护结构的位置，其倍频带声功率级为</w:t>
            </w:r>
            <w:r>
              <w:rPr>
                <w:rFonts w:hint="eastAsia"/>
              </w:rPr>
              <w:t>W</w:t>
            </w:r>
            <w:r>
              <w:rPr>
                <w:rFonts w:hint="eastAsia"/>
                <w:vertAlign w:val="subscript"/>
              </w:rPr>
              <w:t>oct</w:t>
            </w:r>
            <w:r>
              <w:t>，由此按室外声源方法计算等效室外声源在预测点产生的声级。</w:t>
            </w:r>
          </w:p>
          <w:p w14:paraId="7A75F012">
            <w:r>
              <w:t>计算某个室外声源在预测点产生的倍频带声压级：</w:t>
            </w:r>
          </w:p>
          <w:p w14:paraId="1987E7B0">
            <w:pPr>
              <w:ind w:firstLine="0" w:firstLineChars="0"/>
              <w:jc w:val="center"/>
              <w:rPr>
                <w:rFonts w:hint="eastAsia" w:ascii="宋体" w:hAnsi="宋体"/>
              </w:rPr>
            </w:pPr>
            <w:r>
              <w:rPr>
                <w:rFonts w:ascii="宋体" w:hAnsi="宋体"/>
              </w:rPr>
              <w:drawing>
                <wp:inline distT="0" distB="0" distL="114300" distR="114300">
                  <wp:extent cx="2289810" cy="405765"/>
                  <wp:effectExtent l="0" t="0" r="15240" b="1397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35"/>
                          <a:stretch>
                            <a:fillRect/>
                          </a:stretch>
                        </pic:blipFill>
                        <pic:spPr>
                          <a:xfrm>
                            <a:off x="0" y="0"/>
                            <a:ext cx="2289810" cy="405765"/>
                          </a:xfrm>
                          <a:prstGeom prst="rect">
                            <a:avLst/>
                          </a:prstGeom>
                          <a:noFill/>
                          <a:ln>
                            <a:noFill/>
                          </a:ln>
                        </pic:spPr>
                      </pic:pic>
                    </a:graphicData>
                  </a:graphic>
                </wp:inline>
              </w:drawing>
            </w:r>
          </w:p>
          <w:p w14:paraId="0DD01C3D">
            <w:r>
              <w:t>式中：</w:t>
            </w:r>
          </w:p>
          <w:p w14:paraId="03D806B6">
            <w:pPr>
              <w:ind w:firstLine="960" w:firstLineChars="400"/>
            </w:pPr>
            <w:r>
              <w:t>L</w:t>
            </w:r>
            <w:r>
              <w:rPr>
                <w:rFonts w:hint="eastAsia"/>
                <w:i/>
                <w:iCs/>
                <w:vertAlign w:val="subscript"/>
              </w:rPr>
              <w:t>otc</w:t>
            </w:r>
            <w:r>
              <w:rPr>
                <w:rFonts w:hint="eastAsia"/>
              </w:rPr>
              <w:t>(r)</w:t>
            </w:r>
            <w:r>
              <w:t xml:space="preserve"> — 点声源在预测点产生的倍频带声压级，dB；</w:t>
            </w:r>
          </w:p>
          <w:p w14:paraId="11863096">
            <w:pPr>
              <w:ind w:firstLine="960" w:firstLineChars="400"/>
            </w:pPr>
            <w:r>
              <w:t>L</w:t>
            </w:r>
            <w:r>
              <w:rPr>
                <w:rFonts w:hint="eastAsia"/>
                <w:i/>
                <w:iCs/>
                <w:vertAlign w:val="subscript"/>
              </w:rPr>
              <w:t>otc</w:t>
            </w:r>
            <w:r>
              <w:rPr>
                <w:rFonts w:hint="eastAsia"/>
              </w:rPr>
              <w:t>，(r</w:t>
            </w:r>
            <w:r>
              <w:rPr>
                <w:rFonts w:hint="eastAsia"/>
                <w:vertAlign w:val="subscript"/>
              </w:rPr>
              <w:t>0</w:t>
            </w:r>
            <w:r>
              <w:rPr>
                <w:rFonts w:hint="eastAsia"/>
              </w:rPr>
              <w:t>)</w:t>
            </w:r>
            <w:r>
              <w:t xml:space="preserve"> — 参考位置</w:t>
            </w:r>
            <w:r>
              <w:rPr>
                <w:rFonts w:hint="eastAsia"/>
              </w:rPr>
              <w:t>r</w:t>
            </w:r>
            <w:r>
              <w:t>0处的倍频带声压级，dB；</w:t>
            </w:r>
          </w:p>
          <w:p w14:paraId="6402B45F">
            <w:pPr>
              <w:ind w:firstLine="960" w:firstLineChars="400"/>
            </w:pPr>
            <w:r>
              <w:rPr>
                <w:rFonts w:hint="eastAsia"/>
              </w:rPr>
              <w:t>r</w:t>
            </w:r>
            <w:r>
              <w:t xml:space="preserve"> — 预测点距声源的距离，m；</w:t>
            </w:r>
          </w:p>
          <w:p w14:paraId="56CE7E19">
            <w:pPr>
              <w:ind w:firstLine="960" w:firstLineChars="400"/>
            </w:pPr>
            <w:r>
              <w:rPr>
                <w:rFonts w:hint="eastAsia"/>
              </w:rPr>
              <w:t>r</w:t>
            </w:r>
            <w:r>
              <w:rPr>
                <w:vertAlign w:val="subscript"/>
              </w:rPr>
              <w:t>0</w:t>
            </w:r>
            <w:r>
              <w:t xml:space="preserve"> — 参考位置距声源的距离，m；</w:t>
            </w:r>
          </w:p>
          <w:p w14:paraId="4AC859E7">
            <w:pPr>
              <w:ind w:firstLine="960" w:firstLineChars="400"/>
            </w:pPr>
            <w:r>
              <w:rPr>
                <w:rFonts w:hint="eastAsia"/>
              </w:rPr>
              <w:t>△L</w:t>
            </w:r>
            <w:r>
              <w:rPr>
                <w:rFonts w:hint="eastAsia"/>
                <w:i/>
                <w:iCs/>
                <w:vertAlign w:val="subscript"/>
              </w:rPr>
              <w:t>oct</w:t>
            </w:r>
            <w:r>
              <w:t>— 各种因素引起的衰减量，dB。</w:t>
            </w:r>
          </w:p>
          <w:p w14:paraId="032DBE13">
            <w:r>
              <w:t>如已知声源的倍频带声功率级</w:t>
            </w:r>
            <w:r>
              <w:rPr>
                <w:i/>
              </w:rPr>
              <w:t>L</w:t>
            </w:r>
            <w:r>
              <w:rPr>
                <w:rFonts w:hint="eastAsia"/>
                <w:i/>
                <w:vertAlign w:val="subscript"/>
              </w:rPr>
              <w:t>wotc</w:t>
            </w:r>
            <w:r>
              <w:t>，且声源可看作是位于地面上的，则</w:t>
            </w:r>
          </w:p>
          <w:p w14:paraId="0CE19980">
            <w:pPr>
              <w:ind w:firstLine="0" w:firstLineChars="0"/>
              <w:jc w:val="center"/>
              <w:rPr>
                <w:rFonts w:hint="eastAsia" w:ascii="宋体" w:hAnsi="宋体"/>
              </w:rPr>
            </w:pPr>
            <w:r>
              <w:rPr>
                <w:rFonts w:ascii="宋体" w:hAnsi="宋体"/>
              </w:rPr>
              <w:drawing>
                <wp:inline distT="0" distB="0" distL="114300" distR="114300">
                  <wp:extent cx="1701800" cy="230505"/>
                  <wp:effectExtent l="0" t="0" r="12700" b="17145"/>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36"/>
                          <a:stretch>
                            <a:fillRect/>
                          </a:stretch>
                        </pic:blipFill>
                        <pic:spPr>
                          <a:xfrm>
                            <a:off x="0" y="0"/>
                            <a:ext cx="1701800" cy="230505"/>
                          </a:xfrm>
                          <a:prstGeom prst="rect">
                            <a:avLst/>
                          </a:prstGeom>
                          <a:noFill/>
                          <a:ln>
                            <a:noFill/>
                          </a:ln>
                        </pic:spPr>
                      </pic:pic>
                    </a:graphicData>
                  </a:graphic>
                </wp:inline>
              </w:drawing>
            </w:r>
          </w:p>
          <w:p w14:paraId="45CA78A0">
            <w:pPr>
              <w:spacing w:line="500" w:lineRule="exact"/>
            </w:pPr>
            <w:r>
              <w:t>由各倍频带声压级合成计算该声源产生的A声级</w:t>
            </w:r>
            <w:r>
              <w:rPr>
                <w:position w:val="-12"/>
              </w:rPr>
              <w:object>
                <v:shape id="_x0000_i1033" o:spt="75" type="#_x0000_t75" style="height:14.5pt;width:35.5pt;" o:ole="t" filled="f" o:preferrelative="t" stroked="f" coordsize="21600,21600">
                  <v:path/>
                  <v:fill on="f" focussize="0,0"/>
                  <v:stroke on="f" joinstyle="miter"/>
                  <v:imagedata r:id="rId38" o:title=""/>
                  <o:lock v:ext="edit" aspectratio="t"/>
                  <w10:wrap type="none"/>
                  <w10:anchorlock/>
                </v:shape>
                <o:OLEObject Type="Embed" ProgID="Equation.AxMath" ShapeID="_x0000_i1033" DrawAspect="Content" ObjectID="_1468075733" r:id="rId37">
                  <o:LockedField>false</o:LockedField>
                </o:OLEObject>
              </w:object>
            </w:r>
            <w:r>
              <w:t>。</w:t>
            </w:r>
          </w:p>
          <w:p w14:paraId="03827AA5">
            <w:pPr>
              <w:spacing w:line="500" w:lineRule="exact"/>
            </w:pPr>
            <w:r>
              <w:t>计算总声压级</w:t>
            </w:r>
          </w:p>
          <w:p w14:paraId="3FA7BF0B">
            <w:pPr>
              <w:spacing w:line="500" w:lineRule="exact"/>
            </w:pPr>
            <w:r>
              <w:t>设第i个室外声源在预测点产生的A声级为</w:t>
            </w:r>
            <w:r>
              <w:object>
                <v:shape id="_x0000_i1034" o:spt="75" type="#_x0000_t75" style="height:14.5pt;width:28.5pt;" o:ole="t" filled="f" o:preferrelative="t" stroked="f" coordsize="21600,21600">
                  <v:path/>
                  <v:fill on="f" focussize="0,0"/>
                  <v:stroke on="f" joinstyle="miter"/>
                  <v:imagedata r:id="rId40" o:title=""/>
                  <o:lock v:ext="edit" aspectratio="t"/>
                  <w10:wrap type="none"/>
                  <w10:anchorlock/>
                </v:shape>
                <o:OLEObject Type="Embed" ProgID="Equation.AxMath" ShapeID="_x0000_i1034" DrawAspect="Content" ObjectID="_1468075734" r:id="rId39">
                  <o:LockedField>false</o:LockedField>
                </o:OLEObject>
              </w:object>
            </w:r>
            <w:r>
              <w:t>，在</w:t>
            </w:r>
            <w:r>
              <w:drawing>
                <wp:inline distT="0" distB="0" distL="114300" distR="114300">
                  <wp:extent cx="142875" cy="167005"/>
                  <wp:effectExtent l="0" t="0" r="9525" b="3175"/>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41"/>
                          <a:stretch>
                            <a:fillRect/>
                          </a:stretch>
                        </pic:blipFill>
                        <pic:spPr>
                          <a:xfrm>
                            <a:off x="0" y="0"/>
                            <a:ext cx="142875" cy="167005"/>
                          </a:xfrm>
                          <a:prstGeom prst="rect">
                            <a:avLst/>
                          </a:prstGeom>
                          <a:noFill/>
                          <a:ln>
                            <a:noFill/>
                          </a:ln>
                        </pic:spPr>
                      </pic:pic>
                    </a:graphicData>
                  </a:graphic>
                </wp:inline>
              </w:drawing>
            </w:r>
            <w:r>
              <w:t>时间内该声源工作时间为</w:t>
            </w:r>
            <w:r>
              <w:object>
                <v:shape id="_x0000_i1035" o:spt="75" type="#_x0000_t75" style="height:22pt;width:22pt;" o:ole="t" filled="f" o:preferrelative="t" stroked="f" coordsize="21600,21600">
                  <v:path/>
                  <v:fill on="f" focussize="0,0"/>
                  <v:stroke on="f" joinstyle="miter"/>
                  <v:imagedata r:id="rId43" o:title=""/>
                  <o:lock v:ext="edit" aspectratio="t"/>
                  <w10:wrap type="none"/>
                  <w10:anchorlock/>
                </v:shape>
                <o:OLEObject Type="Embed" ProgID="Equation.AxMath" ShapeID="_x0000_i1035" DrawAspect="Content" ObjectID="_1468075735" r:id="rId42">
                  <o:LockedField>false</o:LockedField>
                </o:OLEObject>
              </w:object>
            </w:r>
            <w:r>
              <w:t>，第j个等效室外声源在预测点产生的A声级为</w:t>
            </w:r>
            <w:r>
              <w:object>
                <v:shape id="_x0000_i1036" o:spt="75" type="#_x0000_t75" style="height:21.5pt;width:35.5pt;" o:ole="t" filled="f" o:preferrelative="t" stroked="f" coordsize="21600,21600">
                  <v:path/>
                  <v:fill on="f" focussize="0,0"/>
                  <v:stroke on="f" joinstyle="miter"/>
                  <v:imagedata r:id="rId45" o:title=""/>
                  <o:lock v:ext="edit" aspectratio="t"/>
                  <w10:wrap type="none"/>
                  <w10:anchorlock/>
                </v:shape>
                <o:OLEObject Type="Embed" ProgID="Equation.AxMath" ShapeID="_x0000_i1036" DrawAspect="Content" ObjectID="_1468075736" r:id="rId44">
                  <o:LockedField>false</o:LockedField>
                </o:OLEObject>
              </w:object>
            </w:r>
            <w:r>
              <w:t>，在</w:t>
            </w:r>
            <w:r>
              <w:drawing>
                <wp:inline distT="0" distB="0" distL="114300" distR="114300">
                  <wp:extent cx="142875" cy="167005"/>
                  <wp:effectExtent l="0" t="0" r="9525" b="3175"/>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41"/>
                          <a:stretch>
                            <a:fillRect/>
                          </a:stretch>
                        </pic:blipFill>
                        <pic:spPr>
                          <a:xfrm>
                            <a:off x="0" y="0"/>
                            <a:ext cx="142875" cy="167005"/>
                          </a:xfrm>
                          <a:prstGeom prst="rect">
                            <a:avLst/>
                          </a:prstGeom>
                          <a:noFill/>
                          <a:ln>
                            <a:noFill/>
                          </a:ln>
                        </pic:spPr>
                      </pic:pic>
                    </a:graphicData>
                  </a:graphic>
                </wp:inline>
              </w:drawing>
            </w:r>
            <w:r>
              <w:t>时间内该声源工作时间为</w:t>
            </w:r>
            <w:r>
              <w:object>
                <v:shape id="_x0000_i1037" o:spt="75" type="#_x0000_t75" style="height:21.5pt;width:28.5pt;" o:ole="t" filled="f" o:preferrelative="t" stroked="f" coordsize="21600,21600">
                  <v:path/>
                  <v:fill on="f" focussize="0,0"/>
                  <v:stroke on="f" joinstyle="miter"/>
                  <v:imagedata r:id="rId47" o:title=""/>
                  <o:lock v:ext="edit" aspectratio="t"/>
                  <w10:wrap type="none"/>
                  <w10:anchorlock/>
                </v:shape>
                <o:OLEObject Type="Embed" ProgID="Equation.AxMath" ShapeID="_x0000_i1037" DrawAspect="Content" ObjectID="_1468075737" r:id="rId46">
                  <o:LockedField>false</o:LockedField>
                </o:OLEObject>
              </w:object>
            </w:r>
            <w:r>
              <w:t>，则预测点的总等效声级为：</w:t>
            </w:r>
          </w:p>
          <w:p w14:paraId="2158DE31">
            <w:pPr>
              <w:jc w:val="center"/>
              <w:rPr>
                <w:rFonts w:hint="eastAsia" w:ascii="宋体" w:hAnsi="宋体"/>
              </w:rPr>
            </w:pPr>
            <w:r>
              <w:rPr>
                <w:rFonts w:ascii="宋体" w:hAnsi="宋体"/>
              </w:rPr>
              <w:drawing>
                <wp:inline distT="0" distB="0" distL="114300" distR="114300">
                  <wp:extent cx="3275965" cy="381000"/>
                  <wp:effectExtent l="0" t="0" r="635"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48"/>
                          <a:stretch>
                            <a:fillRect/>
                          </a:stretch>
                        </pic:blipFill>
                        <pic:spPr>
                          <a:xfrm>
                            <a:off x="0" y="0"/>
                            <a:ext cx="3275965" cy="381000"/>
                          </a:xfrm>
                          <a:prstGeom prst="rect">
                            <a:avLst/>
                          </a:prstGeom>
                          <a:noFill/>
                          <a:ln>
                            <a:noFill/>
                          </a:ln>
                        </pic:spPr>
                      </pic:pic>
                    </a:graphicData>
                  </a:graphic>
                </wp:inline>
              </w:drawing>
            </w:r>
          </w:p>
          <w:p w14:paraId="6950C56E">
            <w:r>
              <w:t>式中：</w:t>
            </w:r>
          </w:p>
          <w:p w14:paraId="5AB2FFAD">
            <w:pPr>
              <w:ind w:firstLine="720" w:firstLineChars="300"/>
            </w:pPr>
            <w:r>
              <w:t>T — 计算等效声级的时间，h；</w:t>
            </w:r>
          </w:p>
          <w:p w14:paraId="20076D36">
            <w:pPr>
              <w:ind w:firstLine="720" w:firstLineChars="300"/>
            </w:pPr>
            <w:r>
              <w:t>N — 室外声源个数；</w:t>
            </w:r>
          </w:p>
          <w:p w14:paraId="57F57088">
            <w:pPr>
              <w:ind w:firstLine="720" w:firstLineChars="300"/>
            </w:pPr>
            <w:r>
              <w:t>M — 等效室外声源个数。</w:t>
            </w:r>
          </w:p>
          <w:p w14:paraId="7DEAE8EB">
            <w:r>
              <w:rPr>
                <w:rFonts w:hint="eastAsia"/>
              </w:rPr>
              <w:t>在预测计算时，为留有余地，以噪声对环境最不利的情况为前提，同时考虑计算简化，提出如下假设：预测计算时，声能在户外传播衰减只考虑屏蔽衰减、距离衰减和空气吸收衰减，其它因素的衰减，如地面效应、温度梯度等衰减均作为工程的安合系数而不计。</w:t>
            </w:r>
          </w:p>
          <w:p w14:paraId="37F68592">
            <w:r>
              <w:t>在具体计算中，首先确定噪声源的位置和声级，其次根据噪声源的平面位置坐标分别计算出它们与关心点的距离，然后由噪声源的源强和位置数据应用上述公式在关心点进行</w:t>
            </w:r>
            <w:r>
              <w:rPr>
                <w:rFonts w:hint="eastAsia"/>
              </w:rPr>
              <w:t>叠加</w:t>
            </w:r>
            <w:r>
              <w:t>，最后得出预测结果。</w:t>
            </w:r>
          </w:p>
          <w:p w14:paraId="076EF1CF">
            <w:pPr>
              <w:widowControl/>
              <w:autoSpaceDE w:val="0"/>
              <w:autoSpaceDN w:val="0"/>
              <w:spacing w:line="240" w:lineRule="auto"/>
              <w:ind w:firstLine="0" w:firstLineChars="0"/>
              <w:jc w:val="center"/>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表4-</w:t>
            </w:r>
            <w:r>
              <w:rPr>
                <w:rFonts w:hint="eastAsia"/>
                <w:b/>
                <w:bCs/>
                <w:color w:val="000000" w:themeColor="text1"/>
                <w14:textFill>
                  <w14:solidFill>
                    <w14:schemeClr w14:val="tx1"/>
                  </w14:solidFill>
                </w14:textFill>
              </w:rPr>
              <w:t xml:space="preserve">11  </w:t>
            </w:r>
            <w:r>
              <w:rPr>
                <w:b/>
                <w:bCs/>
                <w:color w:val="000000" w:themeColor="text1"/>
                <w14:textFill>
                  <w14:solidFill>
                    <w14:schemeClr w14:val="tx1"/>
                  </w14:solidFill>
                </w14:textFill>
              </w:rPr>
              <w:t>本项目主要产噪设备及其源强（室外声源）</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1503"/>
              <w:gridCol w:w="1015"/>
              <w:gridCol w:w="1057"/>
              <w:gridCol w:w="914"/>
              <w:gridCol w:w="1618"/>
              <w:gridCol w:w="1339"/>
            </w:tblGrid>
            <w:tr w14:paraId="4A74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9" w:type="dxa"/>
                  <w:vMerge w:val="restart"/>
                  <w:vAlign w:val="center"/>
                </w:tcPr>
                <w:p w14:paraId="463F356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486" w:type="dxa"/>
                  <w:vMerge w:val="restart"/>
                  <w:vAlign w:val="center"/>
                </w:tcPr>
                <w:p w14:paraId="01F10B9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声源名称</w:t>
                  </w:r>
                </w:p>
              </w:tc>
              <w:tc>
                <w:tcPr>
                  <w:tcW w:w="2952" w:type="dxa"/>
                  <w:gridSpan w:val="3"/>
                  <w:vAlign w:val="center"/>
                </w:tcPr>
                <w:p w14:paraId="1756386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空间相对位置</w:t>
                  </w:r>
                </w:p>
              </w:tc>
              <w:tc>
                <w:tcPr>
                  <w:tcW w:w="1600" w:type="dxa"/>
                  <w:vMerge w:val="restart"/>
                  <w:vAlign w:val="center"/>
                </w:tcPr>
                <w:p w14:paraId="61BFC3F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声功率级dB（A）</w:t>
                  </w:r>
                </w:p>
              </w:tc>
              <w:tc>
                <w:tcPr>
                  <w:tcW w:w="1324" w:type="dxa"/>
                  <w:vMerge w:val="restart"/>
                  <w:vAlign w:val="center"/>
                </w:tcPr>
                <w:p w14:paraId="14CE53D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声源控制措施</w:t>
                  </w:r>
                </w:p>
              </w:tc>
            </w:tr>
            <w:tr w14:paraId="76E8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9" w:type="dxa"/>
                  <w:vMerge w:val="continue"/>
                  <w:vAlign w:val="center"/>
                </w:tcPr>
                <w:p w14:paraId="6958810E">
                  <w:pPr>
                    <w:spacing w:line="240" w:lineRule="auto"/>
                    <w:ind w:firstLine="0" w:firstLineChars="0"/>
                    <w:jc w:val="center"/>
                    <w:rPr>
                      <w:color w:val="000000" w:themeColor="text1"/>
                      <w:sz w:val="21"/>
                      <w:szCs w:val="21"/>
                      <w14:textFill>
                        <w14:solidFill>
                          <w14:schemeClr w14:val="tx1"/>
                        </w14:solidFill>
                      </w14:textFill>
                    </w:rPr>
                  </w:pPr>
                </w:p>
              </w:tc>
              <w:tc>
                <w:tcPr>
                  <w:tcW w:w="1486" w:type="dxa"/>
                  <w:vMerge w:val="continue"/>
                  <w:vAlign w:val="center"/>
                </w:tcPr>
                <w:p w14:paraId="035BE18A">
                  <w:pPr>
                    <w:spacing w:line="240" w:lineRule="auto"/>
                    <w:ind w:firstLine="0" w:firstLineChars="0"/>
                    <w:jc w:val="center"/>
                    <w:rPr>
                      <w:color w:val="000000" w:themeColor="text1"/>
                      <w:sz w:val="21"/>
                      <w:szCs w:val="21"/>
                      <w14:textFill>
                        <w14:solidFill>
                          <w14:schemeClr w14:val="tx1"/>
                        </w14:solidFill>
                      </w14:textFill>
                    </w:rPr>
                  </w:pPr>
                </w:p>
              </w:tc>
              <w:tc>
                <w:tcPr>
                  <w:tcW w:w="1003" w:type="dxa"/>
                  <w:vAlign w:val="center"/>
                </w:tcPr>
                <w:p w14:paraId="76E80A6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X</w:t>
                  </w:r>
                </w:p>
              </w:tc>
              <w:tc>
                <w:tcPr>
                  <w:tcW w:w="1045" w:type="dxa"/>
                  <w:vAlign w:val="center"/>
                </w:tcPr>
                <w:p w14:paraId="3EE2FB4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Y</w:t>
                  </w:r>
                </w:p>
              </w:tc>
              <w:tc>
                <w:tcPr>
                  <w:tcW w:w="904" w:type="dxa"/>
                  <w:vAlign w:val="center"/>
                </w:tcPr>
                <w:p w14:paraId="24CE12E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Z</w:t>
                  </w:r>
                </w:p>
              </w:tc>
              <w:tc>
                <w:tcPr>
                  <w:tcW w:w="1600" w:type="dxa"/>
                  <w:vMerge w:val="continue"/>
                  <w:vAlign w:val="center"/>
                </w:tcPr>
                <w:p w14:paraId="10B71DE7">
                  <w:pPr>
                    <w:spacing w:line="240" w:lineRule="auto"/>
                    <w:ind w:firstLine="0" w:firstLineChars="0"/>
                    <w:jc w:val="center"/>
                    <w:rPr>
                      <w:color w:val="000000" w:themeColor="text1"/>
                      <w:sz w:val="21"/>
                      <w:szCs w:val="21"/>
                      <w14:textFill>
                        <w14:solidFill>
                          <w14:schemeClr w14:val="tx1"/>
                        </w14:solidFill>
                      </w14:textFill>
                    </w:rPr>
                  </w:pPr>
                </w:p>
              </w:tc>
              <w:tc>
                <w:tcPr>
                  <w:tcW w:w="1324" w:type="dxa"/>
                  <w:vMerge w:val="continue"/>
                  <w:vAlign w:val="center"/>
                </w:tcPr>
                <w:p w14:paraId="5C02EA6D">
                  <w:pPr>
                    <w:spacing w:line="240" w:lineRule="auto"/>
                    <w:ind w:firstLine="0" w:firstLineChars="0"/>
                    <w:jc w:val="center"/>
                    <w:rPr>
                      <w:color w:val="000000" w:themeColor="text1"/>
                      <w:sz w:val="21"/>
                      <w:szCs w:val="21"/>
                      <w14:textFill>
                        <w14:solidFill>
                          <w14:schemeClr w14:val="tx1"/>
                        </w14:solidFill>
                      </w14:textFill>
                    </w:rPr>
                  </w:pPr>
                </w:p>
              </w:tc>
            </w:tr>
            <w:tr w14:paraId="6D17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9" w:type="dxa"/>
                  <w:vAlign w:val="center"/>
                </w:tcPr>
                <w:p w14:paraId="48861BC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486" w:type="dxa"/>
                  <w:vAlign w:val="center"/>
                </w:tcPr>
                <w:p w14:paraId="5BE4730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DA001风机</w:t>
                  </w:r>
                </w:p>
              </w:tc>
              <w:tc>
                <w:tcPr>
                  <w:tcW w:w="1003" w:type="dxa"/>
                  <w:vAlign w:val="center"/>
                </w:tcPr>
                <w:p w14:paraId="661E26FD">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1045" w:type="dxa"/>
                  <w:vAlign w:val="center"/>
                </w:tcPr>
                <w:p w14:paraId="2DCAA861">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904" w:type="dxa"/>
                  <w:vAlign w:val="center"/>
                </w:tcPr>
                <w:p w14:paraId="52AA5D5D">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600" w:type="dxa"/>
                  <w:vAlign w:val="center"/>
                </w:tcPr>
                <w:p w14:paraId="6CCCA79A">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w:t>
                  </w:r>
                </w:p>
              </w:tc>
              <w:tc>
                <w:tcPr>
                  <w:tcW w:w="1324" w:type="dxa"/>
                  <w:vMerge w:val="restart"/>
                  <w:vAlign w:val="center"/>
                </w:tcPr>
                <w:p w14:paraId="0246B19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基础减振、隔声罩</w:t>
                  </w:r>
                </w:p>
              </w:tc>
            </w:tr>
            <w:tr w14:paraId="3517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9" w:type="dxa"/>
                  <w:vAlign w:val="center"/>
                </w:tcPr>
                <w:p w14:paraId="3E16913E">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486" w:type="dxa"/>
                  <w:shd w:val="clear" w:color="auto" w:fill="auto"/>
                  <w:vAlign w:val="center"/>
                </w:tcPr>
                <w:p w14:paraId="02CEDD8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DA00</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风机</w:t>
                  </w:r>
                </w:p>
              </w:tc>
              <w:tc>
                <w:tcPr>
                  <w:tcW w:w="1003" w:type="dxa"/>
                  <w:shd w:val="clear" w:color="auto" w:fill="auto"/>
                  <w:vAlign w:val="center"/>
                </w:tcPr>
                <w:p w14:paraId="55145981">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1045" w:type="dxa"/>
                  <w:shd w:val="clear" w:color="auto" w:fill="auto"/>
                  <w:vAlign w:val="center"/>
                </w:tcPr>
                <w:p w14:paraId="08BA9A30">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904" w:type="dxa"/>
                  <w:shd w:val="clear" w:color="auto" w:fill="auto"/>
                  <w:vAlign w:val="center"/>
                </w:tcPr>
                <w:p w14:paraId="79B9D244">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600" w:type="dxa"/>
                  <w:shd w:val="clear" w:color="auto" w:fill="auto"/>
                  <w:vAlign w:val="center"/>
                </w:tcPr>
                <w:p w14:paraId="68C468B2">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90</w:t>
                  </w:r>
                </w:p>
              </w:tc>
              <w:tc>
                <w:tcPr>
                  <w:tcW w:w="1324" w:type="dxa"/>
                  <w:vMerge w:val="continue"/>
                  <w:shd w:val="clear" w:color="auto" w:fill="auto"/>
                  <w:vAlign w:val="center"/>
                </w:tcPr>
                <w:p w14:paraId="51F16761">
                  <w:pPr>
                    <w:spacing w:line="240" w:lineRule="auto"/>
                    <w:ind w:firstLine="0" w:firstLineChars="0"/>
                    <w:jc w:val="center"/>
                    <w:rPr>
                      <w:color w:val="000000" w:themeColor="text1"/>
                      <w:sz w:val="21"/>
                      <w:szCs w:val="21"/>
                      <w14:textFill>
                        <w14:solidFill>
                          <w14:schemeClr w14:val="tx1"/>
                        </w14:solidFill>
                      </w14:textFill>
                    </w:rPr>
                  </w:pPr>
                </w:p>
              </w:tc>
            </w:tr>
            <w:tr w14:paraId="7C8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81" w:type="dxa"/>
                  <w:gridSpan w:val="7"/>
                  <w:vAlign w:val="center"/>
                </w:tcPr>
                <w:p w14:paraId="6DD0C0D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注：坐标原点选择厂房对角线交叉点</w:t>
                  </w:r>
                </w:p>
              </w:tc>
            </w:tr>
          </w:tbl>
          <w:p w14:paraId="5E229B85">
            <w:pPr>
              <w:widowControl/>
              <w:autoSpaceDE w:val="0"/>
              <w:autoSpaceDN w:val="0"/>
              <w:spacing w:line="240" w:lineRule="auto"/>
              <w:ind w:firstLine="0" w:firstLineChars="0"/>
              <w:jc w:val="center"/>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表4-</w:t>
            </w:r>
            <w:r>
              <w:rPr>
                <w:rFonts w:hint="eastAsia"/>
                <w:b/>
                <w:bCs/>
                <w:color w:val="000000" w:themeColor="text1"/>
                <w14:textFill>
                  <w14:solidFill>
                    <w14:schemeClr w14:val="tx1"/>
                  </w14:solidFill>
                </w14:textFill>
              </w:rPr>
              <w:t xml:space="preserve">12  </w:t>
            </w:r>
            <w:r>
              <w:rPr>
                <w:b/>
                <w:bCs/>
                <w:color w:val="000000" w:themeColor="text1"/>
                <w14:textFill>
                  <w14:solidFill>
                    <w14:schemeClr w14:val="tx1"/>
                  </w14:solidFill>
                </w14:textFill>
              </w:rPr>
              <w:t>本项目高噪声设备噪声源强一览表（室</w:t>
            </w:r>
            <w:r>
              <w:rPr>
                <w:rFonts w:hint="eastAsia"/>
                <w:b/>
                <w:bCs/>
                <w:color w:val="000000" w:themeColor="text1"/>
                <w14:textFill>
                  <w14:solidFill>
                    <w14:schemeClr w14:val="tx1"/>
                  </w14:solidFill>
                </w14:textFill>
              </w:rPr>
              <w:t>内</w:t>
            </w:r>
            <w:r>
              <w:rPr>
                <w:b/>
                <w:bCs/>
                <w:color w:val="000000" w:themeColor="text1"/>
                <w14:textFill>
                  <w14:solidFill>
                    <w14:schemeClr w14:val="tx1"/>
                  </w14:solidFill>
                </w14:textFill>
              </w:rPr>
              <w:t>声源）</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单位：dB（A）</w:t>
            </w:r>
          </w:p>
          <w:tbl>
            <w:tblPr>
              <w:tblStyle w:val="45"/>
              <w:tblW w:w="79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626"/>
              <w:gridCol w:w="441"/>
              <w:gridCol w:w="442"/>
              <w:gridCol w:w="457"/>
              <w:gridCol w:w="329"/>
              <w:gridCol w:w="359"/>
              <w:gridCol w:w="420"/>
              <w:gridCol w:w="1031"/>
              <w:gridCol w:w="996"/>
              <w:gridCol w:w="457"/>
              <w:gridCol w:w="573"/>
              <w:gridCol w:w="934"/>
              <w:gridCol w:w="461"/>
            </w:tblGrid>
            <w:tr w14:paraId="465AE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vMerge w:val="restart"/>
                  <w:tcBorders>
                    <w:tl2br w:val="nil"/>
                    <w:tr2bl w:val="nil"/>
                  </w:tcBorders>
                  <w:vAlign w:val="center"/>
                </w:tcPr>
                <w:p w14:paraId="70B5237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394" w:type="pct"/>
                  <w:vMerge w:val="restart"/>
                  <w:tcBorders>
                    <w:tl2br w:val="nil"/>
                    <w:tr2bl w:val="nil"/>
                  </w:tcBorders>
                  <w:vAlign w:val="center"/>
                </w:tcPr>
                <w:p w14:paraId="701D95F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设备</w:t>
                  </w:r>
                </w:p>
                <w:p w14:paraId="3A10198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277" w:type="pct"/>
                  <w:vMerge w:val="restart"/>
                  <w:tcBorders>
                    <w:tl2br w:val="nil"/>
                    <w:tr2bl w:val="nil"/>
                  </w:tcBorders>
                  <w:vAlign w:val="center"/>
                </w:tcPr>
                <w:p w14:paraId="16AF107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数量（台/套）</w:t>
                  </w:r>
                </w:p>
              </w:tc>
              <w:tc>
                <w:tcPr>
                  <w:tcW w:w="278" w:type="pct"/>
                  <w:vMerge w:val="restart"/>
                  <w:tcBorders>
                    <w:tl2br w:val="nil"/>
                    <w:tr2bl w:val="nil"/>
                  </w:tcBorders>
                  <w:vAlign w:val="center"/>
                </w:tcPr>
                <w:p w14:paraId="5516FA8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声功率级dB（A/</w:t>
                  </w:r>
                </w:p>
              </w:tc>
              <w:tc>
                <w:tcPr>
                  <w:tcW w:w="287" w:type="pct"/>
                  <w:vMerge w:val="restart"/>
                  <w:tcBorders>
                    <w:tl2br w:val="nil"/>
                    <w:tr2bl w:val="nil"/>
                  </w:tcBorders>
                  <w:vAlign w:val="center"/>
                </w:tcPr>
                <w:p w14:paraId="6D95ABF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声源控制措施</w:t>
                  </w:r>
                </w:p>
              </w:tc>
              <w:tc>
                <w:tcPr>
                  <w:tcW w:w="697" w:type="pct"/>
                  <w:gridSpan w:val="3"/>
                  <w:tcBorders>
                    <w:tl2br w:val="nil"/>
                    <w:tr2bl w:val="nil"/>
                  </w:tcBorders>
                  <w:vAlign w:val="center"/>
                </w:tcPr>
                <w:p w14:paraId="21F3E36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空间相对距离</w:t>
                  </w:r>
                </w:p>
              </w:tc>
              <w:tc>
                <w:tcPr>
                  <w:tcW w:w="648" w:type="pct"/>
                  <w:vMerge w:val="restart"/>
                  <w:tcBorders>
                    <w:tl2br w:val="nil"/>
                    <w:tr2bl w:val="nil"/>
                  </w:tcBorders>
                  <w:vAlign w:val="center"/>
                </w:tcPr>
                <w:p w14:paraId="2468904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距室内边界距离/m</w:t>
                  </w:r>
                </w:p>
              </w:tc>
              <w:tc>
                <w:tcPr>
                  <w:tcW w:w="626" w:type="pct"/>
                  <w:vMerge w:val="restart"/>
                  <w:tcBorders>
                    <w:tl2br w:val="nil"/>
                    <w:tr2bl w:val="nil"/>
                  </w:tcBorders>
                  <w:vAlign w:val="center"/>
                </w:tcPr>
                <w:p w14:paraId="5A730EA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室内边界声级/dB（A）</w:t>
                  </w:r>
                </w:p>
              </w:tc>
              <w:tc>
                <w:tcPr>
                  <w:tcW w:w="287" w:type="pct"/>
                  <w:vMerge w:val="restart"/>
                  <w:tcBorders>
                    <w:tl2br w:val="nil"/>
                    <w:tr2bl w:val="nil"/>
                  </w:tcBorders>
                  <w:vAlign w:val="center"/>
                </w:tcPr>
                <w:p w14:paraId="0B057B2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运行时段</w:t>
                  </w:r>
                </w:p>
              </w:tc>
              <w:tc>
                <w:tcPr>
                  <w:tcW w:w="360" w:type="pct"/>
                  <w:vMerge w:val="restart"/>
                  <w:tcBorders>
                    <w:tl2br w:val="nil"/>
                    <w:tr2bl w:val="nil"/>
                  </w:tcBorders>
                  <w:vAlign w:val="center"/>
                </w:tcPr>
                <w:p w14:paraId="6C533FC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建筑物插入损失/dB（A）</w:t>
                  </w:r>
                </w:p>
              </w:tc>
              <w:tc>
                <w:tcPr>
                  <w:tcW w:w="873" w:type="pct"/>
                  <w:gridSpan w:val="2"/>
                  <w:tcBorders>
                    <w:tl2br w:val="nil"/>
                    <w:tr2bl w:val="nil"/>
                  </w:tcBorders>
                  <w:vAlign w:val="center"/>
                </w:tcPr>
                <w:p w14:paraId="50C23AE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建筑物外噪声</w:t>
                  </w:r>
                </w:p>
              </w:tc>
            </w:tr>
            <w:tr w14:paraId="57A2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vMerge w:val="continue"/>
                  <w:tcBorders>
                    <w:tl2br w:val="nil"/>
                    <w:tr2bl w:val="nil"/>
                  </w:tcBorders>
                  <w:vAlign w:val="center"/>
                </w:tcPr>
                <w:p w14:paraId="297AFB56">
                  <w:pPr>
                    <w:spacing w:line="240" w:lineRule="auto"/>
                    <w:ind w:firstLine="0" w:firstLineChars="0"/>
                    <w:jc w:val="center"/>
                    <w:rPr>
                      <w:color w:val="000000" w:themeColor="text1"/>
                      <w:sz w:val="21"/>
                      <w:szCs w:val="21"/>
                      <w14:textFill>
                        <w14:solidFill>
                          <w14:schemeClr w14:val="tx1"/>
                        </w14:solidFill>
                      </w14:textFill>
                    </w:rPr>
                  </w:pPr>
                </w:p>
              </w:tc>
              <w:tc>
                <w:tcPr>
                  <w:tcW w:w="394" w:type="pct"/>
                  <w:vMerge w:val="continue"/>
                  <w:tcBorders>
                    <w:tl2br w:val="nil"/>
                    <w:tr2bl w:val="nil"/>
                  </w:tcBorders>
                  <w:vAlign w:val="center"/>
                </w:tcPr>
                <w:p w14:paraId="6E08DD3E">
                  <w:pPr>
                    <w:spacing w:line="240" w:lineRule="auto"/>
                    <w:ind w:firstLine="0" w:firstLineChars="0"/>
                    <w:jc w:val="center"/>
                    <w:rPr>
                      <w:color w:val="000000" w:themeColor="text1"/>
                      <w:sz w:val="21"/>
                      <w:szCs w:val="21"/>
                      <w14:textFill>
                        <w14:solidFill>
                          <w14:schemeClr w14:val="tx1"/>
                        </w14:solidFill>
                      </w14:textFill>
                    </w:rPr>
                  </w:pPr>
                </w:p>
              </w:tc>
              <w:tc>
                <w:tcPr>
                  <w:tcW w:w="277" w:type="pct"/>
                  <w:vMerge w:val="continue"/>
                  <w:tcBorders>
                    <w:tl2br w:val="nil"/>
                    <w:tr2bl w:val="nil"/>
                  </w:tcBorders>
                  <w:vAlign w:val="center"/>
                </w:tcPr>
                <w:p w14:paraId="651C8CE8">
                  <w:pPr>
                    <w:spacing w:line="240" w:lineRule="auto"/>
                    <w:ind w:firstLine="0" w:firstLineChars="0"/>
                    <w:jc w:val="center"/>
                    <w:rPr>
                      <w:color w:val="000000" w:themeColor="text1"/>
                      <w:sz w:val="21"/>
                      <w:szCs w:val="21"/>
                      <w14:textFill>
                        <w14:solidFill>
                          <w14:schemeClr w14:val="tx1"/>
                        </w14:solidFill>
                      </w14:textFill>
                    </w:rPr>
                  </w:pPr>
                </w:p>
              </w:tc>
              <w:tc>
                <w:tcPr>
                  <w:tcW w:w="278" w:type="pct"/>
                  <w:vMerge w:val="continue"/>
                  <w:tcBorders>
                    <w:tl2br w:val="nil"/>
                    <w:tr2bl w:val="nil"/>
                  </w:tcBorders>
                  <w:vAlign w:val="center"/>
                </w:tcPr>
                <w:p w14:paraId="13568404">
                  <w:pPr>
                    <w:spacing w:line="240" w:lineRule="auto"/>
                    <w:ind w:firstLine="0" w:firstLineChars="0"/>
                    <w:jc w:val="center"/>
                    <w:rPr>
                      <w:color w:val="000000" w:themeColor="text1"/>
                      <w:sz w:val="21"/>
                      <w:szCs w:val="21"/>
                      <w14:textFill>
                        <w14:solidFill>
                          <w14:schemeClr w14:val="tx1"/>
                        </w14:solidFill>
                      </w14:textFill>
                    </w:rPr>
                  </w:pPr>
                </w:p>
              </w:tc>
              <w:tc>
                <w:tcPr>
                  <w:tcW w:w="287" w:type="pct"/>
                  <w:vMerge w:val="continue"/>
                  <w:tcBorders>
                    <w:tl2br w:val="nil"/>
                    <w:tr2bl w:val="nil"/>
                  </w:tcBorders>
                  <w:vAlign w:val="center"/>
                </w:tcPr>
                <w:p w14:paraId="791337DC">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7152EBC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X</w:t>
                  </w:r>
                </w:p>
              </w:tc>
              <w:tc>
                <w:tcPr>
                  <w:tcW w:w="226" w:type="pct"/>
                  <w:tcBorders>
                    <w:tl2br w:val="nil"/>
                    <w:tr2bl w:val="nil"/>
                  </w:tcBorders>
                  <w:vAlign w:val="center"/>
                </w:tcPr>
                <w:p w14:paraId="152C310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Y</w:t>
                  </w:r>
                </w:p>
              </w:tc>
              <w:tc>
                <w:tcPr>
                  <w:tcW w:w="264" w:type="pct"/>
                  <w:tcBorders>
                    <w:tl2br w:val="nil"/>
                    <w:tr2bl w:val="nil"/>
                  </w:tcBorders>
                  <w:vAlign w:val="center"/>
                </w:tcPr>
                <w:p w14:paraId="5B6267A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Z</w:t>
                  </w:r>
                </w:p>
              </w:tc>
              <w:tc>
                <w:tcPr>
                  <w:tcW w:w="648" w:type="pct"/>
                  <w:vMerge w:val="continue"/>
                  <w:tcBorders>
                    <w:tl2br w:val="nil"/>
                    <w:tr2bl w:val="nil"/>
                  </w:tcBorders>
                  <w:vAlign w:val="center"/>
                </w:tcPr>
                <w:p w14:paraId="692F911D">
                  <w:pPr>
                    <w:spacing w:line="240" w:lineRule="auto"/>
                    <w:ind w:firstLine="0" w:firstLineChars="0"/>
                    <w:jc w:val="center"/>
                    <w:rPr>
                      <w:color w:val="000000" w:themeColor="text1"/>
                      <w:sz w:val="21"/>
                      <w:szCs w:val="21"/>
                      <w14:textFill>
                        <w14:solidFill>
                          <w14:schemeClr w14:val="tx1"/>
                        </w14:solidFill>
                      </w14:textFill>
                    </w:rPr>
                  </w:pPr>
                </w:p>
              </w:tc>
              <w:tc>
                <w:tcPr>
                  <w:tcW w:w="626" w:type="pct"/>
                  <w:vMerge w:val="continue"/>
                  <w:tcBorders>
                    <w:tl2br w:val="nil"/>
                    <w:tr2bl w:val="nil"/>
                  </w:tcBorders>
                  <w:vAlign w:val="center"/>
                </w:tcPr>
                <w:p w14:paraId="60DEF3C1">
                  <w:pPr>
                    <w:spacing w:line="240" w:lineRule="auto"/>
                    <w:ind w:firstLine="0" w:firstLineChars="0"/>
                    <w:jc w:val="center"/>
                    <w:rPr>
                      <w:color w:val="000000" w:themeColor="text1"/>
                      <w:sz w:val="21"/>
                      <w:szCs w:val="21"/>
                      <w14:textFill>
                        <w14:solidFill>
                          <w14:schemeClr w14:val="tx1"/>
                        </w14:solidFill>
                      </w14:textFill>
                    </w:rPr>
                  </w:pPr>
                </w:p>
              </w:tc>
              <w:tc>
                <w:tcPr>
                  <w:tcW w:w="287" w:type="pct"/>
                  <w:vMerge w:val="continue"/>
                  <w:tcBorders>
                    <w:tl2br w:val="nil"/>
                    <w:tr2bl w:val="nil"/>
                  </w:tcBorders>
                  <w:vAlign w:val="center"/>
                </w:tcPr>
                <w:p w14:paraId="643A145E">
                  <w:pPr>
                    <w:spacing w:line="240" w:lineRule="auto"/>
                    <w:ind w:firstLine="0" w:firstLineChars="0"/>
                    <w:jc w:val="center"/>
                    <w:rPr>
                      <w:color w:val="000000" w:themeColor="text1"/>
                      <w:sz w:val="21"/>
                      <w:szCs w:val="21"/>
                      <w14:textFill>
                        <w14:solidFill>
                          <w14:schemeClr w14:val="tx1"/>
                        </w14:solidFill>
                      </w14:textFill>
                    </w:rPr>
                  </w:pPr>
                </w:p>
              </w:tc>
              <w:tc>
                <w:tcPr>
                  <w:tcW w:w="360" w:type="pct"/>
                  <w:vMerge w:val="continue"/>
                  <w:tcBorders>
                    <w:tl2br w:val="nil"/>
                    <w:tr2bl w:val="nil"/>
                  </w:tcBorders>
                  <w:vAlign w:val="center"/>
                </w:tcPr>
                <w:p w14:paraId="232C5183">
                  <w:pPr>
                    <w:spacing w:line="240" w:lineRule="auto"/>
                    <w:ind w:firstLine="0" w:firstLineChars="0"/>
                    <w:jc w:val="center"/>
                    <w:rPr>
                      <w:color w:val="000000" w:themeColor="text1"/>
                      <w:sz w:val="21"/>
                      <w:szCs w:val="21"/>
                      <w14:textFill>
                        <w14:solidFill>
                          <w14:schemeClr w14:val="tx1"/>
                        </w14:solidFill>
                      </w14:textFill>
                    </w:rPr>
                  </w:pPr>
                </w:p>
              </w:tc>
              <w:tc>
                <w:tcPr>
                  <w:tcW w:w="587" w:type="pct"/>
                  <w:tcBorders>
                    <w:tl2br w:val="nil"/>
                    <w:tr2bl w:val="nil"/>
                  </w:tcBorders>
                  <w:vAlign w:val="center"/>
                </w:tcPr>
                <w:p w14:paraId="763FCFA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声压级/dB（A）</w:t>
                  </w:r>
                </w:p>
              </w:tc>
              <w:tc>
                <w:tcPr>
                  <w:tcW w:w="285" w:type="pct"/>
                  <w:tcBorders>
                    <w:tl2br w:val="nil"/>
                    <w:tr2bl w:val="nil"/>
                  </w:tcBorders>
                  <w:vAlign w:val="center"/>
                </w:tcPr>
                <w:p w14:paraId="090D207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建筑物外距离</w:t>
                  </w:r>
                </w:p>
              </w:tc>
            </w:tr>
            <w:tr w14:paraId="7884D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0A03E28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394" w:type="pct"/>
                  <w:tcBorders>
                    <w:tl2br w:val="nil"/>
                    <w:tr2bl w:val="nil"/>
                  </w:tcBorders>
                  <w:shd w:val="clear" w:color="auto" w:fill="auto"/>
                  <w:vAlign w:val="center"/>
                </w:tcPr>
                <w:p w14:paraId="5215454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蒸汽发生器</w:t>
                  </w:r>
                </w:p>
              </w:tc>
              <w:tc>
                <w:tcPr>
                  <w:tcW w:w="277" w:type="pct"/>
                  <w:tcBorders>
                    <w:tl2br w:val="nil"/>
                    <w:tr2bl w:val="nil"/>
                  </w:tcBorders>
                  <w:shd w:val="clear" w:color="auto" w:fill="auto"/>
                  <w:vAlign w:val="center"/>
                </w:tcPr>
                <w:p w14:paraId="150EB90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70DC7F3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p>
              </w:tc>
              <w:tc>
                <w:tcPr>
                  <w:tcW w:w="287" w:type="pct"/>
                  <w:vMerge w:val="restart"/>
                  <w:tcBorders>
                    <w:tl2br w:val="nil"/>
                    <w:tr2bl w:val="nil"/>
                  </w:tcBorders>
                  <w:vAlign w:val="center"/>
                </w:tcPr>
                <w:p w14:paraId="5609DDC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基础减振、厂房隔声</w:t>
                  </w:r>
                </w:p>
              </w:tc>
              <w:tc>
                <w:tcPr>
                  <w:tcW w:w="207" w:type="pct"/>
                  <w:tcBorders>
                    <w:tl2br w:val="nil"/>
                    <w:tr2bl w:val="nil"/>
                  </w:tcBorders>
                  <w:vAlign w:val="center"/>
                </w:tcPr>
                <w:p w14:paraId="538E62D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226" w:type="pct"/>
                  <w:tcBorders>
                    <w:tl2br w:val="nil"/>
                    <w:tr2bl w:val="nil"/>
                  </w:tcBorders>
                  <w:vAlign w:val="center"/>
                </w:tcPr>
                <w:p w14:paraId="18722DB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264" w:type="pct"/>
                  <w:tcBorders>
                    <w:tl2br w:val="nil"/>
                    <w:tr2bl w:val="nil"/>
                  </w:tcBorders>
                  <w:vAlign w:val="center"/>
                </w:tcPr>
                <w:p w14:paraId="6F4FAE7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5EE63E1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E:12、S:30、</w:t>
                  </w:r>
                </w:p>
                <w:p w14:paraId="41E9C1A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W:25、N:16</w:t>
                  </w:r>
                </w:p>
              </w:tc>
              <w:tc>
                <w:tcPr>
                  <w:tcW w:w="626" w:type="pct"/>
                  <w:tcBorders>
                    <w:tl2br w:val="nil"/>
                    <w:tr2bl w:val="nil"/>
                  </w:tcBorders>
                  <w:vAlign w:val="center"/>
                </w:tcPr>
                <w:p w14:paraId="3FB77C8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E:53、S:45、</w:t>
                  </w:r>
                </w:p>
                <w:p w14:paraId="7D307AB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W:47、N:50</w:t>
                  </w:r>
                </w:p>
              </w:tc>
              <w:tc>
                <w:tcPr>
                  <w:tcW w:w="287" w:type="pct"/>
                  <w:tcBorders>
                    <w:tl2br w:val="nil"/>
                    <w:tr2bl w:val="nil"/>
                  </w:tcBorders>
                  <w:vAlign w:val="center"/>
                </w:tcPr>
                <w:p w14:paraId="47DFAE9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6B3AC6D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48EA8E4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43</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35</w:t>
                  </w:r>
                  <w:r>
                    <w:rPr>
                      <w:color w:val="000000" w:themeColor="text1"/>
                      <w:sz w:val="21"/>
                      <w:szCs w:val="21"/>
                      <w14:textFill>
                        <w14:solidFill>
                          <w14:schemeClr w14:val="tx1"/>
                        </w14:solidFill>
                      </w14:textFill>
                    </w:rPr>
                    <w:t>、</w:t>
                  </w:r>
                </w:p>
                <w:p w14:paraId="69611CE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40</w:t>
                  </w:r>
                </w:p>
              </w:tc>
              <w:tc>
                <w:tcPr>
                  <w:tcW w:w="285" w:type="pct"/>
                  <w:tcBorders>
                    <w:tl2br w:val="nil"/>
                    <w:tr2bl w:val="nil"/>
                  </w:tcBorders>
                  <w:vAlign w:val="center"/>
                </w:tcPr>
                <w:p w14:paraId="4D9F6F7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406B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1BE606E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394" w:type="pct"/>
                  <w:tcBorders>
                    <w:tl2br w:val="nil"/>
                    <w:tr2bl w:val="nil"/>
                  </w:tcBorders>
                  <w:shd w:val="clear" w:color="auto" w:fill="auto"/>
                  <w:vAlign w:val="center"/>
                </w:tcPr>
                <w:p w14:paraId="62A3D5B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小型叶菜清洗线</w:t>
                  </w:r>
                </w:p>
              </w:tc>
              <w:tc>
                <w:tcPr>
                  <w:tcW w:w="277" w:type="pct"/>
                  <w:tcBorders>
                    <w:tl2br w:val="nil"/>
                    <w:tr2bl w:val="nil"/>
                  </w:tcBorders>
                  <w:shd w:val="clear" w:color="auto" w:fill="auto"/>
                  <w:vAlign w:val="center"/>
                </w:tcPr>
                <w:p w14:paraId="424A826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78" w:type="pct"/>
                  <w:tcBorders>
                    <w:tl2br w:val="nil"/>
                    <w:tr2bl w:val="nil"/>
                  </w:tcBorders>
                  <w:vAlign w:val="center"/>
                </w:tcPr>
                <w:p w14:paraId="3F78A63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p>
              </w:tc>
              <w:tc>
                <w:tcPr>
                  <w:tcW w:w="287" w:type="pct"/>
                  <w:vMerge w:val="continue"/>
                  <w:tcBorders>
                    <w:tl2br w:val="nil"/>
                    <w:tr2bl w:val="nil"/>
                  </w:tcBorders>
                  <w:vAlign w:val="center"/>
                </w:tcPr>
                <w:p w14:paraId="128D8A2A">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5AFA1C3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c>
                <w:tcPr>
                  <w:tcW w:w="226" w:type="pct"/>
                  <w:tcBorders>
                    <w:tl2br w:val="nil"/>
                    <w:tr2bl w:val="nil"/>
                  </w:tcBorders>
                  <w:vAlign w:val="center"/>
                </w:tcPr>
                <w:p w14:paraId="481A25B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264" w:type="pct"/>
                  <w:tcBorders>
                    <w:tl2br w:val="nil"/>
                    <w:tr2bl w:val="nil"/>
                  </w:tcBorders>
                  <w:vAlign w:val="center"/>
                </w:tcPr>
                <w:p w14:paraId="2E263B0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0BB3F31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E:20、S:30、</w:t>
                  </w:r>
                </w:p>
                <w:p w14:paraId="1182320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W:17、N:16</w:t>
                  </w:r>
                </w:p>
              </w:tc>
              <w:tc>
                <w:tcPr>
                  <w:tcW w:w="626" w:type="pct"/>
                  <w:tcBorders>
                    <w:tl2br w:val="nil"/>
                    <w:tr2bl w:val="nil"/>
                  </w:tcBorders>
                  <w:vAlign w:val="center"/>
                </w:tcPr>
                <w:p w14:paraId="4AC6A4A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E:48、S:45、</w:t>
                  </w:r>
                </w:p>
                <w:p w14:paraId="41A7F15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W:50、N:50</w:t>
                  </w:r>
                </w:p>
              </w:tc>
              <w:tc>
                <w:tcPr>
                  <w:tcW w:w="287" w:type="pct"/>
                  <w:tcBorders>
                    <w:tl2br w:val="nil"/>
                    <w:tr2bl w:val="nil"/>
                  </w:tcBorders>
                  <w:vAlign w:val="center"/>
                </w:tcPr>
                <w:p w14:paraId="62E2597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208E1EC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074003F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38</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35</w:t>
                  </w:r>
                  <w:r>
                    <w:rPr>
                      <w:color w:val="000000" w:themeColor="text1"/>
                      <w:sz w:val="21"/>
                      <w:szCs w:val="21"/>
                      <w14:textFill>
                        <w14:solidFill>
                          <w14:schemeClr w14:val="tx1"/>
                        </w14:solidFill>
                      </w14:textFill>
                    </w:rPr>
                    <w:t>、</w:t>
                  </w:r>
                </w:p>
                <w:p w14:paraId="3DE44F9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40</w:t>
                  </w:r>
                </w:p>
              </w:tc>
              <w:tc>
                <w:tcPr>
                  <w:tcW w:w="285" w:type="pct"/>
                  <w:tcBorders>
                    <w:tl2br w:val="nil"/>
                    <w:tr2bl w:val="nil"/>
                  </w:tcBorders>
                  <w:vAlign w:val="center"/>
                </w:tcPr>
                <w:p w14:paraId="7ACDB37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1D0D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78A4340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394" w:type="pct"/>
                  <w:tcBorders>
                    <w:tl2br w:val="nil"/>
                    <w:tr2bl w:val="nil"/>
                  </w:tcBorders>
                  <w:shd w:val="clear" w:color="auto" w:fill="auto"/>
                  <w:vAlign w:val="center"/>
                </w:tcPr>
                <w:p w14:paraId="4E6D153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绞肉机</w:t>
                  </w:r>
                </w:p>
              </w:tc>
              <w:tc>
                <w:tcPr>
                  <w:tcW w:w="277" w:type="pct"/>
                  <w:tcBorders>
                    <w:tl2br w:val="nil"/>
                    <w:tr2bl w:val="nil"/>
                  </w:tcBorders>
                  <w:shd w:val="clear" w:color="auto" w:fill="auto"/>
                  <w:vAlign w:val="center"/>
                </w:tcPr>
                <w:p w14:paraId="49D4823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78" w:type="pct"/>
                  <w:tcBorders>
                    <w:tl2br w:val="nil"/>
                    <w:tr2bl w:val="nil"/>
                  </w:tcBorders>
                  <w:vAlign w:val="center"/>
                </w:tcPr>
                <w:p w14:paraId="7894C65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287" w:type="pct"/>
                  <w:vMerge w:val="continue"/>
                  <w:tcBorders>
                    <w:tl2br w:val="nil"/>
                    <w:tr2bl w:val="nil"/>
                  </w:tcBorders>
                  <w:vAlign w:val="center"/>
                </w:tcPr>
                <w:p w14:paraId="7E898DDB">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7E1408C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226" w:type="pct"/>
                  <w:tcBorders>
                    <w:tl2br w:val="nil"/>
                    <w:tr2bl w:val="nil"/>
                  </w:tcBorders>
                  <w:vAlign w:val="center"/>
                </w:tcPr>
                <w:p w14:paraId="61A2EFF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264" w:type="pct"/>
                  <w:tcBorders>
                    <w:tl2br w:val="nil"/>
                    <w:tr2bl w:val="nil"/>
                  </w:tcBorders>
                  <w:vAlign w:val="center"/>
                </w:tcPr>
                <w:p w14:paraId="42DC15C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103BEDE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E:8、S:19、</w:t>
                  </w:r>
                </w:p>
                <w:p w14:paraId="6622676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W:29、N:28</w:t>
                  </w:r>
                </w:p>
              </w:tc>
              <w:tc>
                <w:tcPr>
                  <w:tcW w:w="626" w:type="pct"/>
                  <w:tcBorders>
                    <w:tl2br w:val="nil"/>
                    <w:tr2bl w:val="nil"/>
                  </w:tcBorders>
                  <w:vAlign w:val="center"/>
                </w:tcPr>
                <w:p w14:paraId="50E57B8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E:51、S:44、</w:t>
                  </w:r>
                </w:p>
                <w:p w14:paraId="0EC11B8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W:40、N:41</w:t>
                  </w:r>
                </w:p>
              </w:tc>
              <w:tc>
                <w:tcPr>
                  <w:tcW w:w="287" w:type="pct"/>
                  <w:tcBorders>
                    <w:tl2br w:val="nil"/>
                    <w:tr2bl w:val="nil"/>
                  </w:tcBorders>
                  <w:vAlign w:val="center"/>
                </w:tcPr>
                <w:p w14:paraId="214AAF7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493A276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57062C4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41</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34</w:t>
                  </w:r>
                  <w:r>
                    <w:rPr>
                      <w:color w:val="000000" w:themeColor="text1"/>
                      <w:sz w:val="21"/>
                      <w:szCs w:val="21"/>
                      <w14:textFill>
                        <w14:solidFill>
                          <w14:schemeClr w14:val="tx1"/>
                        </w14:solidFill>
                      </w14:textFill>
                    </w:rPr>
                    <w:t>、</w:t>
                  </w:r>
                </w:p>
                <w:p w14:paraId="22DC75E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30</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31</w:t>
                  </w:r>
                </w:p>
              </w:tc>
              <w:tc>
                <w:tcPr>
                  <w:tcW w:w="285" w:type="pct"/>
                  <w:tcBorders>
                    <w:tl2br w:val="nil"/>
                    <w:tr2bl w:val="nil"/>
                  </w:tcBorders>
                  <w:vAlign w:val="center"/>
                </w:tcPr>
                <w:p w14:paraId="7EA50DC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5412E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3CD74D0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94" w:type="pct"/>
                  <w:tcBorders>
                    <w:tl2br w:val="nil"/>
                    <w:tr2bl w:val="nil"/>
                  </w:tcBorders>
                  <w:shd w:val="clear" w:color="auto" w:fill="auto"/>
                  <w:vAlign w:val="center"/>
                </w:tcPr>
                <w:p w14:paraId="2AB3C4E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脱水机</w:t>
                  </w:r>
                </w:p>
              </w:tc>
              <w:tc>
                <w:tcPr>
                  <w:tcW w:w="277" w:type="pct"/>
                  <w:tcBorders>
                    <w:tl2br w:val="nil"/>
                    <w:tr2bl w:val="nil"/>
                  </w:tcBorders>
                  <w:shd w:val="clear" w:color="auto" w:fill="auto"/>
                  <w:vAlign w:val="center"/>
                </w:tcPr>
                <w:p w14:paraId="4D95182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6BCC41E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65</w:t>
                  </w:r>
                </w:p>
              </w:tc>
              <w:tc>
                <w:tcPr>
                  <w:tcW w:w="287" w:type="pct"/>
                  <w:vMerge w:val="continue"/>
                  <w:tcBorders>
                    <w:tl2br w:val="nil"/>
                    <w:tr2bl w:val="nil"/>
                  </w:tcBorders>
                  <w:vAlign w:val="center"/>
                </w:tcPr>
                <w:p w14:paraId="1609C597">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0FEDF70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226" w:type="pct"/>
                  <w:tcBorders>
                    <w:tl2br w:val="nil"/>
                    <w:tr2bl w:val="nil"/>
                  </w:tcBorders>
                  <w:vAlign w:val="center"/>
                </w:tcPr>
                <w:p w14:paraId="372A210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264" w:type="pct"/>
                  <w:tcBorders>
                    <w:tl2br w:val="nil"/>
                    <w:tr2bl w:val="nil"/>
                  </w:tcBorders>
                  <w:vAlign w:val="center"/>
                </w:tcPr>
                <w:p w14:paraId="6641FBC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0C660E1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E:15、S:30、</w:t>
                  </w:r>
                </w:p>
                <w:p w14:paraId="4238472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W:22、N:16</w:t>
                  </w:r>
                </w:p>
              </w:tc>
              <w:tc>
                <w:tcPr>
                  <w:tcW w:w="626" w:type="pct"/>
                  <w:tcBorders>
                    <w:tl2br w:val="nil"/>
                    <w:tr2bl w:val="nil"/>
                  </w:tcBorders>
                  <w:vAlign w:val="center"/>
                </w:tcPr>
                <w:p w14:paraId="040F5E9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E:41、S:35、</w:t>
                  </w:r>
                </w:p>
                <w:p w14:paraId="5CADA1F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W:38、N:41</w:t>
                  </w:r>
                </w:p>
              </w:tc>
              <w:tc>
                <w:tcPr>
                  <w:tcW w:w="287" w:type="pct"/>
                  <w:tcBorders>
                    <w:tl2br w:val="nil"/>
                    <w:tr2bl w:val="nil"/>
                  </w:tcBorders>
                  <w:vAlign w:val="center"/>
                </w:tcPr>
                <w:p w14:paraId="0C2CA23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27588F2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0B79476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31</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25</w:t>
                  </w:r>
                  <w:r>
                    <w:rPr>
                      <w:color w:val="000000" w:themeColor="text1"/>
                      <w:sz w:val="21"/>
                      <w:szCs w:val="21"/>
                      <w14:textFill>
                        <w14:solidFill>
                          <w14:schemeClr w14:val="tx1"/>
                        </w14:solidFill>
                      </w14:textFill>
                    </w:rPr>
                    <w:t>、</w:t>
                  </w:r>
                </w:p>
                <w:p w14:paraId="46B4172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28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31</w:t>
                  </w:r>
                </w:p>
              </w:tc>
              <w:tc>
                <w:tcPr>
                  <w:tcW w:w="285" w:type="pct"/>
                  <w:tcBorders>
                    <w:tl2br w:val="nil"/>
                    <w:tr2bl w:val="nil"/>
                  </w:tcBorders>
                  <w:vAlign w:val="center"/>
                </w:tcPr>
                <w:p w14:paraId="05E8EE8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2A637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74F5E3F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394" w:type="pct"/>
                  <w:tcBorders>
                    <w:tl2br w:val="nil"/>
                    <w:tr2bl w:val="nil"/>
                  </w:tcBorders>
                  <w:shd w:val="clear" w:color="auto" w:fill="auto"/>
                  <w:vAlign w:val="center"/>
                </w:tcPr>
                <w:p w14:paraId="18368A1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搅拌机</w:t>
                  </w:r>
                </w:p>
              </w:tc>
              <w:tc>
                <w:tcPr>
                  <w:tcW w:w="277" w:type="pct"/>
                  <w:tcBorders>
                    <w:tl2br w:val="nil"/>
                    <w:tr2bl w:val="nil"/>
                  </w:tcBorders>
                  <w:shd w:val="clear" w:color="auto" w:fill="auto"/>
                  <w:vAlign w:val="center"/>
                </w:tcPr>
                <w:p w14:paraId="7F5D543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78" w:type="pct"/>
                  <w:tcBorders>
                    <w:tl2br w:val="nil"/>
                    <w:tr2bl w:val="nil"/>
                  </w:tcBorders>
                  <w:vAlign w:val="center"/>
                </w:tcPr>
                <w:p w14:paraId="3A74F8C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p>
              </w:tc>
              <w:tc>
                <w:tcPr>
                  <w:tcW w:w="287" w:type="pct"/>
                  <w:vMerge w:val="continue"/>
                  <w:tcBorders>
                    <w:tl2br w:val="nil"/>
                    <w:tr2bl w:val="nil"/>
                  </w:tcBorders>
                  <w:vAlign w:val="center"/>
                </w:tcPr>
                <w:p w14:paraId="3479D878">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4172411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226" w:type="pct"/>
                  <w:tcBorders>
                    <w:tl2br w:val="nil"/>
                    <w:tr2bl w:val="nil"/>
                  </w:tcBorders>
                  <w:vAlign w:val="center"/>
                </w:tcPr>
                <w:p w14:paraId="5737225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264" w:type="pct"/>
                  <w:tcBorders>
                    <w:tl2br w:val="nil"/>
                    <w:tr2bl w:val="nil"/>
                  </w:tcBorders>
                  <w:vAlign w:val="center"/>
                </w:tcPr>
                <w:p w14:paraId="792D0C1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5034C55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E:14、S:17、</w:t>
                  </w:r>
                </w:p>
                <w:p w14:paraId="13825F8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W:23、N:29</w:t>
                  </w:r>
                </w:p>
              </w:tc>
              <w:tc>
                <w:tcPr>
                  <w:tcW w:w="626" w:type="pct"/>
                  <w:tcBorders>
                    <w:tl2br w:val="nil"/>
                    <w:tr2bl w:val="nil"/>
                  </w:tcBorders>
                  <w:vAlign w:val="center"/>
                </w:tcPr>
                <w:p w14:paraId="0B96E91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E:52、S:50、</w:t>
                  </w:r>
                </w:p>
                <w:p w14:paraId="3778587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W:48、N:45</w:t>
                  </w:r>
                </w:p>
              </w:tc>
              <w:tc>
                <w:tcPr>
                  <w:tcW w:w="287" w:type="pct"/>
                  <w:tcBorders>
                    <w:tl2br w:val="nil"/>
                    <w:tr2bl w:val="nil"/>
                  </w:tcBorders>
                  <w:vAlign w:val="center"/>
                </w:tcPr>
                <w:p w14:paraId="1EE7A46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379AD9F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4AA8845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42</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t>、</w:t>
                  </w:r>
                </w:p>
                <w:p w14:paraId="3DE9CC8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35</w:t>
                  </w:r>
                </w:p>
              </w:tc>
              <w:tc>
                <w:tcPr>
                  <w:tcW w:w="285" w:type="pct"/>
                  <w:tcBorders>
                    <w:tl2br w:val="nil"/>
                    <w:tr2bl w:val="nil"/>
                  </w:tcBorders>
                  <w:vAlign w:val="center"/>
                </w:tcPr>
                <w:p w14:paraId="4D5754F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517E0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457FC33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394" w:type="pct"/>
                  <w:tcBorders>
                    <w:tl2br w:val="nil"/>
                    <w:tr2bl w:val="nil"/>
                  </w:tcBorders>
                  <w:shd w:val="clear" w:color="auto" w:fill="auto"/>
                  <w:vAlign w:val="center"/>
                </w:tcPr>
                <w:p w14:paraId="51713CE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封包机</w:t>
                  </w:r>
                </w:p>
              </w:tc>
              <w:tc>
                <w:tcPr>
                  <w:tcW w:w="277" w:type="pct"/>
                  <w:tcBorders>
                    <w:tl2br w:val="nil"/>
                    <w:tr2bl w:val="nil"/>
                  </w:tcBorders>
                  <w:shd w:val="clear" w:color="auto" w:fill="auto"/>
                  <w:vAlign w:val="center"/>
                </w:tcPr>
                <w:p w14:paraId="0039F93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78" w:type="pct"/>
                  <w:tcBorders>
                    <w:tl2br w:val="nil"/>
                    <w:tr2bl w:val="nil"/>
                  </w:tcBorders>
                  <w:vAlign w:val="center"/>
                </w:tcPr>
                <w:p w14:paraId="4B1A1BD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287" w:type="pct"/>
                  <w:vMerge w:val="continue"/>
                  <w:tcBorders>
                    <w:tl2br w:val="nil"/>
                    <w:tr2bl w:val="nil"/>
                  </w:tcBorders>
                  <w:vAlign w:val="center"/>
                </w:tcPr>
                <w:p w14:paraId="43AA68FC">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7B8A730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226" w:type="pct"/>
                  <w:tcBorders>
                    <w:tl2br w:val="nil"/>
                    <w:tr2bl w:val="nil"/>
                  </w:tcBorders>
                  <w:vAlign w:val="center"/>
                </w:tcPr>
                <w:p w14:paraId="096B811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264" w:type="pct"/>
                  <w:tcBorders>
                    <w:tl2br w:val="nil"/>
                    <w:tr2bl w:val="nil"/>
                  </w:tcBorders>
                  <w:vAlign w:val="center"/>
                </w:tcPr>
                <w:p w14:paraId="7C4486B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648" w:type="pct"/>
                  <w:tcBorders>
                    <w:tl2br w:val="nil"/>
                    <w:tr2bl w:val="nil"/>
                  </w:tcBorders>
                  <w:vAlign w:val="center"/>
                </w:tcPr>
                <w:p w14:paraId="6BF0936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E:13、S:18、</w:t>
                  </w:r>
                </w:p>
                <w:p w14:paraId="075506D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W:24、N:27</w:t>
                  </w:r>
                </w:p>
              </w:tc>
              <w:tc>
                <w:tcPr>
                  <w:tcW w:w="626" w:type="pct"/>
                  <w:tcBorders>
                    <w:tl2br w:val="nil"/>
                    <w:tr2bl w:val="nil"/>
                  </w:tcBorders>
                  <w:vAlign w:val="center"/>
                </w:tcPr>
                <w:p w14:paraId="63F3D67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E:47、S:45、</w:t>
                  </w:r>
                </w:p>
                <w:p w14:paraId="1C76AEA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W:42、N:41</w:t>
                  </w:r>
                </w:p>
              </w:tc>
              <w:tc>
                <w:tcPr>
                  <w:tcW w:w="287" w:type="pct"/>
                  <w:tcBorders>
                    <w:tl2br w:val="nil"/>
                    <w:tr2bl w:val="nil"/>
                  </w:tcBorders>
                  <w:vAlign w:val="center"/>
                </w:tcPr>
                <w:p w14:paraId="101805D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04A46DD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331659B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35</w:t>
                  </w:r>
                  <w:r>
                    <w:rPr>
                      <w:color w:val="000000" w:themeColor="text1"/>
                      <w:sz w:val="21"/>
                      <w:szCs w:val="21"/>
                      <w14:textFill>
                        <w14:solidFill>
                          <w14:schemeClr w14:val="tx1"/>
                        </w14:solidFill>
                      </w14:textFill>
                    </w:rPr>
                    <w:t>、</w:t>
                  </w:r>
                </w:p>
                <w:p w14:paraId="7B7CE3C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32</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31</w:t>
                  </w:r>
                </w:p>
              </w:tc>
              <w:tc>
                <w:tcPr>
                  <w:tcW w:w="285" w:type="pct"/>
                  <w:tcBorders>
                    <w:tl2br w:val="nil"/>
                    <w:tr2bl w:val="nil"/>
                  </w:tcBorders>
                  <w:vAlign w:val="center"/>
                </w:tcPr>
                <w:p w14:paraId="013B0D6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6A089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6AD0282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394" w:type="pct"/>
                  <w:tcBorders>
                    <w:tl2br w:val="nil"/>
                    <w:tr2bl w:val="nil"/>
                  </w:tcBorders>
                  <w:shd w:val="clear" w:color="auto" w:fill="auto"/>
                  <w:vAlign w:val="center"/>
                </w:tcPr>
                <w:p w14:paraId="4EA115D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切菜机</w:t>
                  </w:r>
                </w:p>
              </w:tc>
              <w:tc>
                <w:tcPr>
                  <w:tcW w:w="277" w:type="pct"/>
                  <w:tcBorders>
                    <w:tl2br w:val="nil"/>
                    <w:tr2bl w:val="nil"/>
                  </w:tcBorders>
                  <w:shd w:val="clear" w:color="auto" w:fill="auto"/>
                  <w:vAlign w:val="center"/>
                </w:tcPr>
                <w:p w14:paraId="14CECED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78" w:type="pct"/>
                  <w:tcBorders>
                    <w:tl2br w:val="nil"/>
                    <w:tr2bl w:val="nil"/>
                  </w:tcBorders>
                  <w:vAlign w:val="center"/>
                </w:tcPr>
                <w:p w14:paraId="5CE2C94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287" w:type="pct"/>
                  <w:vMerge w:val="continue"/>
                  <w:tcBorders>
                    <w:tl2br w:val="nil"/>
                    <w:tr2bl w:val="nil"/>
                  </w:tcBorders>
                  <w:vAlign w:val="center"/>
                </w:tcPr>
                <w:p w14:paraId="034F9BB5">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2015211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226" w:type="pct"/>
                  <w:tcBorders>
                    <w:tl2br w:val="nil"/>
                    <w:tr2bl w:val="nil"/>
                  </w:tcBorders>
                  <w:vAlign w:val="center"/>
                </w:tcPr>
                <w:p w14:paraId="65A3E50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264" w:type="pct"/>
                  <w:tcBorders>
                    <w:tl2br w:val="nil"/>
                    <w:tr2bl w:val="nil"/>
                  </w:tcBorders>
                  <w:vAlign w:val="center"/>
                </w:tcPr>
                <w:p w14:paraId="5B96DED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648" w:type="pct"/>
                  <w:tcBorders>
                    <w:tl2br w:val="nil"/>
                    <w:tr2bl w:val="nil"/>
                  </w:tcBorders>
                  <w:vAlign w:val="center"/>
                </w:tcPr>
                <w:p w14:paraId="45EFC40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E:24、S:30、</w:t>
                  </w:r>
                </w:p>
                <w:p w14:paraId="1A3F5BC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W:13、N:16</w:t>
                  </w:r>
                </w:p>
              </w:tc>
              <w:tc>
                <w:tcPr>
                  <w:tcW w:w="626" w:type="pct"/>
                  <w:tcBorders>
                    <w:tl2br w:val="nil"/>
                    <w:tr2bl w:val="nil"/>
                  </w:tcBorders>
                  <w:vAlign w:val="center"/>
                </w:tcPr>
                <w:p w14:paraId="0BB03C4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E:42、S:40、</w:t>
                  </w:r>
                </w:p>
                <w:p w14:paraId="030553F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W:48、N:46</w:t>
                  </w:r>
                </w:p>
              </w:tc>
              <w:tc>
                <w:tcPr>
                  <w:tcW w:w="287" w:type="pct"/>
                  <w:tcBorders>
                    <w:tl2br w:val="nil"/>
                    <w:tr2bl w:val="nil"/>
                  </w:tcBorders>
                  <w:vAlign w:val="center"/>
                </w:tcPr>
                <w:p w14:paraId="7E734BA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282B0BF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16778EC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32</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30</w:t>
                  </w:r>
                  <w:r>
                    <w:rPr>
                      <w:color w:val="000000" w:themeColor="text1"/>
                      <w:sz w:val="21"/>
                      <w:szCs w:val="21"/>
                      <w14:textFill>
                        <w14:solidFill>
                          <w14:schemeClr w14:val="tx1"/>
                        </w14:solidFill>
                      </w14:textFill>
                    </w:rPr>
                    <w:t>、</w:t>
                  </w:r>
                </w:p>
                <w:p w14:paraId="03AC2B2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36</w:t>
                  </w:r>
                </w:p>
              </w:tc>
              <w:tc>
                <w:tcPr>
                  <w:tcW w:w="285" w:type="pct"/>
                  <w:tcBorders>
                    <w:tl2br w:val="nil"/>
                    <w:tr2bl w:val="nil"/>
                  </w:tcBorders>
                  <w:vAlign w:val="center"/>
                </w:tcPr>
                <w:p w14:paraId="7F01258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06481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676DB38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394" w:type="pct"/>
                  <w:tcBorders>
                    <w:tl2br w:val="nil"/>
                    <w:tr2bl w:val="nil"/>
                  </w:tcBorders>
                  <w:shd w:val="clear" w:color="auto" w:fill="auto"/>
                  <w:vAlign w:val="center"/>
                </w:tcPr>
                <w:p w14:paraId="768C9F6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不锈钢焯菜槽</w:t>
                  </w:r>
                </w:p>
              </w:tc>
              <w:tc>
                <w:tcPr>
                  <w:tcW w:w="277" w:type="pct"/>
                  <w:tcBorders>
                    <w:tl2br w:val="nil"/>
                    <w:tr2bl w:val="nil"/>
                  </w:tcBorders>
                  <w:shd w:val="clear" w:color="auto" w:fill="auto"/>
                  <w:vAlign w:val="center"/>
                </w:tcPr>
                <w:p w14:paraId="0BCCF59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50F63F0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287" w:type="pct"/>
                  <w:vMerge w:val="continue"/>
                  <w:tcBorders>
                    <w:tl2br w:val="nil"/>
                    <w:tr2bl w:val="nil"/>
                  </w:tcBorders>
                  <w:vAlign w:val="center"/>
                </w:tcPr>
                <w:p w14:paraId="11DBD618">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39B10A3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226" w:type="pct"/>
                  <w:tcBorders>
                    <w:tl2br w:val="nil"/>
                    <w:tr2bl w:val="nil"/>
                  </w:tcBorders>
                  <w:vAlign w:val="center"/>
                </w:tcPr>
                <w:p w14:paraId="57E0F1D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264" w:type="pct"/>
                  <w:tcBorders>
                    <w:tl2br w:val="nil"/>
                    <w:tr2bl w:val="nil"/>
                  </w:tcBorders>
                  <w:vAlign w:val="center"/>
                </w:tcPr>
                <w:p w14:paraId="6BAA782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w:t>
                  </w:r>
                </w:p>
              </w:tc>
              <w:tc>
                <w:tcPr>
                  <w:tcW w:w="648" w:type="pct"/>
                  <w:tcBorders>
                    <w:tl2br w:val="nil"/>
                    <w:tr2bl w:val="nil"/>
                  </w:tcBorders>
                  <w:vAlign w:val="center"/>
                </w:tcPr>
                <w:p w14:paraId="05CF7E9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E:24、S:30、</w:t>
                  </w:r>
                </w:p>
                <w:p w14:paraId="0437BF8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W13、N:16</w:t>
                  </w:r>
                </w:p>
              </w:tc>
              <w:tc>
                <w:tcPr>
                  <w:tcW w:w="626" w:type="pct"/>
                  <w:tcBorders>
                    <w:tl2br w:val="nil"/>
                    <w:tr2bl w:val="nil"/>
                  </w:tcBorders>
                  <w:vAlign w:val="center"/>
                </w:tcPr>
                <w:p w14:paraId="69BB1D4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E:42、S:40、</w:t>
                  </w:r>
                </w:p>
                <w:p w14:paraId="4A5FA72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W:48、N:46</w:t>
                  </w:r>
                </w:p>
              </w:tc>
              <w:tc>
                <w:tcPr>
                  <w:tcW w:w="287" w:type="pct"/>
                  <w:tcBorders>
                    <w:tl2br w:val="nil"/>
                    <w:tr2bl w:val="nil"/>
                  </w:tcBorders>
                  <w:vAlign w:val="center"/>
                </w:tcPr>
                <w:p w14:paraId="529B718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305E5DD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2F43FF1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32</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30</w:t>
                  </w:r>
                  <w:r>
                    <w:rPr>
                      <w:color w:val="000000" w:themeColor="text1"/>
                      <w:sz w:val="21"/>
                      <w:szCs w:val="21"/>
                      <w14:textFill>
                        <w14:solidFill>
                          <w14:schemeClr w14:val="tx1"/>
                        </w14:solidFill>
                      </w14:textFill>
                    </w:rPr>
                    <w:t>、</w:t>
                  </w:r>
                </w:p>
                <w:p w14:paraId="5E9DEF5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36</w:t>
                  </w:r>
                </w:p>
              </w:tc>
              <w:tc>
                <w:tcPr>
                  <w:tcW w:w="285" w:type="pct"/>
                  <w:tcBorders>
                    <w:tl2br w:val="nil"/>
                    <w:tr2bl w:val="nil"/>
                  </w:tcBorders>
                  <w:vAlign w:val="center"/>
                </w:tcPr>
                <w:p w14:paraId="6BF3E29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6AC76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16F0980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394" w:type="pct"/>
                  <w:tcBorders>
                    <w:tl2br w:val="nil"/>
                    <w:tr2bl w:val="nil"/>
                  </w:tcBorders>
                  <w:shd w:val="clear" w:color="auto" w:fill="auto"/>
                  <w:vAlign w:val="center"/>
                </w:tcPr>
                <w:p w14:paraId="2706432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纯水制备设备</w:t>
                  </w:r>
                </w:p>
              </w:tc>
              <w:tc>
                <w:tcPr>
                  <w:tcW w:w="277" w:type="pct"/>
                  <w:tcBorders>
                    <w:tl2br w:val="nil"/>
                    <w:tr2bl w:val="nil"/>
                  </w:tcBorders>
                  <w:shd w:val="clear" w:color="auto" w:fill="auto"/>
                  <w:vAlign w:val="center"/>
                </w:tcPr>
                <w:p w14:paraId="364A0E0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5207D4A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p>
              </w:tc>
              <w:tc>
                <w:tcPr>
                  <w:tcW w:w="287" w:type="pct"/>
                  <w:vMerge w:val="continue"/>
                  <w:tcBorders>
                    <w:tl2br w:val="nil"/>
                    <w:tr2bl w:val="nil"/>
                  </w:tcBorders>
                  <w:vAlign w:val="center"/>
                </w:tcPr>
                <w:p w14:paraId="11756BBA">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60B2715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226" w:type="pct"/>
                  <w:tcBorders>
                    <w:tl2br w:val="nil"/>
                    <w:tr2bl w:val="nil"/>
                  </w:tcBorders>
                  <w:vAlign w:val="center"/>
                </w:tcPr>
                <w:p w14:paraId="38B4293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264" w:type="pct"/>
                  <w:tcBorders>
                    <w:tl2br w:val="nil"/>
                    <w:tr2bl w:val="nil"/>
                  </w:tcBorders>
                  <w:vAlign w:val="center"/>
                </w:tcPr>
                <w:p w14:paraId="729D3B4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14F8040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E:17、S:27、</w:t>
                  </w:r>
                </w:p>
                <w:p w14:paraId="09BEAC4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W:21、N:20</w:t>
                  </w:r>
                </w:p>
              </w:tc>
              <w:tc>
                <w:tcPr>
                  <w:tcW w:w="626" w:type="pct"/>
                  <w:tcBorders>
                    <w:tl2br w:val="nil"/>
                    <w:tr2bl w:val="nil"/>
                  </w:tcBorders>
                  <w:vAlign w:val="center"/>
                </w:tcPr>
                <w:p w14:paraId="72E2DFD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E:50、S:46、</w:t>
                  </w:r>
                </w:p>
                <w:p w14:paraId="04B193E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W:48、N:49</w:t>
                  </w:r>
                </w:p>
              </w:tc>
              <w:tc>
                <w:tcPr>
                  <w:tcW w:w="287" w:type="pct"/>
                  <w:tcBorders>
                    <w:tl2br w:val="nil"/>
                    <w:tr2bl w:val="nil"/>
                  </w:tcBorders>
                  <w:vAlign w:val="center"/>
                </w:tcPr>
                <w:p w14:paraId="2B84785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140A410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686DA10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36</w:t>
                  </w:r>
                  <w:r>
                    <w:rPr>
                      <w:color w:val="000000" w:themeColor="text1"/>
                      <w:sz w:val="21"/>
                      <w:szCs w:val="21"/>
                      <w14:textFill>
                        <w14:solidFill>
                          <w14:schemeClr w14:val="tx1"/>
                        </w14:solidFill>
                      </w14:textFill>
                    </w:rPr>
                    <w:t>、</w:t>
                  </w:r>
                </w:p>
                <w:p w14:paraId="50C8650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39</w:t>
                  </w:r>
                </w:p>
              </w:tc>
              <w:tc>
                <w:tcPr>
                  <w:tcW w:w="285" w:type="pct"/>
                  <w:tcBorders>
                    <w:tl2br w:val="nil"/>
                    <w:tr2bl w:val="nil"/>
                  </w:tcBorders>
                  <w:vAlign w:val="center"/>
                </w:tcPr>
                <w:p w14:paraId="32D9DB8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1F132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7FA625D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394" w:type="pct"/>
                  <w:tcBorders>
                    <w:tl2br w:val="nil"/>
                    <w:tr2bl w:val="nil"/>
                  </w:tcBorders>
                  <w:shd w:val="clear" w:color="auto" w:fill="auto"/>
                  <w:vAlign w:val="center"/>
                </w:tcPr>
                <w:p w14:paraId="24060DC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炒锅</w:t>
                  </w:r>
                </w:p>
              </w:tc>
              <w:tc>
                <w:tcPr>
                  <w:tcW w:w="277" w:type="pct"/>
                  <w:tcBorders>
                    <w:tl2br w:val="nil"/>
                    <w:tr2bl w:val="nil"/>
                  </w:tcBorders>
                  <w:shd w:val="clear" w:color="auto" w:fill="auto"/>
                  <w:vAlign w:val="center"/>
                </w:tcPr>
                <w:p w14:paraId="174A99E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78" w:type="pct"/>
                  <w:tcBorders>
                    <w:tl2br w:val="nil"/>
                    <w:tr2bl w:val="nil"/>
                  </w:tcBorders>
                  <w:vAlign w:val="center"/>
                </w:tcPr>
                <w:p w14:paraId="23FFF9C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p>
              </w:tc>
              <w:tc>
                <w:tcPr>
                  <w:tcW w:w="287" w:type="pct"/>
                  <w:vMerge w:val="continue"/>
                  <w:tcBorders>
                    <w:tl2br w:val="nil"/>
                    <w:tr2bl w:val="nil"/>
                  </w:tcBorders>
                  <w:vAlign w:val="center"/>
                </w:tcPr>
                <w:p w14:paraId="2E1D4718">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343D1F5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226" w:type="pct"/>
                  <w:tcBorders>
                    <w:tl2br w:val="nil"/>
                    <w:tr2bl w:val="nil"/>
                  </w:tcBorders>
                  <w:vAlign w:val="center"/>
                </w:tcPr>
                <w:p w14:paraId="27E8FCB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264" w:type="pct"/>
                  <w:tcBorders>
                    <w:tl2br w:val="nil"/>
                    <w:tr2bl w:val="nil"/>
                  </w:tcBorders>
                  <w:vAlign w:val="center"/>
                </w:tcPr>
                <w:p w14:paraId="3034C33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w:t>
                  </w:r>
                </w:p>
              </w:tc>
              <w:tc>
                <w:tcPr>
                  <w:tcW w:w="648" w:type="pct"/>
                  <w:tcBorders>
                    <w:tl2br w:val="nil"/>
                    <w:tr2bl w:val="nil"/>
                  </w:tcBorders>
                  <w:vAlign w:val="center"/>
                </w:tcPr>
                <w:p w14:paraId="7331E5A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E:30、S:35、</w:t>
                  </w:r>
                </w:p>
                <w:p w14:paraId="5C450FB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W:7、N:12</w:t>
                  </w:r>
                </w:p>
              </w:tc>
              <w:tc>
                <w:tcPr>
                  <w:tcW w:w="626" w:type="pct"/>
                  <w:tcBorders>
                    <w:tl2br w:val="nil"/>
                    <w:tr2bl w:val="nil"/>
                  </w:tcBorders>
                  <w:vAlign w:val="center"/>
                </w:tcPr>
                <w:p w14:paraId="6079A318">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E:45、S:44、</w:t>
                  </w:r>
                </w:p>
                <w:p w14:paraId="3572BCF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W:58、N:53</w:t>
                  </w:r>
                </w:p>
              </w:tc>
              <w:tc>
                <w:tcPr>
                  <w:tcW w:w="287" w:type="pct"/>
                  <w:tcBorders>
                    <w:tl2br w:val="nil"/>
                    <w:tr2bl w:val="nil"/>
                  </w:tcBorders>
                  <w:vAlign w:val="center"/>
                </w:tcPr>
                <w:p w14:paraId="0DC8232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51F862D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40F467E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35</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34</w:t>
                  </w:r>
                  <w:r>
                    <w:rPr>
                      <w:color w:val="000000" w:themeColor="text1"/>
                      <w:sz w:val="21"/>
                      <w:szCs w:val="21"/>
                      <w14:textFill>
                        <w14:solidFill>
                          <w14:schemeClr w14:val="tx1"/>
                        </w14:solidFill>
                      </w14:textFill>
                    </w:rPr>
                    <w:t>、</w:t>
                  </w:r>
                </w:p>
                <w:p w14:paraId="7B432A0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48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43</w:t>
                  </w:r>
                </w:p>
              </w:tc>
              <w:tc>
                <w:tcPr>
                  <w:tcW w:w="285" w:type="pct"/>
                  <w:tcBorders>
                    <w:tl2br w:val="nil"/>
                    <w:tr2bl w:val="nil"/>
                  </w:tcBorders>
                  <w:vAlign w:val="center"/>
                </w:tcPr>
                <w:p w14:paraId="5AAFA32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67151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3E0A0A1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394" w:type="pct"/>
                  <w:tcBorders>
                    <w:tl2br w:val="nil"/>
                    <w:tr2bl w:val="nil"/>
                  </w:tcBorders>
                  <w:shd w:val="clear" w:color="auto" w:fill="auto"/>
                  <w:vAlign w:val="center"/>
                </w:tcPr>
                <w:p w14:paraId="2231F6E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电蒸箱</w:t>
                  </w:r>
                </w:p>
              </w:tc>
              <w:tc>
                <w:tcPr>
                  <w:tcW w:w="277" w:type="pct"/>
                  <w:tcBorders>
                    <w:tl2br w:val="nil"/>
                    <w:tr2bl w:val="nil"/>
                  </w:tcBorders>
                  <w:vAlign w:val="center"/>
                </w:tcPr>
                <w:p w14:paraId="71D936D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3519777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w:t>
                  </w:r>
                </w:p>
              </w:tc>
              <w:tc>
                <w:tcPr>
                  <w:tcW w:w="287" w:type="pct"/>
                  <w:vMerge w:val="continue"/>
                  <w:tcBorders>
                    <w:tl2br w:val="nil"/>
                    <w:tr2bl w:val="nil"/>
                  </w:tcBorders>
                  <w:vAlign w:val="center"/>
                </w:tcPr>
                <w:p w14:paraId="2D084A2D">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32125A3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226" w:type="pct"/>
                  <w:tcBorders>
                    <w:tl2br w:val="nil"/>
                    <w:tr2bl w:val="nil"/>
                  </w:tcBorders>
                  <w:vAlign w:val="center"/>
                </w:tcPr>
                <w:p w14:paraId="051AEC5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264" w:type="pct"/>
                  <w:tcBorders>
                    <w:tl2br w:val="nil"/>
                    <w:tr2bl w:val="nil"/>
                  </w:tcBorders>
                  <w:vAlign w:val="center"/>
                </w:tcPr>
                <w:p w14:paraId="74E94D3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648" w:type="pct"/>
                  <w:tcBorders>
                    <w:tl2br w:val="nil"/>
                    <w:tr2bl w:val="nil"/>
                  </w:tcBorders>
                  <w:vAlign w:val="center"/>
                </w:tcPr>
                <w:p w14:paraId="354557F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E:23、S:19、</w:t>
                  </w:r>
                </w:p>
                <w:p w14:paraId="404C256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W:14、N:27</w:t>
                  </w:r>
                </w:p>
              </w:tc>
              <w:tc>
                <w:tcPr>
                  <w:tcW w:w="626" w:type="pct"/>
                  <w:tcBorders>
                    <w:tl2br w:val="nil"/>
                    <w:tr2bl w:val="nil"/>
                  </w:tcBorders>
                  <w:vAlign w:val="center"/>
                </w:tcPr>
                <w:p w14:paraId="44439A4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E:52、S:54、</w:t>
                  </w:r>
                </w:p>
                <w:p w14:paraId="7081DED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W:57、N:51</w:t>
                  </w:r>
                </w:p>
              </w:tc>
              <w:tc>
                <w:tcPr>
                  <w:tcW w:w="287" w:type="pct"/>
                  <w:tcBorders>
                    <w:tl2br w:val="nil"/>
                    <w:tr2bl w:val="nil"/>
                  </w:tcBorders>
                  <w:vAlign w:val="center"/>
                </w:tcPr>
                <w:p w14:paraId="414FE56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311FA87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268E71C3">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42</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44</w:t>
                  </w:r>
                  <w:r>
                    <w:rPr>
                      <w:color w:val="000000" w:themeColor="text1"/>
                      <w:sz w:val="21"/>
                      <w:szCs w:val="21"/>
                      <w14:textFill>
                        <w14:solidFill>
                          <w14:schemeClr w14:val="tx1"/>
                        </w14:solidFill>
                      </w14:textFill>
                    </w:rPr>
                    <w:t>、</w:t>
                  </w:r>
                </w:p>
                <w:p w14:paraId="41AF16D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47</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41</w:t>
                  </w:r>
                </w:p>
              </w:tc>
              <w:tc>
                <w:tcPr>
                  <w:tcW w:w="285" w:type="pct"/>
                  <w:tcBorders>
                    <w:tl2br w:val="nil"/>
                    <w:tr2bl w:val="nil"/>
                  </w:tcBorders>
                  <w:vAlign w:val="center"/>
                </w:tcPr>
                <w:p w14:paraId="750BF72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07699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2E95D22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394" w:type="pct"/>
                  <w:tcBorders>
                    <w:tl2br w:val="nil"/>
                    <w:tr2bl w:val="nil"/>
                  </w:tcBorders>
                  <w:shd w:val="clear" w:color="auto" w:fill="auto"/>
                  <w:vAlign w:val="center"/>
                </w:tcPr>
                <w:p w14:paraId="44ABC81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分米机</w:t>
                  </w:r>
                </w:p>
              </w:tc>
              <w:tc>
                <w:tcPr>
                  <w:tcW w:w="277" w:type="pct"/>
                  <w:tcBorders>
                    <w:tl2br w:val="nil"/>
                    <w:tr2bl w:val="nil"/>
                  </w:tcBorders>
                  <w:vAlign w:val="center"/>
                </w:tcPr>
                <w:p w14:paraId="0D27A40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44CC3E3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p>
              </w:tc>
              <w:tc>
                <w:tcPr>
                  <w:tcW w:w="287" w:type="pct"/>
                  <w:vMerge w:val="continue"/>
                  <w:tcBorders>
                    <w:tl2br w:val="nil"/>
                    <w:tr2bl w:val="nil"/>
                  </w:tcBorders>
                  <w:vAlign w:val="center"/>
                </w:tcPr>
                <w:p w14:paraId="6A7B9B1F">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22FAD79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226" w:type="pct"/>
                  <w:tcBorders>
                    <w:tl2br w:val="nil"/>
                    <w:tr2bl w:val="nil"/>
                  </w:tcBorders>
                  <w:vAlign w:val="center"/>
                </w:tcPr>
                <w:p w14:paraId="0C2E9CB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264" w:type="pct"/>
                  <w:tcBorders>
                    <w:tl2br w:val="nil"/>
                    <w:tr2bl w:val="nil"/>
                  </w:tcBorders>
                  <w:vAlign w:val="center"/>
                </w:tcPr>
                <w:p w14:paraId="733E196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648" w:type="pct"/>
                  <w:tcBorders>
                    <w:tl2br w:val="nil"/>
                    <w:tr2bl w:val="nil"/>
                  </w:tcBorders>
                  <w:vAlign w:val="center"/>
                </w:tcPr>
                <w:p w14:paraId="30615BD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E:12、S:14、</w:t>
                  </w:r>
                </w:p>
                <w:p w14:paraId="220DDFD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W:24、N:32</w:t>
                  </w:r>
                </w:p>
              </w:tc>
              <w:tc>
                <w:tcPr>
                  <w:tcW w:w="626" w:type="pct"/>
                  <w:tcBorders>
                    <w:tl2br w:val="nil"/>
                    <w:tr2bl w:val="nil"/>
                  </w:tcBorders>
                  <w:vAlign w:val="center"/>
                </w:tcPr>
                <w:p w14:paraId="0951EC11">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E:53、S:52、</w:t>
                  </w:r>
                </w:p>
                <w:p w14:paraId="26DA064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W:47、N:44</w:t>
                  </w:r>
                </w:p>
              </w:tc>
              <w:tc>
                <w:tcPr>
                  <w:tcW w:w="287" w:type="pct"/>
                  <w:tcBorders>
                    <w:tl2br w:val="nil"/>
                    <w:tr2bl w:val="nil"/>
                  </w:tcBorders>
                  <w:vAlign w:val="center"/>
                </w:tcPr>
                <w:p w14:paraId="153034F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756D2A7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78031AA7">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43</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42</w:t>
                  </w:r>
                  <w:r>
                    <w:rPr>
                      <w:color w:val="000000" w:themeColor="text1"/>
                      <w:sz w:val="21"/>
                      <w:szCs w:val="21"/>
                      <w14:textFill>
                        <w14:solidFill>
                          <w14:schemeClr w14:val="tx1"/>
                        </w14:solidFill>
                      </w14:textFill>
                    </w:rPr>
                    <w:t>、</w:t>
                  </w:r>
                </w:p>
                <w:p w14:paraId="2A22699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34</w:t>
                  </w:r>
                </w:p>
              </w:tc>
              <w:tc>
                <w:tcPr>
                  <w:tcW w:w="285" w:type="pct"/>
                  <w:tcBorders>
                    <w:tl2br w:val="nil"/>
                    <w:tr2bl w:val="nil"/>
                  </w:tcBorders>
                  <w:vAlign w:val="center"/>
                </w:tcPr>
                <w:p w14:paraId="05396F25">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670DB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788B507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394" w:type="pct"/>
                  <w:tcBorders>
                    <w:tl2br w:val="nil"/>
                    <w:tr2bl w:val="nil"/>
                  </w:tcBorders>
                  <w:shd w:val="clear" w:color="auto" w:fill="auto"/>
                  <w:vAlign w:val="center"/>
                </w:tcPr>
                <w:p w14:paraId="139B66B0">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快速脚踏封口机</w:t>
                  </w:r>
                </w:p>
              </w:tc>
              <w:tc>
                <w:tcPr>
                  <w:tcW w:w="277" w:type="pct"/>
                  <w:tcBorders>
                    <w:tl2br w:val="nil"/>
                    <w:tr2bl w:val="nil"/>
                  </w:tcBorders>
                  <w:vAlign w:val="center"/>
                </w:tcPr>
                <w:p w14:paraId="4BBF25E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78" w:type="pct"/>
                  <w:tcBorders>
                    <w:tl2br w:val="nil"/>
                    <w:tr2bl w:val="nil"/>
                  </w:tcBorders>
                  <w:vAlign w:val="center"/>
                </w:tcPr>
                <w:p w14:paraId="7F1E296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287" w:type="pct"/>
                  <w:vMerge w:val="continue"/>
                  <w:tcBorders>
                    <w:tl2br w:val="nil"/>
                    <w:tr2bl w:val="nil"/>
                  </w:tcBorders>
                  <w:vAlign w:val="center"/>
                </w:tcPr>
                <w:p w14:paraId="4327DC8A">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6B447EE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226" w:type="pct"/>
                  <w:tcBorders>
                    <w:tl2br w:val="nil"/>
                    <w:tr2bl w:val="nil"/>
                  </w:tcBorders>
                  <w:vAlign w:val="center"/>
                </w:tcPr>
                <w:p w14:paraId="3DC5963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264" w:type="pct"/>
                  <w:tcBorders>
                    <w:tl2br w:val="nil"/>
                    <w:tr2bl w:val="nil"/>
                  </w:tcBorders>
                  <w:vAlign w:val="center"/>
                </w:tcPr>
                <w:p w14:paraId="6021D46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w:t>
                  </w:r>
                </w:p>
              </w:tc>
              <w:tc>
                <w:tcPr>
                  <w:tcW w:w="648" w:type="pct"/>
                  <w:tcBorders>
                    <w:tl2br w:val="nil"/>
                    <w:tr2bl w:val="nil"/>
                  </w:tcBorders>
                  <w:vAlign w:val="center"/>
                </w:tcPr>
                <w:p w14:paraId="0CDEC51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E:13、S:14、</w:t>
                  </w:r>
                </w:p>
                <w:p w14:paraId="593AFFD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W:23、N:32</w:t>
                  </w:r>
                </w:p>
              </w:tc>
              <w:tc>
                <w:tcPr>
                  <w:tcW w:w="626" w:type="pct"/>
                  <w:tcBorders>
                    <w:tl2br w:val="nil"/>
                    <w:tr2bl w:val="nil"/>
                  </w:tcBorders>
                  <w:vAlign w:val="center"/>
                </w:tcPr>
                <w:p w14:paraId="477656D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E:47、S:47、</w:t>
                  </w:r>
                </w:p>
                <w:p w14:paraId="21EF421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W:43、N:40</w:t>
                  </w:r>
                </w:p>
              </w:tc>
              <w:tc>
                <w:tcPr>
                  <w:tcW w:w="287" w:type="pct"/>
                  <w:tcBorders>
                    <w:tl2br w:val="nil"/>
                    <w:tr2bl w:val="nil"/>
                  </w:tcBorders>
                  <w:vAlign w:val="center"/>
                </w:tcPr>
                <w:p w14:paraId="72C8269A">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037DDA8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0E346AB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t>、</w:t>
                  </w:r>
                </w:p>
                <w:p w14:paraId="0BEFD9B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33</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30</w:t>
                  </w:r>
                </w:p>
              </w:tc>
              <w:tc>
                <w:tcPr>
                  <w:tcW w:w="285" w:type="pct"/>
                  <w:tcBorders>
                    <w:tl2br w:val="nil"/>
                    <w:tr2bl w:val="nil"/>
                  </w:tcBorders>
                  <w:vAlign w:val="center"/>
                </w:tcPr>
                <w:p w14:paraId="0B80CB8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760C9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69" w:type="pct"/>
                  <w:tcBorders>
                    <w:tl2br w:val="nil"/>
                    <w:tr2bl w:val="nil"/>
                  </w:tcBorders>
                  <w:vAlign w:val="center"/>
                </w:tcPr>
                <w:p w14:paraId="14B06919">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394" w:type="pct"/>
                  <w:tcBorders>
                    <w:tl2br w:val="nil"/>
                    <w:tr2bl w:val="nil"/>
                  </w:tcBorders>
                  <w:vAlign w:val="center"/>
                </w:tcPr>
                <w:p w14:paraId="4EBCB11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压缩机</w:t>
                  </w:r>
                </w:p>
              </w:tc>
              <w:tc>
                <w:tcPr>
                  <w:tcW w:w="277" w:type="pct"/>
                  <w:tcBorders>
                    <w:tl2br w:val="nil"/>
                    <w:tr2bl w:val="nil"/>
                  </w:tcBorders>
                  <w:vAlign w:val="center"/>
                </w:tcPr>
                <w:p w14:paraId="37E34E8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278" w:type="pct"/>
                  <w:tcBorders>
                    <w:tl2br w:val="nil"/>
                    <w:tr2bl w:val="nil"/>
                  </w:tcBorders>
                  <w:vAlign w:val="center"/>
                </w:tcPr>
                <w:p w14:paraId="26482BD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w:t>
                  </w:r>
                </w:p>
              </w:tc>
              <w:tc>
                <w:tcPr>
                  <w:tcW w:w="287" w:type="pct"/>
                  <w:vMerge w:val="continue"/>
                  <w:tcBorders>
                    <w:tl2br w:val="nil"/>
                    <w:tr2bl w:val="nil"/>
                  </w:tcBorders>
                  <w:vAlign w:val="center"/>
                </w:tcPr>
                <w:p w14:paraId="39C7BE8A">
                  <w:pPr>
                    <w:spacing w:line="240" w:lineRule="auto"/>
                    <w:ind w:firstLine="0" w:firstLineChars="0"/>
                    <w:jc w:val="center"/>
                    <w:rPr>
                      <w:color w:val="000000" w:themeColor="text1"/>
                      <w:sz w:val="21"/>
                      <w:szCs w:val="21"/>
                      <w14:textFill>
                        <w14:solidFill>
                          <w14:schemeClr w14:val="tx1"/>
                        </w14:solidFill>
                      </w14:textFill>
                    </w:rPr>
                  </w:pPr>
                </w:p>
              </w:tc>
              <w:tc>
                <w:tcPr>
                  <w:tcW w:w="207" w:type="pct"/>
                  <w:tcBorders>
                    <w:tl2br w:val="nil"/>
                    <w:tr2bl w:val="nil"/>
                  </w:tcBorders>
                  <w:vAlign w:val="center"/>
                </w:tcPr>
                <w:p w14:paraId="3EE5744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226" w:type="pct"/>
                  <w:tcBorders>
                    <w:tl2br w:val="nil"/>
                    <w:tr2bl w:val="nil"/>
                  </w:tcBorders>
                  <w:vAlign w:val="center"/>
                </w:tcPr>
                <w:p w14:paraId="03AA677E">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w:t>
                  </w:r>
                </w:p>
              </w:tc>
              <w:tc>
                <w:tcPr>
                  <w:tcW w:w="264" w:type="pct"/>
                  <w:tcBorders>
                    <w:tl2br w:val="nil"/>
                    <w:tr2bl w:val="nil"/>
                  </w:tcBorders>
                  <w:vAlign w:val="center"/>
                </w:tcPr>
                <w:p w14:paraId="3B50F9E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648" w:type="pct"/>
                  <w:tcBorders>
                    <w:tl2br w:val="nil"/>
                    <w:tr2bl w:val="nil"/>
                  </w:tcBorders>
                  <w:vAlign w:val="center"/>
                </w:tcPr>
                <w:p w14:paraId="2C8F13EB">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E:28、S:13、</w:t>
                  </w:r>
                </w:p>
                <w:p w14:paraId="07FBD66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W:13、N:38</w:t>
                  </w:r>
                </w:p>
              </w:tc>
              <w:tc>
                <w:tcPr>
                  <w:tcW w:w="626" w:type="pct"/>
                  <w:tcBorders>
                    <w:tl2br w:val="nil"/>
                    <w:tr2bl w:val="nil"/>
                  </w:tcBorders>
                  <w:vAlign w:val="center"/>
                </w:tcPr>
                <w:p w14:paraId="635D9B9D">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E:51、S:57、</w:t>
                  </w:r>
                </w:p>
                <w:p w14:paraId="1927C09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W:58、N:48</w:t>
                  </w:r>
                </w:p>
              </w:tc>
              <w:tc>
                <w:tcPr>
                  <w:tcW w:w="287" w:type="pct"/>
                  <w:tcBorders>
                    <w:tl2br w:val="nil"/>
                    <w:tr2bl w:val="nil"/>
                  </w:tcBorders>
                  <w:vAlign w:val="center"/>
                </w:tcPr>
                <w:p w14:paraId="2513F936">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360" w:type="pct"/>
                  <w:tcBorders>
                    <w:tl2br w:val="nil"/>
                    <w:tr2bl w:val="nil"/>
                  </w:tcBorders>
                  <w:vAlign w:val="center"/>
                </w:tcPr>
                <w:p w14:paraId="0A4C415F">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587" w:type="pct"/>
                  <w:tcBorders>
                    <w:tl2br w:val="nil"/>
                    <w:tr2bl w:val="nil"/>
                  </w:tcBorders>
                  <w:vAlign w:val="center"/>
                </w:tcPr>
                <w:p w14:paraId="2A74883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41</w:t>
                  </w:r>
                  <w:r>
                    <w:rPr>
                      <w:color w:val="000000" w:themeColor="text1"/>
                      <w:sz w:val="21"/>
                      <w:szCs w:val="21"/>
                      <w14:textFill>
                        <w14:solidFill>
                          <w14:schemeClr w14:val="tx1"/>
                        </w14:solidFill>
                      </w14:textFill>
                    </w:rPr>
                    <w:t>、S:</w:t>
                  </w:r>
                  <w:r>
                    <w:rPr>
                      <w:rFonts w:hint="eastAsia"/>
                      <w:color w:val="000000" w:themeColor="text1"/>
                      <w:sz w:val="21"/>
                      <w:szCs w:val="21"/>
                      <w14:textFill>
                        <w14:solidFill>
                          <w14:schemeClr w14:val="tx1"/>
                        </w14:solidFill>
                      </w14:textFill>
                    </w:rPr>
                    <w:t>47</w:t>
                  </w:r>
                  <w:r>
                    <w:rPr>
                      <w:color w:val="000000" w:themeColor="text1"/>
                      <w:sz w:val="21"/>
                      <w:szCs w:val="21"/>
                      <w14:textFill>
                        <w14:solidFill>
                          <w14:schemeClr w14:val="tx1"/>
                        </w14:solidFill>
                      </w14:textFill>
                    </w:rPr>
                    <w:t>、</w:t>
                  </w:r>
                </w:p>
                <w:p w14:paraId="53999FDC">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48</w:t>
                  </w:r>
                  <w:r>
                    <w:rPr>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38</w:t>
                  </w:r>
                </w:p>
              </w:tc>
              <w:tc>
                <w:tcPr>
                  <w:tcW w:w="285" w:type="pct"/>
                  <w:tcBorders>
                    <w:tl2br w:val="nil"/>
                    <w:tr2bl w:val="nil"/>
                  </w:tcBorders>
                  <w:vAlign w:val="center"/>
                </w:tcPr>
                <w:p w14:paraId="47968F84">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0.2m</w:t>
                  </w:r>
                </w:p>
              </w:tc>
            </w:tr>
            <w:tr w14:paraId="3A318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000" w:type="pct"/>
                  <w:gridSpan w:val="14"/>
                  <w:tcBorders>
                    <w:tl2br w:val="nil"/>
                    <w:tr2bl w:val="nil"/>
                  </w:tcBorders>
                  <w:vAlign w:val="center"/>
                </w:tcPr>
                <w:p w14:paraId="5C1F5CA2">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注：坐标原点选择厂房对角线交叉点</w:t>
                  </w:r>
                </w:p>
              </w:tc>
            </w:tr>
          </w:tbl>
          <w:p w14:paraId="1A0632F1">
            <w:pPr>
              <w:rPr>
                <w:b/>
                <w:bCs/>
              </w:rPr>
            </w:pPr>
            <w:r>
              <w:rPr>
                <w:rFonts w:hint="eastAsia"/>
              </w:rPr>
              <w:t>（2）预测结果</w:t>
            </w:r>
          </w:p>
          <w:p w14:paraId="7ADCFFF8">
            <w:pPr>
              <w:pStyle w:val="32"/>
              <w:rPr>
                <w:rFonts w:hint="default"/>
              </w:rPr>
            </w:pPr>
            <w:r>
              <w:t>表4-13  厂界噪声预测结果与达标分析表</w:t>
            </w:r>
          </w:p>
          <w:tbl>
            <w:tblPr>
              <w:tblStyle w:val="22"/>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525"/>
              <w:gridCol w:w="1970"/>
              <w:gridCol w:w="1766"/>
              <w:gridCol w:w="1494"/>
            </w:tblGrid>
            <w:tr w14:paraId="715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2" w:type="dxa"/>
                  <w:vMerge w:val="restart"/>
                  <w:shd w:val="clear" w:color="auto" w:fill="auto"/>
                  <w:vAlign w:val="center"/>
                </w:tcPr>
                <w:p w14:paraId="0B54C4AF">
                  <w:pPr>
                    <w:pStyle w:val="29"/>
                  </w:pPr>
                  <w:r>
                    <w:rPr>
                      <w:rFonts w:hint="eastAsia"/>
                    </w:rPr>
                    <w:t>预测方位</w:t>
                  </w:r>
                </w:p>
              </w:tc>
              <w:tc>
                <w:tcPr>
                  <w:tcW w:w="1525" w:type="dxa"/>
                  <w:vMerge w:val="restart"/>
                  <w:shd w:val="clear" w:color="auto" w:fill="auto"/>
                  <w:vAlign w:val="center"/>
                </w:tcPr>
                <w:p w14:paraId="4E0A1D27">
                  <w:pPr>
                    <w:pStyle w:val="29"/>
                  </w:pPr>
                  <w:r>
                    <w:rPr>
                      <w:rFonts w:hint="eastAsia"/>
                    </w:rPr>
                    <w:t>时段</w:t>
                  </w:r>
                </w:p>
              </w:tc>
              <w:tc>
                <w:tcPr>
                  <w:tcW w:w="1970" w:type="dxa"/>
                  <w:vMerge w:val="restart"/>
                  <w:shd w:val="clear" w:color="auto" w:fill="auto"/>
                  <w:vAlign w:val="center"/>
                </w:tcPr>
                <w:p w14:paraId="750D481E">
                  <w:pPr>
                    <w:pStyle w:val="29"/>
                  </w:pPr>
                  <w:r>
                    <w:rPr>
                      <w:rFonts w:hint="eastAsia"/>
                    </w:rPr>
                    <w:t>贡献值dB(A)</w:t>
                  </w:r>
                </w:p>
              </w:tc>
              <w:tc>
                <w:tcPr>
                  <w:tcW w:w="1766" w:type="dxa"/>
                  <w:vMerge w:val="restart"/>
                  <w:shd w:val="clear" w:color="auto" w:fill="auto"/>
                  <w:vAlign w:val="center"/>
                </w:tcPr>
                <w:p w14:paraId="199496C5">
                  <w:pPr>
                    <w:pStyle w:val="29"/>
                  </w:pPr>
                  <w:r>
                    <w:rPr>
                      <w:rFonts w:hint="eastAsia"/>
                    </w:rPr>
                    <w:t>标准限值dB(A)</w:t>
                  </w:r>
                </w:p>
              </w:tc>
              <w:tc>
                <w:tcPr>
                  <w:tcW w:w="1494" w:type="dxa"/>
                  <w:vMerge w:val="restart"/>
                  <w:shd w:val="clear" w:color="auto" w:fill="auto"/>
                  <w:vAlign w:val="center"/>
                </w:tcPr>
                <w:p w14:paraId="7468BE62">
                  <w:pPr>
                    <w:pStyle w:val="29"/>
                  </w:pPr>
                  <w:r>
                    <w:rPr>
                      <w:rFonts w:hint="eastAsia"/>
                    </w:rPr>
                    <w:t>达标情况</w:t>
                  </w:r>
                </w:p>
              </w:tc>
            </w:tr>
            <w:tr w14:paraId="4224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2" w:type="dxa"/>
                  <w:vMerge w:val="continue"/>
                  <w:shd w:val="clear" w:color="auto" w:fill="auto"/>
                  <w:vAlign w:val="center"/>
                </w:tcPr>
                <w:p w14:paraId="0A58ECCD">
                  <w:pPr>
                    <w:pStyle w:val="29"/>
                  </w:pPr>
                </w:p>
              </w:tc>
              <w:tc>
                <w:tcPr>
                  <w:tcW w:w="1525" w:type="dxa"/>
                  <w:vMerge w:val="continue"/>
                  <w:shd w:val="clear" w:color="auto" w:fill="auto"/>
                  <w:vAlign w:val="center"/>
                </w:tcPr>
                <w:p w14:paraId="10811AC4">
                  <w:pPr>
                    <w:pStyle w:val="29"/>
                  </w:pPr>
                </w:p>
              </w:tc>
              <w:tc>
                <w:tcPr>
                  <w:tcW w:w="1970" w:type="dxa"/>
                  <w:vMerge w:val="continue"/>
                  <w:shd w:val="clear" w:color="auto" w:fill="auto"/>
                  <w:vAlign w:val="center"/>
                </w:tcPr>
                <w:p w14:paraId="43EC7DB6">
                  <w:pPr>
                    <w:pStyle w:val="29"/>
                  </w:pPr>
                </w:p>
              </w:tc>
              <w:tc>
                <w:tcPr>
                  <w:tcW w:w="1766" w:type="dxa"/>
                  <w:vMerge w:val="continue"/>
                  <w:shd w:val="clear" w:color="auto" w:fill="auto"/>
                  <w:vAlign w:val="center"/>
                </w:tcPr>
                <w:p w14:paraId="629F84E9">
                  <w:pPr>
                    <w:pStyle w:val="29"/>
                  </w:pPr>
                </w:p>
              </w:tc>
              <w:tc>
                <w:tcPr>
                  <w:tcW w:w="1494" w:type="dxa"/>
                  <w:vMerge w:val="continue"/>
                  <w:shd w:val="clear" w:color="auto" w:fill="auto"/>
                  <w:vAlign w:val="center"/>
                </w:tcPr>
                <w:p w14:paraId="1CBAB7A9">
                  <w:pPr>
                    <w:pStyle w:val="29"/>
                  </w:pPr>
                </w:p>
              </w:tc>
            </w:tr>
            <w:tr w14:paraId="3483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02" w:type="dxa"/>
                  <w:shd w:val="clear" w:color="auto" w:fill="auto"/>
                  <w:vAlign w:val="center"/>
                </w:tcPr>
                <w:p w14:paraId="12206570">
                  <w:pPr>
                    <w:pStyle w:val="29"/>
                  </w:pPr>
                  <w:r>
                    <w:rPr>
                      <w:rFonts w:hint="eastAsia"/>
                    </w:rPr>
                    <w:t>东侧</w:t>
                  </w:r>
                </w:p>
              </w:tc>
              <w:tc>
                <w:tcPr>
                  <w:tcW w:w="1525" w:type="dxa"/>
                  <w:shd w:val="clear" w:color="auto" w:fill="auto"/>
                  <w:vAlign w:val="center"/>
                </w:tcPr>
                <w:p w14:paraId="7FE043CA">
                  <w:pPr>
                    <w:pStyle w:val="29"/>
                  </w:pPr>
                  <w:r>
                    <w:rPr>
                      <w:rFonts w:hint="eastAsia"/>
                    </w:rPr>
                    <w:t>昼间</w:t>
                  </w:r>
                </w:p>
              </w:tc>
              <w:tc>
                <w:tcPr>
                  <w:tcW w:w="1970" w:type="dxa"/>
                  <w:shd w:val="clear" w:color="auto" w:fill="auto"/>
                  <w:vAlign w:val="center"/>
                </w:tcPr>
                <w:p w14:paraId="59958EDF">
                  <w:pPr>
                    <w:pStyle w:val="29"/>
                  </w:pPr>
                  <w:r>
                    <w:rPr>
                      <w:rFonts w:hint="eastAsia"/>
                    </w:rPr>
                    <w:t>51.2</w:t>
                  </w:r>
                </w:p>
              </w:tc>
              <w:tc>
                <w:tcPr>
                  <w:tcW w:w="1766" w:type="dxa"/>
                  <w:shd w:val="clear" w:color="auto" w:fill="auto"/>
                  <w:vAlign w:val="center"/>
                </w:tcPr>
                <w:p w14:paraId="5996EFD4">
                  <w:pPr>
                    <w:pStyle w:val="29"/>
                  </w:pPr>
                  <w:r>
                    <w:rPr>
                      <w:rFonts w:hint="eastAsia"/>
                    </w:rPr>
                    <w:t>65</w:t>
                  </w:r>
                </w:p>
              </w:tc>
              <w:tc>
                <w:tcPr>
                  <w:tcW w:w="1494" w:type="dxa"/>
                  <w:shd w:val="clear" w:color="auto" w:fill="auto"/>
                  <w:vAlign w:val="center"/>
                </w:tcPr>
                <w:p w14:paraId="0E7B8AA9">
                  <w:pPr>
                    <w:pStyle w:val="29"/>
                  </w:pPr>
                  <w:r>
                    <w:rPr>
                      <w:rFonts w:hint="eastAsia"/>
                    </w:rPr>
                    <w:t>达标</w:t>
                  </w:r>
                </w:p>
              </w:tc>
            </w:tr>
            <w:tr w14:paraId="0C84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02" w:type="dxa"/>
                  <w:shd w:val="clear" w:color="auto" w:fill="auto"/>
                  <w:vAlign w:val="center"/>
                </w:tcPr>
                <w:p w14:paraId="263F8AA2">
                  <w:pPr>
                    <w:pStyle w:val="29"/>
                  </w:pPr>
                  <w:r>
                    <w:rPr>
                      <w:rFonts w:hint="eastAsia"/>
                    </w:rPr>
                    <w:t>南侧</w:t>
                  </w:r>
                </w:p>
              </w:tc>
              <w:tc>
                <w:tcPr>
                  <w:tcW w:w="1525" w:type="dxa"/>
                  <w:shd w:val="clear" w:color="auto" w:fill="auto"/>
                  <w:vAlign w:val="center"/>
                </w:tcPr>
                <w:p w14:paraId="6EB63FFE">
                  <w:pPr>
                    <w:pStyle w:val="29"/>
                  </w:pPr>
                  <w:r>
                    <w:rPr>
                      <w:rFonts w:hint="eastAsia"/>
                    </w:rPr>
                    <w:t>昼间</w:t>
                  </w:r>
                </w:p>
              </w:tc>
              <w:tc>
                <w:tcPr>
                  <w:tcW w:w="1970" w:type="dxa"/>
                  <w:shd w:val="clear" w:color="auto" w:fill="auto"/>
                  <w:vAlign w:val="center"/>
                </w:tcPr>
                <w:p w14:paraId="60C1D6A0">
                  <w:pPr>
                    <w:pStyle w:val="29"/>
                  </w:pPr>
                  <w:r>
                    <w:rPr>
                      <w:rFonts w:hint="eastAsia"/>
                    </w:rPr>
                    <w:t>51.0</w:t>
                  </w:r>
                </w:p>
              </w:tc>
              <w:tc>
                <w:tcPr>
                  <w:tcW w:w="1766" w:type="dxa"/>
                  <w:shd w:val="clear" w:color="auto" w:fill="auto"/>
                  <w:vAlign w:val="center"/>
                </w:tcPr>
                <w:p w14:paraId="0753B2F0">
                  <w:pPr>
                    <w:pStyle w:val="29"/>
                  </w:pPr>
                  <w:r>
                    <w:rPr>
                      <w:rFonts w:hint="eastAsia"/>
                    </w:rPr>
                    <w:t>65</w:t>
                  </w:r>
                </w:p>
              </w:tc>
              <w:tc>
                <w:tcPr>
                  <w:tcW w:w="1494" w:type="dxa"/>
                  <w:shd w:val="clear" w:color="auto" w:fill="auto"/>
                  <w:vAlign w:val="center"/>
                </w:tcPr>
                <w:p w14:paraId="31044980">
                  <w:pPr>
                    <w:pStyle w:val="29"/>
                  </w:pPr>
                  <w:r>
                    <w:rPr>
                      <w:rFonts w:hint="eastAsia"/>
                    </w:rPr>
                    <w:t>达标</w:t>
                  </w:r>
                </w:p>
              </w:tc>
            </w:tr>
            <w:tr w14:paraId="17B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02" w:type="dxa"/>
                  <w:shd w:val="clear" w:color="auto" w:fill="auto"/>
                  <w:vAlign w:val="center"/>
                </w:tcPr>
                <w:p w14:paraId="5296E6A4">
                  <w:pPr>
                    <w:pStyle w:val="29"/>
                  </w:pPr>
                  <w:r>
                    <w:rPr>
                      <w:rFonts w:hint="eastAsia"/>
                    </w:rPr>
                    <w:t>西侧</w:t>
                  </w:r>
                </w:p>
              </w:tc>
              <w:tc>
                <w:tcPr>
                  <w:tcW w:w="1525" w:type="dxa"/>
                  <w:shd w:val="clear" w:color="auto" w:fill="auto"/>
                  <w:vAlign w:val="center"/>
                </w:tcPr>
                <w:p w14:paraId="021B04B6">
                  <w:pPr>
                    <w:pStyle w:val="29"/>
                  </w:pPr>
                  <w:r>
                    <w:rPr>
                      <w:rFonts w:hint="eastAsia"/>
                    </w:rPr>
                    <w:t>昼间</w:t>
                  </w:r>
                </w:p>
              </w:tc>
              <w:tc>
                <w:tcPr>
                  <w:tcW w:w="1970" w:type="dxa"/>
                  <w:shd w:val="clear" w:color="auto" w:fill="auto"/>
                  <w:vAlign w:val="center"/>
                </w:tcPr>
                <w:p w14:paraId="61907981">
                  <w:pPr>
                    <w:pStyle w:val="29"/>
                  </w:pPr>
                  <w:r>
                    <w:rPr>
                      <w:rFonts w:hint="eastAsia"/>
                    </w:rPr>
                    <w:t>53.6</w:t>
                  </w:r>
                </w:p>
              </w:tc>
              <w:tc>
                <w:tcPr>
                  <w:tcW w:w="1766" w:type="dxa"/>
                  <w:shd w:val="clear" w:color="auto" w:fill="auto"/>
                  <w:vAlign w:val="center"/>
                </w:tcPr>
                <w:p w14:paraId="7E923D54">
                  <w:pPr>
                    <w:pStyle w:val="29"/>
                  </w:pPr>
                  <w:r>
                    <w:rPr>
                      <w:rFonts w:hint="eastAsia"/>
                    </w:rPr>
                    <w:t>65</w:t>
                  </w:r>
                </w:p>
              </w:tc>
              <w:tc>
                <w:tcPr>
                  <w:tcW w:w="1494" w:type="dxa"/>
                  <w:shd w:val="clear" w:color="auto" w:fill="auto"/>
                  <w:vAlign w:val="center"/>
                </w:tcPr>
                <w:p w14:paraId="4B47ACD6">
                  <w:pPr>
                    <w:pStyle w:val="29"/>
                  </w:pPr>
                  <w:r>
                    <w:rPr>
                      <w:rFonts w:hint="eastAsia"/>
                    </w:rPr>
                    <w:t>达标</w:t>
                  </w:r>
                </w:p>
              </w:tc>
            </w:tr>
            <w:tr w14:paraId="19EF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02" w:type="dxa"/>
                  <w:shd w:val="clear" w:color="auto" w:fill="auto"/>
                  <w:vAlign w:val="center"/>
                </w:tcPr>
                <w:p w14:paraId="7EAF8FC3">
                  <w:pPr>
                    <w:pStyle w:val="29"/>
                  </w:pPr>
                  <w:r>
                    <w:rPr>
                      <w:rFonts w:hint="eastAsia"/>
                    </w:rPr>
                    <w:t>北侧</w:t>
                  </w:r>
                </w:p>
              </w:tc>
              <w:tc>
                <w:tcPr>
                  <w:tcW w:w="1525" w:type="dxa"/>
                  <w:shd w:val="clear" w:color="auto" w:fill="auto"/>
                  <w:vAlign w:val="center"/>
                </w:tcPr>
                <w:p w14:paraId="302B30FD">
                  <w:pPr>
                    <w:pStyle w:val="29"/>
                  </w:pPr>
                  <w:r>
                    <w:rPr>
                      <w:rFonts w:hint="eastAsia"/>
                    </w:rPr>
                    <w:t>昼间</w:t>
                  </w:r>
                </w:p>
              </w:tc>
              <w:tc>
                <w:tcPr>
                  <w:tcW w:w="1970" w:type="dxa"/>
                  <w:shd w:val="clear" w:color="auto" w:fill="auto"/>
                  <w:vAlign w:val="center"/>
                </w:tcPr>
                <w:p w14:paraId="04032B36">
                  <w:pPr>
                    <w:pStyle w:val="29"/>
                  </w:pPr>
                  <w:r>
                    <w:rPr>
                      <w:rFonts w:hint="eastAsia"/>
                    </w:rPr>
                    <w:t>49.3</w:t>
                  </w:r>
                </w:p>
              </w:tc>
              <w:tc>
                <w:tcPr>
                  <w:tcW w:w="1766" w:type="dxa"/>
                  <w:shd w:val="clear" w:color="auto" w:fill="auto"/>
                  <w:vAlign w:val="center"/>
                </w:tcPr>
                <w:p w14:paraId="089D6D2B">
                  <w:pPr>
                    <w:pStyle w:val="29"/>
                  </w:pPr>
                  <w:r>
                    <w:rPr>
                      <w:rFonts w:hint="eastAsia"/>
                    </w:rPr>
                    <w:t>65</w:t>
                  </w:r>
                </w:p>
              </w:tc>
              <w:tc>
                <w:tcPr>
                  <w:tcW w:w="1494" w:type="dxa"/>
                  <w:shd w:val="clear" w:color="auto" w:fill="auto"/>
                  <w:vAlign w:val="center"/>
                </w:tcPr>
                <w:p w14:paraId="1A71C717">
                  <w:pPr>
                    <w:pStyle w:val="29"/>
                  </w:pPr>
                  <w:r>
                    <w:rPr>
                      <w:rFonts w:hint="eastAsia"/>
                    </w:rPr>
                    <w:t>达标</w:t>
                  </w:r>
                </w:p>
              </w:tc>
            </w:tr>
          </w:tbl>
          <w:p w14:paraId="1523E663">
            <w:r>
              <w:t>由预测结果可知，</w:t>
            </w:r>
            <w:r>
              <w:rPr>
                <w:rFonts w:hint="eastAsia"/>
              </w:rPr>
              <w:t>各噪声源在采取相应的噪声污染治理措施后，经过距离衰减等</w:t>
            </w:r>
            <w:r>
              <w:t>，厂界噪声</w:t>
            </w:r>
            <w:r>
              <w:rPr>
                <w:rFonts w:hint="eastAsia"/>
              </w:rPr>
              <w:t>贡献值</w:t>
            </w:r>
            <w:r>
              <w:t>可满足《工业企业厂界环境噪声排放标准》（GB12348-2008）</w:t>
            </w:r>
            <w:r>
              <w:rPr>
                <w:rFonts w:hint="eastAsia"/>
              </w:rPr>
              <w:t>3类</w:t>
            </w:r>
            <w:r>
              <w:t>标准限值要求。经采取以上降噪措施后，本项目噪声对厂界外环境的影响可得到有效控制，对周围声环境影响在可接受范围内。</w:t>
            </w:r>
          </w:p>
          <w:p w14:paraId="1D4A126C">
            <w:r>
              <w:rPr>
                <w:rFonts w:hint="eastAsia"/>
              </w:rPr>
              <w:t>（3）声环境监测计划</w:t>
            </w:r>
          </w:p>
          <w:p w14:paraId="3DB18463">
            <w:r>
              <w:rPr>
                <w:rFonts w:hint="eastAsia"/>
              </w:rPr>
              <w:t>根据《排污许可证申请与核发技术规范 工业噪声》（</w:t>
            </w:r>
            <w:r>
              <w:t>HJ</w:t>
            </w:r>
            <w:r>
              <w:rPr>
                <w:rFonts w:hint="eastAsia"/>
              </w:rPr>
              <w:t>1301-2023），本项目噪声自行监测计划见下表：</w:t>
            </w:r>
          </w:p>
          <w:p w14:paraId="5E30AAEC">
            <w:pPr>
              <w:pStyle w:val="32"/>
              <w:rPr>
                <w:rFonts w:hint="default"/>
              </w:rPr>
            </w:pPr>
            <w:r>
              <w:t>表4-14  声环境监测计划一览表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929"/>
              <w:gridCol w:w="1194"/>
              <w:gridCol w:w="846"/>
              <w:gridCol w:w="3326"/>
            </w:tblGrid>
            <w:tr w14:paraId="526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2" w:type="pct"/>
                  <w:vAlign w:val="center"/>
                </w:tcPr>
                <w:p w14:paraId="0C19FB3A">
                  <w:pPr>
                    <w:pStyle w:val="29"/>
                  </w:pPr>
                  <w:r>
                    <w:t>序号</w:t>
                  </w:r>
                </w:p>
              </w:tc>
              <w:tc>
                <w:tcPr>
                  <w:tcW w:w="1210" w:type="pct"/>
                  <w:vAlign w:val="center"/>
                </w:tcPr>
                <w:p w14:paraId="5BC78B3A">
                  <w:pPr>
                    <w:pStyle w:val="29"/>
                  </w:pPr>
                  <w:r>
                    <w:t>监测点位</w:t>
                  </w:r>
                </w:p>
              </w:tc>
              <w:tc>
                <w:tcPr>
                  <w:tcW w:w="749" w:type="pct"/>
                  <w:vAlign w:val="center"/>
                </w:tcPr>
                <w:p w14:paraId="113521E4">
                  <w:pPr>
                    <w:pStyle w:val="29"/>
                  </w:pPr>
                  <w:r>
                    <w:t>监测项目</w:t>
                  </w:r>
                </w:p>
              </w:tc>
              <w:tc>
                <w:tcPr>
                  <w:tcW w:w="531" w:type="pct"/>
                  <w:vAlign w:val="center"/>
                </w:tcPr>
                <w:p w14:paraId="3E61D7EF">
                  <w:pPr>
                    <w:pStyle w:val="29"/>
                  </w:pPr>
                  <w:r>
                    <w:t>频率</w:t>
                  </w:r>
                </w:p>
              </w:tc>
              <w:tc>
                <w:tcPr>
                  <w:tcW w:w="2086" w:type="pct"/>
                  <w:vAlign w:val="center"/>
                </w:tcPr>
                <w:p w14:paraId="4AA5B6D4">
                  <w:pPr>
                    <w:pStyle w:val="29"/>
                  </w:pPr>
                  <w:r>
                    <w:t>执行标准</w:t>
                  </w:r>
                </w:p>
              </w:tc>
            </w:tr>
            <w:tr w14:paraId="2269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2" w:type="pct"/>
                  <w:vAlign w:val="center"/>
                </w:tcPr>
                <w:p w14:paraId="564B5B00">
                  <w:pPr>
                    <w:pStyle w:val="29"/>
                  </w:pPr>
                  <w:r>
                    <w:rPr>
                      <w:rFonts w:hint="eastAsia"/>
                    </w:rPr>
                    <w:t>1</w:t>
                  </w:r>
                </w:p>
              </w:tc>
              <w:tc>
                <w:tcPr>
                  <w:tcW w:w="1210" w:type="pct"/>
                  <w:vAlign w:val="center"/>
                </w:tcPr>
                <w:p w14:paraId="23EEDFC6">
                  <w:pPr>
                    <w:pStyle w:val="29"/>
                  </w:pPr>
                  <w:r>
                    <w:t>厂界四周各布设一个噪声监测点</w:t>
                  </w:r>
                </w:p>
              </w:tc>
              <w:tc>
                <w:tcPr>
                  <w:tcW w:w="749" w:type="pct"/>
                  <w:vAlign w:val="center"/>
                </w:tcPr>
                <w:p w14:paraId="1E0B816E">
                  <w:pPr>
                    <w:pStyle w:val="29"/>
                  </w:pPr>
                  <w:r>
                    <w:rPr>
                      <w:rFonts w:hint="eastAsia"/>
                    </w:rPr>
                    <w:t>等效声级（昼）</w:t>
                  </w:r>
                </w:p>
              </w:tc>
              <w:tc>
                <w:tcPr>
                  <w:tcW w:w="531" w:type="pct"/>
                  <w:vAlign w:val="center"/>
                </w:tcPr>
                <w:p w14:paraId="3A710BEA">
                  <w:pPr>
                    <w:pStyle w:val="29"/>
                  </w:pPr>
                  <w:r>
                    <w:t>1次</w:t>
                  </w:r>
                  <w:r>
                    <w:rPr>
                      <w:rFonts w:hint="eastAsia"/>
                    </w:rPr>
                    <w:t>/季度</w:t>
                  </w:r>
                </w:p>
              </w:tc>
              <w:tc>
                <w:tcPr>
                  <w:tcW w:w="2086" w:type="pct"/>
                  <w:vAlign w:val="center"/>
                </w:tcPr>
                <w:p w14:paraId="1DE2D744">
                  <w:pPr>
                    <w:pStyle w:val="29"/>
                  </w:pPr>
                  <w:r>
                    <w:t>《工业企业厂界环境噪声排放标准》（GB12348- 2008）3类标准要求</w:t>
                  </w:r>
                </w:p>
              </w:tc>
            </w:tr>
          </w:tbl>
          <w:p w14:paraId="3553C85F">
            <w:pPr>
              <w:ind w:firstLine="482"/>
              <w:rPr>
                <w:b/>
                <w:bCs/>
              </w:rPr>
            </w:pPr>
            <w:r>
              <w:rPr>
                <w:rFonts w:hint="eastAsia"/>
                <w:b/>
                <w:bCs/>
              </w:rPr>
              <w:t>4、固废废弃物</w:t>
            </w:r>
          </w:p>
          <w:p w14:paraId="6A3AA28D">
            <w:r>
              <w:rPr>
                <w:rFonts w:hint="eastAsia"/>
              </w:rPr>
              <w:t>本项目运营过程中产生的固体废物主要为一般工业固体废物和生活垃圾。</w:t>
            </w:r>
          </w:p>
          <w:p w14:paraId="667AE458">
            <w:pPr>
              <w:numPr>
                <w:ilvl w:val="0"/>
                <w:numId w:val="8"/>
              </w:numPr>
              <w:rPr>
                <w:color w:val="0000FF"/>
              </w:rPr>
            </w:pPr>
            <w:r>
              <w:rPr>
                <w:rFonts w:hint="eastAsia"/>
                <w:color w:val="0000FF"/>
              </w:rPr>
              <w:t>一般工业固废</w:t>
            </w:r>
          </w:p>
          <w:p w14:paraId="1396FE1B">
            <w:pPr>
              <w:rPr>
                <w:color w:val="0000FF"/>
              </w:rPr>
            </w:pPr>
            <w:r>
              <w:rPr>
                <w:color w:val="0000FF"/>
              </w:rPr>
              <w:t>① 厨余垃圾</w:t>
            </w:r>
          </w:p>
          <w:p w14:paraId="229F0822">
            <w:pPr>
              <w:rPr>
                <w:color w:val="0000FF"/>
              </w:rPr>
            </w:pPr>
            <w:r>
              <w:rPr>
                <w:color w:val="0000FF"/>
              </w:rPr>
              <w:t>项目清洗等工段产生厨余垃圾，产生量约为6.0t/a，属一般固废，委托餐厨垃圾处理厂处置。</w:t>
            </w:r>
          </w:p>
          <w:p w14:paraId="4A07CE47">
            <w:pPr>
              <w:rPr>
                <w:color w:val="0000FF"/>
              </w:rPr>
            </w:pPr>
            <w:r>
              <w:rPr>
                <w:color w:val="0000FF"/>
              </w:rPr>
              <w:t>② 废油脂</w:t>
            </w:r>
          </w:p>
          <w:p w14:paraId="2881500A">
            <w:pPr>
              <w:rPr>
                <w:color w:val="0000FF"/>
              </w:rPr>
            </w:pPr>
            <w:r>
              <w:rPr>
                <w:color w:val="0000FF"/>
              </w:rPr>
              <w:t>本项目生产过程产生少量废油脂，产生量约为0.082t/a，委托餐厨垃圾处理厂处置。</w:t>
            </w:r>
          </w:p>
          <w:p w14:paraId="03E845BC">
            <w:pPr>
              <w:rPr>
                <w:color w:val="0000FF"/>
              </w:rPr>
            </w:pPr>
            <w:r>
              <w:rPr>
                <w:color w:val="0000FF"/>
              </w:rPr>
              <w:t>③ 不合格品</w:t>
            </w:r>
          </w:p>
          <w:p w14:paraId="00C7F652">
            <w:pPr>
              <w:rPr>
                <w:color w:val="0000FF"/>
              </w:rPr>
            </w:pPr>
            <w:r>
              <w:rPr>
                <w:color w:val="0000FF"/>
              </w:rPr>
              <w:t>根据企业提供资料，检验不合格品约4.0t/a，委托餐厨垃圾处理厂处置。</w:t>
            </w:r>
          </w:p>
          <w:p w14:paraId="12416409">
            <w:pPr>
              <w:rPr>
                <w:color w:val="0000FF"/>
              </w:rPr>
            </w:pPr>
            <w:r>
              <w:rPr>
                <w:color w:val="0000FF"/>
              </w:rPr>
              <w:t>④废包装物</w:t>
            </w:r>
          </w:p>
          <w:p w14:paraId="71A7623E">
            <w:pPr>
              <w:rPr>
                <w:color w:val="0000FF"/>
              </w:rPr>
            </w:pPr>
            <w:r>
              <w:rPr>
                <w:color w:val="0000FF"/>
              </w:rPr>
              <w:t>项目大部分原料为袋装或桶装，原料使用过程中会产生废包装物，根据建设单位提供资料，废包装物产生量约为0.8t/a，交由资源回收部门利用。</w:t>
            </w:r>
          </w:p>
          <w:p w14:paraId="3D70D9F9">
            <w:pPr>
              <w:rPr>
                <w:color w:val="0000FF"/>
              </w:rPr>
            </w:pPr>
            <w:r>
              <w:rPr>
                <w:color w:val="0000FF"/>
              </w:rPr>
              <w:t>⑤污泥</w:t>
            </w:r>
          </w:p>
          <w:p w14:paraId="2D6707D7">
            <w:pPr>
              <w:rPr>
                <w:color w:val="0000FF"/>
              </w:rPr>
            </w:pPr>
            <w:r>
              <w:rPr>
                <w:color w:val="0000FF"/>
              </w:rPr>
              <w:t>本项目污水经污水处理站处置，本项目污泥产生量约为2t/a，经压滤后污泥产生量约为1t/a，交由有资质单位清运。</w:t>
            </w:r>
          </w:p>
          <w:p w14:paraId="64A48989">
            <w:pPr>
              <w:rPr>
                <w:color w:val="0000FF"/>
              </w:rPr>
            </w:pPr>
            <w:r>
              <w:rPr>
                <w:color w:val="0000FF"/>
              </w:rPr>
              <w:t>⑥废砂滤器</w:t>
            </w:r>
          </w:p>
          <w:p w14:paraId="173D4316">
            <w:pPr>
              <w:rPr>
                <w:color w:val="0000FF"/>
              </w:rPr>
            </w:pPr>
            <w:r>
              <w:rPr>
                <w:color w:val="0000FF"/>
              </w:rPr>
              <w:t>本项目纯净水制备工艺会产生废砂滤器，年产生量为0.3t/a，</w:t>
            </w:r>
            <w:r>
              <w:rPr>
                <w:rFonts w:hint="eastAsia"/>
                <w:color w:val="0000FF"/>
              </w:rPr>
              <w:t>交由原厂家回收处置</w:t>
            </w:r>
            <w:r>
              <w:rPr>
                <w:color w:val="0000FF"/>
              </w:rPr>
              <w:t>。</w:t>
            </w:r>
          </w:p>
          <w:p w14:paraId="24434F34">
            <w:pPr>
              <w:rPr>
                <w:color w:val="0000FF"/>
              </w:rPr>
            </w:pPr>
            <w:r>
              <w:rPr>
                <w:color w:val="0000FF"/>
              </w:rPr>
              <w:t>⑦废活性炭过滤器</w:t>
            </w:r>
          </w:p>
          <w:p w14:paraId="454237CF">
            <w:pPr>
              <w:rPr>
                <w:color w:val="0000FF"/>
              </w:rPr>
            </w:pPr>
            <w:r>
              <w:rPr>
                <w:color w:val="0000FF"/>
              </w:rPr>
              <w:t>本项目纯净水制备工艺会产生废活性炭过滤器，年产生量为0.3t/a，</w:t>
            </w:r>
            <w:r>
              <w:rPr>
                <w:rFonts w:hint="eastAsia"/>
                <w:color w:val="0000FF"/>
              </w:rPr>
              <w:t>交由原厂家回收处置</w:t>
            </w:r>
            <w:r>
              <w:rPr>
                <w:color w:val="0000FF"/>
              </w:rPr>
              <w:t>。</w:t>
            </w:r>
          </w:p>
          <w:p w14:paraId="1863E9B3">
            <w:pPr>
              <w:rPr>
                <w:color w:val="0000FF"/>
              </w:rPr>
            </w:pPr>
            <w:r>
              <w:rPr>
                <w:color w:val="0000FF"/>
              </w:rPr>
              <w:t>⑧废软化器</w:t>
            </w:r>
          </w:p>
          <w:p w14:paraId="4C094846">
            <w:pPr>
              <w:rPr>
                <w:color w:val="0000FF"/>
              </w:rPr>
            </w:pPr>
            <w:r>
              <w:rPr>
                <w:color w:val="0000FF"/>
              </w:rPr>
              <w:t>本项目纯净水制备工艺会产生废软化器，年产生量为0.3t/a，</w:t>
            </w:r>
            <w:r>
              <w:rPr>
                <w:rFonts w:hint="eastAsia"/>
                <w:color w:val="0000FF"/>
              </w:rPr>
              <w:t>交由原厂家回收处置</w:t>
            </w:r>
            <w:r>
              <w:rPr>
                <w:color w:val="0000FF"/>
              </w:rPr>
              <w:t>。</w:t>
            </w:r>
          </w:p>
          <w:p w14:paraId="1B2693E0">
            <w:pPr>
              <w:rPr>
                <w:color w:val="0000FF"/>
              </w:rPr>
            </w:pPr>
            <w:r>
              <w:rPr>
                <w:color w:val="0000FF"/>
              </w:rPr>
              <w:t>⑨废RO膜</w:t>
            </w:r>
          </w:p>
          <w:p w14:paraId="3203C82D">
            <w:pPr>
              <w:rPr>
                <w:color w:val="0000FF"/>
              </w:rPr>
            </w:pPr>
            <w:r>
              <w:rPr>
                <w:color w:val="0000FF"/>
              </w:rPr>
              <w:t>本项目纯净水制备工艺会产生废RO膜，年产生量为0.2t/a，</w:t>
            </w:r>
            <w:r>
              <w:rPr>
                <w:rFonts w:hint="eastAsia"/>
                <w:color w:val="0000FF"/>
              </w:rPr>
              <w:t>交由原厂家回收处置</w:t>
            </w:r>
            <w:r>
              <w:rPr>
                <w:color w:val="0000FF"/>
              </w:rPr>
              <w:t>。</w:t>
            </w:r>
          </w:p>
          <w:p w14:paraId="56232AFB">
            <w:r>
              <w:rPr>
                <w:rFonts w:hint="eastAsia"/>
              </w:rPr>
              <w:t>（2）生活垃圾</w:t>
            </w:r>
          </w:p>
          <w:p w14:paraId="1E34C7B6">
            <w:r>
              <w:rPr>
                <w:rFonts w:hint="eastAsia"/>
              </w:rPr>
              <w:t>本项目劳动定员10人，均不在厂内住宿，生活垃圾的产生量按每人每天0.5kg计，年工作300天，则生活垃圾产生量为5kg/d，1.5t/a。生活垃圾由环卫部门清运处理。</w:t>
            </w:r>
          </w:p>
          <w:p w14:paraId="69DE5380">
            <w:pPr>
              <w:pStyle w:val="32"/>
              <w:keepNext/>
              <w:rPr>
                <w:rFonts w:hint="default"/>
              </w:rPr>
            </w:pPr>
            <w:r>
              <w:t>表4-15  项目固废产生及处置情况一览表  单位：t/a</w:t>
            </w:r>
          </w:p>
          <w:tbl>
            <w:tblPr>
              <w:tblStyle w:val="22"/>
              <w:tblW w:w="7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94"/>
              <w:gridCol w:w="1245"/>
              <w:gridCol w:w="1425"/>
              <w:gridCol w:w="2557"/>
            </w:tblGrid>
            <w:tr w14:paraId="78A3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11365328">
                  <w:pPr>
                    <w:pStyle w:val="29"/>
                  </w:pPr>
                  <w:r>
                    <w:t>序号</w:t>
                  </w:r>
                </w:p>
              </w:tc>
              <w:tc>
                <w:tcPr>
                  <w:tcW w:w="1794" w:type="dxa"/>
                  <w:vAlign w:val="center"/>
                </w:tcPr>
                <w:p w14:paraId="6C20F075">
                  <w:pPr>
                    <w:pStyle w:val="29"/>
                  </w:pPr>
                  <w:r>
                    <w:t>名称</w:t>
                  </w:r>
                </w:p>
              </w:tc>
              <w:tc>
                <w:tcPr>
                  <w:tcW w:w="1245" w:type="dxa"/>
                  <w:vAlign w:val="center"/>
                </w:tcPr>
                <w:p w14:paraId="46B5AAEB">
                  <w:pPr>
                    <w:pStyle w:val="29"/>
                  </w:pPr>
                  <w:r>
                    <w:t>属性</w:t>
                  </w:r>
                </w:p>
              </w:tc>
              <w:tc>
                <w:tcPr>
                  <w:tcW w:w="1425" w:type="dxa"/>
                  <w:vAlign w:val="center"/>
                </w:tcPr>
                <w:p w14:paraId="426AE14C">
                  <w:pPr>
                    <w:pStyle w:val="29"/>
                  </w:pPr>
                  <w:r>
                    <w:t>产生量（t/a）</w:t>
                  </w:r>
                </w:p>
              </w:tc>
              <w:tc>
                <w:tcPr>
                  <w:tcW w:w="2557" w:type="dxa"/>
                  <w:vAlign w:val="center"/>
                </w:tcPr>
                <w:p w14:paraId="1951F7FA">
                  <w:pPr>
                    <w:pStyle w:val="29"/>
                  </w:pPr>
                  <w:r>
                    <w:t>处理处置方式</w:t>
                  </w:r>
                </w:p>
              </w:tc>
            </w:tr>
            <w:tr w14:paraId="316D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20D271C7">
                  <w:pPr>
                    <w:pStyle w:val="29"/>
                    <w:rPr>
                      <w:color w:val="0000FF"/>
                    </w:rPr>
                  </w:pPr>
                  <w:r>
                    <w:rPr>
                      <w:color w:val="0000FF"/>
                    </w:rPr>
                    <w:t>1</w:t>
                  </w:r>
                </w:p>
              </w:tc>
              <w:tc>
                <w:tcPr>
                  <w:tcW w:w="1794" w:type="dxa"/>
                  <w:vAlign w:val="center"/>
                </w:tcPr>
                <w:p w14:paraId="4463A128">
                  <w:pPr>
                    <w:pStyle w:val="29"/>
                    <w:rPr>
                      <w:color w:val="0000FF"/>
                    </w:rPr>
                  </w:pPr>
                  <w:r>
                    <w:rPr>
                      <w:color w:val="0000FF"/>
                    </w:rPr>
                    <w:t>厨余垃圾</w:t>
                  </w:r>
                </w:p>
              </w:tc>
              <w:tc>
                <w:tcPr>
                  <w:tcW w:w="1245" w:type="dxa"/>
                  <w:vAlign w:val="center"/>
                </w:tcPr>
                <w:p w14:paraId="3D2A4868">
                  <w:pPr>
                    <w:pStyle w:val="29"/>
                    <w:rPr>
                      <w:color w:val="0000FF"/>
                    </w:rPr>
                  </w:pPr>
                  <w:r>
                    <w:rPr>
                      <w:color w:val="0000FF"/>
                    </w:rPr>
                    <w:t>一般固废</w:t>
                  </w:r>
                </w:p>
              </w:tc>
              <w:tc>
                <w:tcPr>
                  <w:tcW w:w="1425" w:type="dxa"/>
                  <w:vAlign w:val="center"/>
                </w:tcPr>
                <w:p w14:paraId="1A28A58F">
                  <w:pPr>
                    <w:pStyle w:val="29"/>
                    <w:rPr>
                      <w:color w:val="0000FF"/>
                    </w:rPr>
                  </w:pPr>
                  <w:r>
                    <w:rPr>
                      <w:color w:val="0000FF"/>
                    </w:rPr>
                    <w:t>6.0</w:t>
                  </w:r>
                </w:p>
              </w:tc>
              <w:tc>
                <w:tcPr>
                  <w:tcW w:w="2557" w:type="dxa"/>
                  <w:vMerge w:val="restart"/>
                  <w:vAlign w:val="center"/>
                </w:tcPr>
                <w:p w14:paraId="24642862">
                  <w:pPr>
                    <w:pStyle w:val="29"/>
                  </w:pPr>
                  <w:r>
                    <w:t>委托餐厨垃圾处理厂处置</w:t>
                  </w:r>
                </w:p>
              </w:tc>
            </w:tr>
            <w:tr w14:paraId="4C49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60EBAF6B">
                  <w:pPr>
                    <w:pStyle w:val="29"/>
                    <w:rPr>
                      <w:color w:val="0000FF"/>
                    </w:rPr>
                  </w:pPr>
                  <w:r>
                    <w:rPr>
                      <w:color w:val="0000FF"/>
                    </w:rPr>
                    <w:t>2</w:t>
                  </w:r>
                </w:p>
              </w:tc>
              <w:tc>
                <w:tcPr>
                  <w:tcW w:w="1794" w:type="dxa"/>
                  <w:shd w:val="clear" w:color="auto" w:fill="auto"/>
                  <w:vAlign w:val="center"/>
                </w:tcPr>
                <w:p w14:paraId="4CB58B24">
                  <w:pPr>
                    <w:pStyle w:val="29"/>
                    <w:rPr>
                      <w:color w:val="0000FF"/>
                    </w:rPr>
                  </w:pPr>
                  <w:r>
                    <w:rPr>
                      <w:color w:val="0000FF"/>
                    </w:rPr>
                    <w:t>不合格品</w:t>
                  </w:r>
                </w:p>
              </w:tc>
              <w:tc>
                <w:tcPr>
                  <w:tcW w:w="1245" w:type="dxa"/>
                  <w:shd w:val="clear" w:color="auto" w:fill="auto"/>
                  <w:vAlign w:val="center"/>
                </w:tcPr>
                <w:p w14:paraId="6BA7B3CD">
                  <w:pPr>
                    <w:pStyle w:val="29"/>
                    <w:rPr>
                      <w:color w:val="0000FF"/>
                    </w:rPr>
                  </w:pPr>
                  <w:r>
                    <w:rPr>
                      <w:color w:val="0000FF"/>
                    </w:rPr>
                    <w:t>一般固废</w:t>
                  </w:r>
                </w:p>
              </w:tc>
              <w:tc>
                <w:tcPr>
                  <w:tcW w:w="1425" w:type="dxa"/>
                  <w:vAlign w:val="center"/>
                </w:tcPr>
                <w:p w14:paraId="1BA9A381">
                  <w:pPr>
                    <w:pStyle w:val="29"/>
                    <w:rPr>
                      <w:color w:val="0000FF"/>
                    </w:rPr>
                  </w:pPr>
                  <w:r>
                    <w:rPr>
                      <w:color w:val="0000FF"/>
                    </w:rPr>
                    <w:t>4.0</w:t>
                  </w:r>
                </w:p>
              </w:tc>
              <w:tc>
                <w:tcPr>
                  <w:tcW w:w="2557" w:type="dxa"/>
                  <w:vMerge w:val="continue"/>
                  <w:vAlign w:val="center"/>
                </w:tcPr>
                <w:p w14:paraId="55F25238">
                  <w:pPr>
                    <w:pStyle w:val="29"/>
                  </w:pPr>
                </w:p>
              </w:tc>
            </w:tr>
            <w:tr w14:paraId="264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6" w:type="dxa"/>
                  <w:vAlign w:val="center"/>
                </w:tcPr>
                <w:p w14:paraId="2C04BFA2">
                  <w:pPr>
                    <w:pStyle w:val="29"/>
                    <w:rPr>
                      <w:color w:val="0000FF"/>
                    </w:rPr>
                  </w:pPr>
                  <w:r>
                    <w:rPr>
                      <w:color w:val="0000FF"/>
                    </w:rPr>
                    <w:t>3</w:t>
                  </w:r>
                </w:p>
              </w:tc>
              <w:tc>
                <w:tcPr>
                  <w:tcW w:w="1794" w:type="dxa"/>
                  <w:shd w:val="clear" w:color="auto" w:fill="auto"/>
                  <w:vAlign w:val="center"/>
                </w:tcPr>
                <w:p w14:paraId="4D386365">
                  <w:pPr>
                    <w:pStyle w:val="29"/>
                    <w:rPr>
                      <w:color w:val="0000FF"/>
                    </w:rPr>
                  </w:pPr>
                  <w:r>
                    <w:rPr>
                      <w:color w:val="0000FF"/>
                    </w:rPr>
                    <w:t>废油脂</w:t>
                  </w:r>
                </w:p>
              </w:tc>
              <w:tc>
                <w:tcPr>
                  <w:tcW w:w="1245" w:type="dxa"/>
                  <w:shd w:val="clear" w:color="auto" w:fill="auto"/>
                  <w:vAlign w:val="center"/>
                </w:tcPr>
                <w:p w14:paraId="074A06B7">
                  <w:pPr>
                    <w:pStyle w:val="29"/>
                    <w:rPr>
                      <w:color w:val="0000FF"/>
                    </w:rPr>
                  </w:pPr>
                  <w:r>
                    <w:rPr>
                      <w:color w:val="0000FF"/>
                    </w:rPr>
                    <w:t>一般固废</w:t>
                  </w:r>
                </w:p>
              </w:tc>
              <w:tc>
                <w:tcPr>
                  <w:tcW w:w="1425" w:type="dxa"/>
                  <w:vAlign w:val="center"/>
                </w:tcPr>
                <w:p w14:paraId="3DF058F9">
                  <w:pPr>
                    <w:pStyle w:val="29"/>
                    <w:rPr>
                      <w:color w:val="0000FF"/>
                    </w:rPr>
                  </w:pPr>
                  <w:r>
                    <w:rPr>
                      <w:rFonts w:hint="eastAsia"/>
                      <w:color w:val="0000FF"/>
                    </w:rPr>
                    <w:t>0.082</w:t>
                  </w:r>
                </w:p>
              </w:tc>
              <w:tc>
                <w:tcPr>
                  <w:tcW w:w="2557" w:type="dxa"/>
                  <w:vMerge w:val="continue"/>
                  <w:vAlign w:val="center"/>
                </w:tcPr>
                <w:p w14:paraId="48920EAA">
                  <w:pPr>
                    <w:pStyle w:val="29"/>
                  </w:pPr>
                </w:p>
              </w:tc>
            </w:tr>
            <w:tr w14:paraId="6677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6A873731">
                  <w:pPr>
                    <w:pStyle w:val="29"/>
                    <w:rPr>
                      <w:color w:val="0000FF"/>
                    </w:rPr>
                  </w:pPr>
                  <w:r>
                    <w:rPr>
                      <w:color w:val="0000FF"/>
                    </w:rPr>
                    <w:t>4</w:t>
                  </w:r>
                </w:p>
              </w:tc>
              <w:tc>
                <w:tcPr>
                  <w:tcW w:w="1794" w:type="dxa"/>
                  <w:vAlign w:val="center"/>
                </w:tcPr>
                <w:p w14:paraId="605D31F5">
                  <w:pPr>
                    <w:pStyle w:val="29"/>
                    <w:rPr>
                      <w:color w:val="0000FF"/>
                    </w:rPr>
                  </w:pPr>
                  <w:r>
                    <w:rPr>
                      <w:color w:val="0000FF"/>
                    </w:rPr>
                    <w:t>废包装物</w:t>
                  </w:r>
                </w:p>
              </w:tc>
              <w:tc>
                <w:tcPr>
                  <w:tcW w:w="1245" w:type="dxa"/>
                  <w:vAlign w:val="center"/>
                </w:tcPr>
                <w:p w14:paraId="72527811">
                  <w:pPr>
                    <w:pStyle w:val="29"/>
                    <w:rPr>
                      <w:color w:val="0000FF"/>
                    </w:rPr>
                  </w:pPr>
                  <w:r>
                    <w:rPr>
                      <w:color w:val="0000FF"/>
                    </w:rPr>
                    <w:t>一般固废</w:t>
                  </w:r>
                </w:p>
              </w:tc>
              <w:tc>
                <w:tcPr>
                  <w:tcW w:w="1425" w:type="dxa"/>
                  <w:vAlign w:val="center"/>
                </w:tcPr>
                <w:p w14:paraId="60D50BE0">
                  <w:pPr>
                    <w:pStyle w:val="29"/>
                    <w:rPr>
                      <w:color w:val="0000FF"/>
                    </w:rPr>
                  </w:pPr>
                  <w:r>
                    <w:rPr>
                      <w:color w:val="0000FF"/>
                    </w:rPr>
                    <w:t>0.8</w:t>
                  </w:r>
                </w:p>
              </w:tc>
              <w:tc>
                <w:tcPr>
                  <w:tcW w:w="2557" w:type="dxa"/>
                  <w:vAlign w:val="center"/>
                </w:tcPr>
                <w:p w14:paraId="68357933">
                  <w:pPr>
                    <w:pStyle w:val="29"/>
                  </w:pPr>
                  <w:r>
                    <w:t>交由资源回收部门利用</w:t>
                  </w:r>
                </w:p>
              </w:tc>
            </w:tr>
            <w:tr w14:paraId="70D7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103B4731">
                  <w:pPr>
                    <w:pStyle w:val="29"/>
                    <w:rPr>
                      <w:color w:val="0000FF"/>
                    </w:rPr>
                  </w:pPr>
                  <w:r>
                    <w:rPr>
                      <w:color w:val="0000FF"/>
                    </w:rPr>
                    <w:t>5</w:t>
                  </w:r>
                </w:p>
              </w:tc>
              <w:tc>
                <w:tcPr>
                  <w:tcW w:w="1794" w:type="dxa"/>
                  <w:vAlign w:val="center"/>
                </w:tcPr>
                <w:p w14:paraId="4D26EF3A">
                  <w:pPr>
                    <w:pStyle w:val="29"/>
                    <w:rPr>
                      <w:color w:val="0000FF"/>
                    </w:rPr>
                  </w:pPr>
                  <w:r>
                    <w:rPr>
                      <w:color w:val="0000FF"/>
                    </w:rPr>
                    <w:t>污泥</w:t>
                  </w:r>
                </w:p>
              </w:tc>
              <w:tc>
                <w:tcPr>
                  <w:tcW w:w="1245" w:type="dxa"/>
                  <w:vAlign w:val="center"/>
                </w:tcPr>
                <w:p w14:paraId="69B46866">
                  <w:pPr>
                    <w:pStyle w:val="29"/>
                    <w:rPr>
                      <w:color w:val="0000FF"/>
                    </w:rPr>
                  </w:pPr>
                  <w:r>
                    <w:rPr>
                      <w:color w:val="0000FF"/>
                    </w:rPr>
                    <w:t>一般固废</w:t>
                  </w:r>
                </w:p>
              </w:tc>
              <w:tc>
                <w:tcPr>
                  <w:tcW w:w="1425" w:type="dxa"/>
                  <w:vAlign w:val="center"/>
                </w:tcPr>
                <w:p w14:paraId="4915F336">
                  <w:pPr>
                    <w:pStyle w:val="29"/>
                    <w:rPr>
                      <w:color w:val="0000FF"/>
                    </w:rPr>
                  </w:pPr>
                  <w:r>
                    <w:rPr>
                      <w:color w:val="0000FF"/>
                    </w:rPr>
                    <w:t>1.0</w:t>
                  </w:r>
                </w:p>
              </w:tc>
              <w:tc>
                <w:tcPr>
                  <w:tcW w:w="2557" w:type="dxa"/>
                  <w:vAlign w:val="center"/>
                </w:tcPr>
                <w:p w14:paraId="6A203681">
                  <w:pPr>
                    <w:pStyle w:val="29"/>
                  </w:pPr>
                  <w:r>
                    <w:t>交由有资质单位清运</w:t>
                  </w:r>
                </w:p>
              </w:tc>
            </w:tr>
            <w:tr w14:paraId="5E8A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27F38095">
                  <w:pPr>
                    <w:pStyle w:val="29"/>
                    <w:rPr>
                      <w:color w:val="0000FF"/>
                    </w:rPr>
                  </w:pPr>
                  <w:r>
                    <w:rPr>
                      <w:color w:val="0000FF"/>
                    </w:rPr>
                    <w:t>6</w:t>
                  </w:r>
                </w:p>
              </w:tc>
              <w:tc>
                <w:tcPr>
                  <w:tcW w:w="1794" w:type="dxa"/>
                  <w:vAlign w:val="center"/>
                </w:tcPr>
                <w:p w14:paraId="439898B0">
                  <w:pPr>
                    <w:pStyle w:val="29"/>
                    <w:rPr>
                      <w:color w:val="0000FF"/>
                    </w:rPr>
                  </w:pPr>
                  <w:r>
                    <w:rPr>
                      <w:color w:val="0000FF"/>
                    </w:rPr>
                    <w:t>生活垃圾</w:t>
                  </w:r>
                </w:p>
              </w:tc>
              <w:tc>
                <w:tcPr>
                  <w:tcW w:w="1245" w:type="dxa"/>
                  <w:vAlign w:val="center"/>
                </w:tcPr>
                <w:p w14:paraId="5026797E">
                  <w:pPr>
                    <w:pStyle w:val="29"/>
                    <w:rPr>
                      <w:color w:val="0000FF"/>
                    </w:rPr>
                  </w:pPr>
                  <w:r>
                    <w:rPr>
                      <w:color w:val="0000FF"/>
                    </w:rPr>
                    <w:t>一般固废</w:t>
                  </w:r>
                </w:p>
              </w:tc>
              <w:tc>
                <w:tcPr>
                  <w:tcW w:w="1425" w:type="dxa"/>
                  <w:vAlign w:val="center"/>
                </w:tcPr>
                <w:p w14:paraId="6F0FC3A4">
                  <w:pPr>
                    <w:pStyle w:val="29"/>
                    <w:rPr>
                      <w:color w:val="0000FF"/>
                    </w:rPr>
                  </w:pPr>
                  <w:r>
                    <w:rPr>
                      <w:color w:val="0000FF"/>
                    </w:rPr>
                    <w:t>1.5</w:t>
                  </w:r>
                </w:p>
              </w:tc>
              <w:tc>
                <w:tcPr>
                  <w:tcW w:w="2557" w:type="dxa"/>
                  <w:vAlign w:val="center"/>
                </w:tcPr>
                <w:p w14:paraId="4AD167DC">
                  <w:pPr>
                    <w:pStyle w:val="29"/>
                  </w:pPr>
                  <w:r>
                    <w:t>委托环卫部门定期清运</w:t>
                  </w:r>
                </w:p>
              </w:tc>
            </w:tr>
            <w:tr w14:paraId="1CFA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6" w:type="dxa"/>
                  <w:vAlign w:val="center"/>
                </w:tcPr>
                <w:p w14:paraId="7694EA2B">
                  <w:pPr>
                    <w:pStyle w:val="29"/>
                    <w:rPr>
                      <w:color w:val="0000FF"/>
                    </w:rPr>
                  </w:pPr>
                  <w:r>
                    <w:rPr>
                      <w:color w:val="0000FF"/>
                    </w:rPr>
                    <w:t>7</w:t>
                  </w:r>
                </w:p>
              </w:tc>
              <w:tc>
                <w:tcPr>
                  <w:tcW w:w="1794" w:type="dxa"/>
                  <w:vAlign w:val="center"/>
                </w:tcPr>
                <w:p w14:paraId="49E85999">
                  <w:pPr>
                    <w:pStyle w:val="29"/>
                    <w:rPr>
                      <w:color w:val="0000FF"/>
                    </w:rPr>
                  </w:pPr>
                  <w:r>
                    <w:rPr>
                      <w:color w:val="0000FF"/>
                    </w:rPr>
                    <w:t>废砂滤器</w:t>
                  </w:r>
                </w:p>
              </w:tc>
              <w:tc>
                <w:tcPr>
                  <w:tcW w:w="1245" w:type="dxa"/>
                  <w:shd w:val="clear" w:color="auto" w:fill="auto"/>
                  <w:vAlign w:val="center"/>
                </w:tcPr>
                <w:p w14:paraId="71C224A9">
                  <w:pPr>
                    <w:pStyle w:val="29"/>
                    <w:rPr>
                      <w:color w:val="0000FF"/>
                    </w:rPr>
                  </w:pPr>
                  <w:r>
                    <w:rPr>
                      <w:color w:val="0000FF"/>
                    </w:rPr>
                    <w:t>一般固废</w:t>
                  </w:r>
                </w:p>
              </w:tc>
              <w:tc>
                <w:tcPr>
                  <w:tcW w:w="1425" w:type="dxa"/>
                  <w:vAlign w:val="center"/>
                </w:tcPr>
                <w:p w14:paraId="40055EAE">
                  <w:pPr>
                    <w:pStyle w:val="29"/>
                    <w:rPr>
                      <w:color w:val="0000FF"/>
                    </w:rPr>
                  </w:pPr>
                  <w:r>
                    <w:rPr>
                      <w:color w:val="0000FF"/>
                    </w:rPr>
                    <w:t>0.3</w:t>
                  </w:r>
                </w:p>
              </w:tc>
              <w:tc>
                <w:tcPr>
                  <w:tcW w:w="2557" w:type="dxa"/>
                  <w:vMerge w:val="restart"/>
                  <w:vAlign w:val="center"/>
                </w:tcPr>
                <w:p w14:paraId="290E19A5">
                  <w:pPr>
                    <w:pStyle w:val="29"/>
                  </w:pPr>
                  <w:r>
                    <w:rPr>
                      <w:rFonts w:hint="eastAsia"/>
                      <w:color w:val="0000FF"/>
                    </w:rPr>
                    <w:t>交由原厂家回收处置</w:t>
                  </w:r>
                </w:p>
              </w:tc>
            </w:tr>
            <w:tr w14:paraId="78DC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55D98175">
                  <w:pPr>
                    <w:pStyle w:val="29"/>
                    <w:rPr>
                      <w:color w:val="0000FF"/>
                    </w:rPr>
                  </w:pPr>
                  <w:r>
                    <w:rPr>
                      <w:color w:val="0000FF"/>
                    </w:rPr>
                    <w:t>8</w:t>
                  </w:r>
                </w:p>
              </w:tc>
              <w:tc>
                <w:tcPr>
                  <w:tcW w:w="1794" w:type="dxa"/>
                  <w:vAlign w:val="center"/>
                </w:tcPr>
                <w:p w14:paraId="144854B3">
                  <w:pPr>
                    <w:pStyle w:val="29"/>
                    <w:rPr>
                      <w:color w:val="0000FF"/>
                    </w:rPr>
                  </w:pPr>
                  <w:r>
                    <w:rPr>
                      <w:color w:val="0000FF"/>
                    </w:rPr>
                    <w:t>废活性炭过滤器</w:t>
                  </w:r>
                </w:p>
              </w:tc>
              <w:tc>
                <w:tcPr>
                  <w:tcW w:w="1245" w:type="dxa"/>
                  <w:shd w:val="clear" w:color="auto" w:fill="auto"/>
                  <w:vAlign w:val="center"/>
                </w:tcPr>
                <w:p w14:paraId="35E61FC9">
                  <w:pPr>
                    <w:pStyle w:val="29"/>
                    <w:rPr>
                      <w:color w:val="0000FF"/>
                    </w:rPr>
                  </w:pPr>
                  <w:r>
                    <w:rPr>
                      <w:color w:val="0000FF"/>
                    </w:rPr>
                    <w:t>一般固废</w:t>
                  </w:r>
                </w:p>
              </w:tc>
              <w:tc>
                <w:tcPr>
                  <w:tcW w:w="1425" w:type="dxa"/>
                  <w:vAlign w:val="center"/>
                </w:tcPr>
                <w:p w14:paraId="585E23CE">
                  <w:pPr>
                    <w:pStyle w:val="29"/>
                    <w:rPr>
                      <w:color w:val="0000FF"/>
                    </w:rPr>
                  </w:pPr>
                  <w:r>
                    <w:rPr>
                      <w:color w:val="0000FF"/>
                    </w:rPr>
                    <w:t>0.3</w:t>
                  </w:r>
                </w:p>
              </w:tc>
              <w:tc>
                <w:tcPr>
                  <w:tcW w:w="2557" w:type="dxa"/>
                  <w:vMerge w:val="continue"/>
                  <w:vAlign w:val="center"/>
                </w:tcPr>
                <w:p w14:paraId="2E90821C">
                  <w:pPr>
                    <w:pStyle w:val="29"/>
                  </w:pPr>
                </w:p>
              </w:tc>
            </w:tr>
            <w:tr w14:paraId="7170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326BB5CF">
                  <w:pPr>
                    <w:pStyle w:val="29"/>
                    <w:rPr>
                      <w:color w:val="0000FF"/>
                    </w:rPr>
                  </w:pPr>
                  <w:r>
                    <w:rPr>
                      <w:color w:val="0000FF"/>
                    </w:rPr>
                    <w:t>9</w:t>
                  </w:r>
                </w:p>
              </w:tc>
              <w:tc>
                <w:tcPr>
                  <w:tcW w:w="1794" w:type="dxa"/>
                  <w:vAlign w:val="center"/>
                </w:tcPr>
                <w:p w14:paraId="692AA3EF">
                  <w:pPr>
                    <w:pStyle w:val="29"/>
                    <w:rPr>
                      <w:color w:val="0000FF"/>
                    </w:rPr>
                  </w:pPr>
                  <w:r>
                    <w:rPr>
                      <w:color w:val="0000FF"/>
                    </w:rPr>
                    <w:t>废软化器</w:t>
                  </w:r>
                </w:p>
              </w:tc>
              <w:tc>
                <w:tcPr>
                  <w:tcW w:w="1245" w:type="dxa"/>
                  <w:shd w:val="clear" w:color="auto" w:fill="auto"/>
                  <w:vAlign w:val="center"/>
                </w:tcPr>
                <w:p w14:paraId="23DFEA95">
                  <w:pPr>
                    <w:pStyle w:val="29"/>
                    <w:rPr>
                      <w:color w:val="0000FF"/>
                    </w:rPr>
                  </w:pPr>
                  <w:r>
                    <w:rPr>
                      <w:color w:val="0000FF"/>
                    </w:rPr>
                    <w:t>一般固废</w:t>
                  </w:r>
                </w:p>
              </w:tc>
              <w:tc>
                <w:tcPr>
                  <w:tcW w:w="1425" w:type="dxa"/>
                  <w:vAlign w:val="center"/>
                </w:tcPr>
                <w:p w14:paraId="6037190A">
                  <w:pPr>
                    <w:pStyle w:val="29"/>
                    <w:rPr>
                      <w:color w:val="0000FF"/>
                    </w:rPr>
                  </w:pPr>
                  <w:r>
                    <w:rPr>
                      <w:color w:val="0000FF"/>
                    </w:rPr>
                    <w:t>0.3</w:t>
                  </w:r>
                </w:p>
              </w:tc>
              <w:tc>
                <w:tcPr>
                  <w:tcW w:w="2557" w:type="dxa"/>
                  <w:vMerge w:val="continue"/>
                  <w:vAlign w:val="center"/>
                </w:tcPr>
                <w:p w14:paraId="3CC87657">
                  <w:pPr>
                    <w:pStyle w:val="29"/>
                  </w:pPr>
                </w:p>
              </w:tc>
            </w:tr>
            <w:tr w14:paraId="24A8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14:paraId="0CEB0D67">
                  <w:pPr>
                    <w:pStyle w:val="29"/>
                    <w:rPr>
                      <w:color w:val="0000FF"/>
                    </w:rPr>
                  </w:pPr>
                  <w:r>
                    <w:rPr>
                      <w:color w:val="0000FF"/>
                    </w:rPr>
                    <w:t>10</w:t>
                  </w:r>
                </w:p>
              </w:tc>
              <w:tc>
                <w:tcPr>
                  <w:tcW w:w="1794" w:type="dxa"/>
                  <w:vAlign w:val="center"/>
                </w:tcPr>
                <w:p w14:paraId="306DD168">
                  <w:pPr>
                    <w:pStyle w:val="29"/>
                    <w:rPr>
                      <w:color w:val="0000FF"/>
                    </w:rPr>
                  </w:pPr>
                  <w:r>
                    <w:rPr>
                      <w:color w:val="0000FF"/>
                    </w:rPr>
                    <w:t>废RO膜</w:t>
                  </w:r>
                </w:p>
              </w:tc>
              <w:tc>
                <w:tcPr>
                  <w:tcW w:w="1245" w:type="dxa"/>
                  <w:shd w:val="clear" w:color="auto" w:fill="auto"/>
                  <w:vAlign w:val="center"/>
                </w:tcPr>
                <w:p w14:paraId="000743F9">
                  <w:pPr>
                    <w:pStyle w:val="29"/>
                    <w:rPr>
                      <w:color w:val="0000FF"/>
                    </w:rPr>
                  </w:pPr>
                  <w:r>
                    <w:rPr>
                      <w:color w:val="0000FF"/>
                    </w:rPr>
                    <w:t>一般固废</w:t>
                  </w:r>
                </w:p>
              </w:tc>
              <w:tc>
                <w:tcPr>
                  <w:tcW w:w="1425" w:type="dxa"/>
                  <w:vAlign w:val="center"/>
                </w:tcPr>
                <w:p w14:paraId="31C75BFC">
                  <w:pPr>
                    <w:pStyle w:val="29"/>
                    <w:rPr>
                      <w:color w:val="0000FF"/>
                    </w:rPr>
                  </w:pPr>
                  <w:r>
                    <w:rPr>
                      <w:color w:val="0000FF"/>
                    </w:rPr>
                    <w:t>0.2</w:t>
                  </w:r>
                </w:p>
              </w:tc>
              <w:tc>
                <w:tcPr>
                  <w:tcW w:w="2557" w:type="dxa"/>
                  <w:vMerge w:val="continue"/>
                  <w:vAlign w:val="center"/>
                </w:tcPr>
                <w:p w14:paraId="482092B0">
                  <w:pPr>
                    <w:pStyle w:val="29"/>
                  </w:pPr>
                </w:p>
              </w:tc>
            </w:tr>
          </w:tbl>
          <w:p w14:paraId="65514591">
            <w:pPr>
              <w:ind w:firstLine="482"/>
              <w:rPr>
                <w:b/>
                <w:bCs/>
              </w:rPr>
            </w:pPr>
            <w:r>
              <w:rPr>
                <w:rFonts w:hint="eastAsia"/>
                <w:b/>
                <w:bCs/>
              </w:rPr>
              <w:t>环境管理要求：</w:t>
            </w:r>
          </w:p>
          <w:p w14:paraId="79E6C415">
            <w:r>
              <w:rPr>
                <w:rFonts w:hint="eastAsia"/>
              </w:rPr>
              <w:t>项目一般固体废物存放一般固废暂存间，暂存场地的设置应符合《一般工业固体废物贮存和填埋污染控制标准》（GB18599-2020）中的规定。一般固废暂存间设置要求做到以下几点：</w:t>
            </w:r>
          </w:p>
          <w:p w14:paraId="24FD55DD">
            <w:r>
              <w:rPr>
                <w:rFonts w:hint="eastAsia"/>
              </w:rPr>
              <w:t>① 应选在满足承载力要求的地基上，以避免地基下沉的影响，特别是不均匀或局部下沉的影响。</w:t>
            </w:r>
          </w:p>
          <w:p w14:paraId="25D3B90F">
            <w:r>
              <w:rPr>
                <w:rFonts w:hint="eastAsia"/>
              </w:rPr>
              <w:t>② 为防止雨水径流进入贮存、处置场内，避免渗滤液量增加和滑坡，贮存、处置场周边应设置导流渠。</w:t>
            </w:r>
          </w:p>
          <w:p w14:paraId="466F29A6">
            <w:r>
              <w:rPr>
                <w:rFonts w:hint="eastAsia"/>
              </w:rPr>
              <w:t>③ 一般工业固体废物贮存、处置场，禁止危险废物和生活垃圾混入。</w:t>
            </w:r>
          </w:p>
          <w:p w14:paraId="319D9DCC">
            <w:r>
              <w:rPr>
                <w:rFonts w:hint="eastAsia"/>
              </w:rPr>
              <w:t>④ 贮存、处置场的环境保护图形标志，应按GB15562.2规定进行检查和维护。</w:t>
            </w:r>
          </w:p>
          <w:p w14:paraId="06BB6272">
            <w:pPr>
              <w:ind w:firstLine="482"/>
              <w:rPr>
                <w:b/>
                <w:bCs/>
              </w:rPr>
            </w:pPr>
            <w:r>
              <w:rPr>
                <w:rFonts w:hint="eastAsia"/>
                <w:b/>
                <w:bCs/>
              </w:rPr>
              <w:t>5、地下水、土壤环境</w:t>
            </w:r>
          </w:p>
          <w:p w14:paraId="5DBC5FE4">
            <w:r>
              <w:rPr>
                <w:rFonts w:hint="eastAsia"/>
              </w:rPr>
              <w:t>（1）土壤、地下水污染源</w:t>
            </w:r>
          </w:p>
          <w:p w14:paraId="1EB79BAD">
            <w:r>
              <w:rPr>
                <w:rFonts w:hint="eastAsia"/>
              </w:rPr>
              <w:t>本项目土壤、地下水污染源主要为生产区。</w:t>
            </w:r>
          </w:p>
          <w:p w14:paraId="04DBFA44">
            <w:r>
              <w:rPr>
                <w:rFonts w:hint="eastAsia"/>
              </w:rPr>
              <w:t>（2）污染物类型及污染途径</w:t>
            </w:r>
          </w:p>
          <w:p w14:paraId="061CC1F2">
            <w:pPr>
              <w:pStyle w:val="32"/>
              <w:rPr>
                <w:rFonts w:hint="default"/>
              </w:rPr>
            </w:pPr>
            <w:r>
              <w:t>表4-16  本项目土壤、地下水污染物类型及途径一览表</w:t>
            </w:r>
          </w:p>
          <w:tbl>
            <w:tblPr>
              <w:tblStyle w:val="22"/>
              <w:tblW w:w="7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161"/>
              <w:gridCol w:w="3684"/>
            </w:tblGrid>
            <w:tr w14:paraId="6875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3" w:type="dxa"/>
                  <w:vAlign w:val="center"/>
                </w:tcPr>
                <w:p w14:paraId="18492015">
                  <w:pPr>
                    <w:pStyle w:val="29"/>
                  </w:pPr>
                  <w:r>
                    <w:rPr>
                      <w:rFonts w:hint="eastAsia"/>
                    </w:rPr>
                    <w:t>序号</w:t>
                  </w:r>
                </w:p>
              </w:tc>
              <w:tc>
                <w:tcPr>
                  <w:tcW w:w="3161" w:type="dxa"/>
                  <w:vAlign w:val="center"/>
                </w:tcPr>
                <w:p w14:paraId="48607DD3">
                  <w:pPr>
                    <w:pStyle w:val="29"/>
                  </w:pPr>
                  <w:r>
                    <w:rPr>
                      <w:rFonts w:hint="eastAsia"/>
                    </w:rPr>
                    <w:t>污染物类型</w:t>
                  </w:r>
                </w:p>
              </w:tc>
              <w:tc>
                <w:tcPr>
                  <w:tcW w:w="3684" w:type="dxa"/>
                  <w:vAlign w:val="center"/>
                </w:tcPr>
                <w:p w14:paraId="38C7EA55">
                  <w:pPr>
                    <w:pStyle w:val="29"/>
                  </w:pPr>
                  <w:r>
                    <w:rPr>
                      <w:rFonts w:hint="eastAsia"/>
                    </w:rPr>
                    <w:t>污染途径</w:t>
                  </w:r>
                </w:p>
              </w:tc>
            </w:tr>
            <w:tr w14:paraId="58C7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3" w:type="dxa"/>
                  <w:vAlign w:val="center"/>
                </w:tcPr>
                <w:p w14:paraId="03B56DE8">
                  <w:pPr>
                    <w:pStyle w:val="29"/>
                  </w:pPr>
                  <w:r>
                    <w:rPr>
                      <w:rFonts w:hint="eastAsia"/>
                    </w:rPr>
                    <w:t>1</w:t>
                  </w:r>
                </w:p>
              </w:tc>
              <w:tc>
                <w:tcPr>
                  <w:tcW w:w="3161" w:type="dxa"/>
                  <w:vAlign w:val="center"/>
                </w:tcPr>
                <w:p w14:paraId="62460AFC">
                  <w:pPr>
                    <w:pStyle w:val="29"/>
                  </w:pPr>
                  <w:r>
                    <w:rPr>
                      <w:rFonts w:hint="eastAsia"/>
                    </w:rPr>
                    <w:t>生产区</w:t>
                  </w:r>
                </w:p>
              </w:tc>
              <w:tc>
                <w:tcPr>
                  <w:tcW w:w="3684" w:type="dxa"/>
                  <w:vAlign w:val="center"/>
                </w:tcPr>
                <w:p w14:paraId="34205E1C">
                  <w:pPr>
                    <w:pStyle w:val="29"/>
                  </w:pPr>
                  <w:r>
                    <w:rPr>
                      <w:rFonts w:hint="eastAsia"/>
                    </w:rPr>
                    <w:t>操作、管理不当等引起泄漏</w:t>
                  </w:r>
                </w:p>
              </w:tc>
            </w:tr>
          </w:tbl>
          <w:p w14:paraId="6894FFC6">
            <w:r>
              <w:rPr>
                <w:rFonts w:hint="eastAsia"/>
              </w:rPr>
              <w:t>（3）防控措施</w:t>
            </w:r>
          </w:p>
          <w:p w14:paraId="372543AB">
            <w:r>
              <w:t>为了防止建设项目</w:t>
            </w:r>
            <w:r>
              <w:rPr>
                <w:rFonts w:hint="eastAsia"/>
              </w:rPr>
              <w:t>生产废水</w:t>
            </w:r>
            <w:r>
              <w:t>对地下水和土壤造成污染，对厂区内可能泄漏污染物的污染区地面进行防渗处理，并及时地将泄漏、渗漏的污染物收集起来进行处理，可有效防止洒落地面的污染物渗入地下。根据国家相关标准和规范，结合目前施工过程中的可操作性和技术水平，针对</w:t>
            </w:r>
            <w:r>
              <w:rPr>
                <w:rFonts w:hint="eastAsia"/>
              </w:rPr>
              <w:t>不同</w:t>
            </w:r>
            <w:r>
              <w:t>的污染防治区域采用不同的防渗措施，在具体设计中应根据实际情况在满足防渗标准的前提下</w:t>
            </w:r>
            <w:r>
              <w:rPr>
                <w:rFonts w:hint="eastAsia"/>
              </w:rPr>
              <w:t>做必要</w:t>
            </w:r>
            <w:r>
              <w:t>调整。</w:t>
            </w:r>
          </w:p>
          <w:p w14:paraId="2BA1D0D0">
            <w:r>
              <w:t>针对地下水、土壤可能出现的污染环节，按照“源头控制、分区防控、污染监控、应急响应”的地下水环境保护原则，参照</w:t>
            </w:r>
            <w:r>
              <w:rPr>
                <w:rFonts w:hint="eastAsia"/>
              </w:rPr>
              <w:t>（</w:t>
            </w:r>
            <w:r>
              <w:t>HJ610-2016</w:t>
            </w:r>
            <w:r>
              <w:rPr>
                <w:rFonts w:hint="eastAsia"/>
              </w:rPr>
              <w:t>）</w:t>
            </w:r>
            <w:r>
              <w:t>中地下水污染防渗分区要求，企业将场区划分为重点防渗区、一般防渗区和简单防渗区，建设项目污染地下水途径及防治措施一览表见下表。</w:t>
            </w:r>
          </w:p>
          <w:p w14:paraId="79D47F4B">
            <w:pPr>
              <w:pStyle w:val="32"/>
              <w:rPr>
                <w:rFonts w:hint="default"/>
              </w:rPr>
            </w:pPr>
            <w:r>
              <w:t>表4-17  建设项目污染地下水途径及防治措施一览表</w:t>
            </w:r>
          </w:p>
          <w:tbl>
            <w:tblPr>
              <w:tblStyle w:val="22"/>
              <w:tblW w:w="7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1380"/>
              <w:gridCol w:w="1140"/>
              <w:gridCol w:w="1035"/>
              <w:gridCol w:w="2520"/>
              <w:gridCol w:w="762"/>
            </w:tblGrid>
            <w:tr w14:paraId="5C9A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Align w:val="center"/>
                </w:tcPr>
                <w:p w14:paraId="6824683D">
                  <w:pPr>
                    <w:pStyle w:val="29"/>
                  </w:pPr>
                  <w:r>
                    <w:t>防渗分区</w:t>
                  </w:r>
                </w:p>
              </w:tc>
              <w:tc>
                <w:tcPr>
                  <w:tcW w:w="1380" w:type="dxa"/>
                  <w:vAlign w:val="center"/>
                </w:tcPr>
                <w:p w14:paraId="57BFE013">
                  <w:pPr>
                    <w:pStyle w:val="29"/>
                  </w:pPr>
                  <w:r>
                    <w:t>天然包气带防污性能</w:t>
                  </w:r>
                </w:p>
              </w:tc>
              <w:tc>
                <w:tcPr>
                  <w:tcW w:w="1140" w:type="dxa"/>
                  <w:vAlign w:val="center"/>
                </w:tcPr>
                <w:p w14:paraId="770412AA">
                  <w:pPr>
                    <w:pStyle w:val="29"/>
                  </w:pPr>
                  <w:r>
                    <w:t>污染控制难易程度</w:t>
                  </w:r>
                </w:p>
              </w:tc>
              <w:tc>
                <w:tcPr>
                  <w:tcW w:w="1035" w:type="dxa"/>
                  <w:vAlign w:val="center"/>
                </w:tcPr>
                <w:p w14:paraId="724CF4D2">
                  <w:pPr>
                    <w:pStyle w:val="29"/>
                  </w:pPr>
                  <w:r>
                    <w:t>污染物类型</w:t>
                  </w:r>
                </w:p>
              </w:tc>
              <w:tc>
                <w:tcPr>
                  <w:tcW w:w="2520" w:type="dxa"/>
                  <w:vAlign w:val="center"/>
                </w:tcPr>
                <w:p w14:paraId="0D59203E">
                  <w:pPr>
                    <w:pStyle w:val="29"/>
                  </w:pPr>
                  <w:r>
                    <w:t>防渗技术要求</w:t>
                  </w:r>
                </w:p>
              </w:tc>
              <w:tc>
                <w:tcPr>
                  <w:tcW w:w="762" w:type="dxa"/>
                  <w:vAlign w:val="center"/>
                </w:tcPr>
                <w:p w14:paraId="2F36990E">
                  <w:pPr>
                    <w:pStyle w:val="29"/>
                  </w:pPr>
                  <w:r>
                    <w:t>建设项目</w:t>
                  </w:r>
                </w:p>
              </w:tc>
            </w:tr>
            <w:tr w14:paraId="5AC0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Merge w:val="restart"/>
                  <w:vAlign w:val="center"/>
                </w:tcPr>
                <w:p w14:paraId="2E354E17">
                  <w:pPr>
                    <w:pStyle w:val="29"/>
                  </w:pPr>
                  <w:r>
                    <w:t>重点防渗区</w:t>
                  </w:r>
                </w:p>
              </w:tc>
              <w:tc>
                <w:tcPr>
                  <w:tcW w:w="1380" w:type="dxa"/>
                  <w:vAlign w:val="center"/>
                </w:tcPr>
                <w:p w14:paraId="4E01A438">
                  <w:pPr>
                    <w:pStyle w:val="29"/>
                  </w:pPr>
                  <w:r>
                    <w:t>弱</w:t>
                  </w:r>
                </w:p>
              </w:tc>
              <w:tc>
                <w:tcPr>
                  <w:tcW w:w="1140" w:type="dxa"/>
                  <w:vAlign w:val="center"/>
                </w:tcPr>
                <w:p w14:paraId="3005C658">
                  <w:pPr>
                    <w:pStyle w:val="29"/>
                  </w:pPr>
                  <w:r>
                    <w:t>难</w:t>
                  </w:r>
                </w:p>
              </w:tc>
              <w:tc>
                <w:tcPr>
                  <w:tcW w:w="1035" w:type="dxa"/>
                  <w:vMerge w:val="restart"/>
                  <w:vAlign w:val="center"/>
                </w:tcPr>
                <w:p w14:paraId="6896FB2D">
                  <w:pPr>
                    <w:pStyle w:val="29"/>
                  </w:pPr>
                  <w:r>
                    <w:rPr>
                      <w:rFonts w:hint="eastAsia"/>
                    </w:rPr>
                    <w:t>油脂类</w:t>
                  </w:r>
                  <w:r>
                    <w:t>污染物</w:t>
                  </w:r>
                </w:p>
              </w:tc>
              <w:tc>
                <w:tcPr>
                  <w:tcW w:w="2520" w:type="dxa"/>
                  <w:vMerge w:val="restart"/>
                  <w:vAlign w:val="center"/>
                </w:tcPr>
                <w:p w14:paraId="032EEC0E">
                  <w:pPr>
                    <w:pStyle w:val="29"/>
                  </w:pPr>
                  <w:r>
                    <w:t>等效黏土防渗层Mb≥6.0m，K≤1×10</w:t>
                  </w:r>
                  <w:r>
                    <w:rPr>
                      <w:vertAlign w:val="superscript"/>
                    </w:rPr>
                    <w:t>-</w:t>
                  </w:r>
                  <w:r>
                    <w:rPr>
                      <w:rFonts w:hint="eastAsia"/>
                      <w:vertAlign w:val="superscript"/>
                    </w:rPr>
                    <w:t>7</w:t>
                  </w:r>
                  <w:r>
                    <w:t>cm/s；或参照GB18598执行</w:t>
                  </w:r>
                </w:p>
              </w:tc>
              <w:tc>
                <w:tcPr>
                  <w:tcW w:w="762" w:type="dxa"/>
                  <w:vMerge w:val="restart"/>
                  <w:vAlign w:val="center"/>
                </w:tcPr>
                <w:p w14:paraId="3A228E7B">
                  <w:pPr>
                    <w:pStyle w:val="29"/>
                  </w:pPr>
                  <w:r>
                    <w:rPr>
                      <w:rFonts w:hint="eastAsia"/>
                      <w:color w:val="0000FF"/>
                    </w:rPr>
                    <w:t>污水处理站、事故应急池</w:t>
                  </w:r>
                </w:p>
              </w:tc>
            </w:tr>
            <w:tr w14:paraId="2999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Merge w:val="continue"/>
                  <w:vAlign w:val="center"/>
                </w:tcPr>
                <w:p w14:paraId="34EEDA4D">
                  <w:pPr>
                    <w:pStyle w:val="29"/>
                  </w:pPr>
                </w:p>
              </w:tc>
              <w:tc>
                <w:tcPr>
                  <w:tcW w:w="1380" w:type="dxa"/>
                  <w:vAlign w:val="center"/>
                </w:tcPr>
                <w:p w14:paraId="4A399EBA">
                  <w:pPr>
                    <w:pStyle w:val="29"/>
                  </w:pPr>
                  <w:r>
                    <w:t>中-强</w:t>
                  </w:r>
                </w:p>
              </w:tc>
              <w:tc>
                <w:tcPr>
                  <w:tcW w:w="1140" w:type="dxa"/>
                  <w:vAlign w:val="center"/>
                </w:tcPr>
                <w:p w14:paraId="1F8B2ED9">
                  <w:pPr>
                    <w:pStyle w:val="29"/>
                  </w:pPr>
                  <w:r>
                    <w:t>难</w:t>
                  </w:r>
                </w:p>
              </w:tc>
              <w:tc>
                <w:tcPr>
                  <w:tcW w:w="1035" w:type="dxa"/>
                  <w:vMerge w:val="continue"/>
                  <w:vAlign w:val="center"/>
                </w:tcPr>
                <w:p w14:paraId="3990F62D">
                  <w:pPr>
                    <w:pStyle w:val="29"/>
                  </w:pPr>
                </w:p>
              </w:tc>
              <w:tc>
                <w:tcPr>
                  <w:tcW w:w="2520" w:type="dxa"/>
                  <w:vMerge w:val="continue"/>
                  <w:vAlign w:val="center"/>
                </w:tcPr>
                <w:p w14:paraId="0940F0CC">
                  <w:pPr>
                    <w:pStyle w:val="29"/>
                  </w:pPr>
                </w:p>
              </w:tc>
              <w:tc>
                <w:tcPr>
                  <w:tcW w:w="762" w:type="dxa"/>
                  <w:vMerge w:val="continue"/>
                  <w:vAlign w:val="center"/>
                </w:tcPr>
                <w:p w14:paraId="1B626A6C">
                  <w:pPr>
                    <w:pStyle w:val="29"/>
                  </w:pPr>
                </w:p>
              </w:tc>
            </w:tr>
            <w:tr w14:paraId="0FDD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Merge w:val="continue"/>
                  <w:vAlign w:val="center"/>
                </w:tcPr>
                <w:p w14:paraId="00E0FBF1">
                  <w:pPr>
                    <w:pStyle w:val="29"/>
                  </w:pPr>
                </w:p>
              </w:tc>
              <w:tc>
                <w:tcPr>
                  <w:tcW w:w="1380" w:type="dxa"/>
                  <w:vAlign w:val="center"/>
                </w:tcPr>
                <w:p w14:paraId="522E0951">
                  <w:pPr>
                    <w:pStyle w:val="29"/>
                  </w:pPr>
                  <w:r>
                    <w:t>强</w:t>
                  </w:r>
                </w:p>
              </w:tc>
              <w:tc>
                <w:tcPr>
                  <w:tcW w:w="1140" w:type="dxa"/>
                  <w:vAlign w:val="center"/>
                </w:tcPr>
                <w:p w14:paraId="4B284E2E">
                  <w:pPr>
                    <w:pStyle w:val="29"/>
                  </w:pPr>
                  <w:r>
                    <w:t>易</w:t>
                  </w:r>
                </w:p>
              </w:tc>
              <w:tc>
                <w:tcPr>
                  <w:tcW w:w="1035" w:type="dxa"/>
                  <w:vMerge w:val="continue"/>
                  <w:vAlign w:val="center"/>
                </w:tcPr>
                <w:p w14:paraId="644C1346">
                  <w:pPr>
                    <w:pStyle w:val="29"/>
                  </w:pPr>
                </w:p>
              </w:tc>
              <w:tc>
                <w:tcPr>
                  <w:tcW w:w="2520" w:type="dxa"/>
                  <w:vMerge w:val="continue"/>
                  <w:vAlign w:val="center"/>
                </w:tcPr>
                <w:p w14:paraId="558C5918">
                  <w:pPr>
                    <w:pStyle w:val="29"/>
                  </w:pPr>
                </w:p>
              </w:tc>
              <w:tc>
                <w:tcPr>
                  <w:tcW w:w="762" w:type="dxa"/>
                  <w:vMerge w:val="continue"/>
                  <w:vAlign w:val="center"/>
                </w:tcPr>
                <w:p w14:paraId="0442C072">
                  <w:pPr>
                    <w:pStyle w:val="29"/>
                  </w:pPr>
                </w:p>
              </w:tc>
            </w:tr>
            <w:tr w14:paraId="1BAE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jc w:val="center"/>
              </w:trPr>
              <w:tc>
                <w:tcPr>
                  <w:tcW w:w="859" w:type="dxa"/>
                  <w:vMerge w:val="restart"/>
                  <w:vAlign w:val="center"/>
                </w:tcPr>
                <w:p w14:paraId="3E27838A">
                  <w:pPr>
                    <w:pStyle w:val="29"/>
                  </w:pPr>
                  <w:r>
                    <w:t>一般防渗区</w:t>
                  </w:r>
                </w:p>
              </w:tc>
              <w:tc>
                <w:tcPr>
                  <w:tcW w:w="1380" w:type="dxa"/>
                  <w:vAlign w:val="center"/>
                </w:tcPr>
                <w:p w14:paraId="0CEE1622">
                  <w:pPr>
                    <w:pStyle w:val="29"/>
                  </w:pPr>
                  <w:r>
                    <w:t>弱</w:t>
                  </w:r>
                </w:p>
              </w:tc>
              <w:tc>
                <w:tcPr>
                  <w:tcW w:w="1140" w:type="dxa"/>
                  <w:vAlign w:val="center"/>
                </w:tcPr>
                <w:p w14:paraId="24D3D764">
                  <w:pPr>
                    <w:pStyle w:val="29"/>
                  </w:pPr>
                  <w:r>
                    <w:t>易</w:t>
                  </w:r>
                </w:p>
              </w:tc>
              <w:tc>
                <w:tcPr>
                  <w:tcW w:w="1035" w:type="dxa"/>
                  <w:vMerge w:val="restart"/>
                  <w:vAlign w:val="center"/>
                </w:tcPr>
                <w:p w14:paraId="6DFAE447">
                  <w:pPr>
                    <w:pStyle w:val="29"/>
                  </w:pPr>
                  <w:r>
                    <w:t>其他类型</w:t>
                  </w:r>
                </w:p>
              </w:tc>
              <w:tc>
                <w:tcPr>
                  <w:tcW w:w="2520" w:type="dxa"/>
                  <w:vMerge w:val="restart"/>
                  <w:vAlign w:val="center"/>
                </w:tcPr>
                <w:p w14:paraId="4D146689">
                  <w:pPr>
                    <w:pStyle w:val="29"/>
                  </w:pPr>
                  <w:r>
                    <w:t>等效黏土防渗层Mb≥1.5m，K≤1×10</w:t>
                  </w:r>
                  <w:r>
                    <w:rPr>
                      <w:rFonts w:hint="eastAsia"/>
                    </w:rPr>
                    <w:t>-</w:t>
                  </w:r>
                  <w:r>
                    <w:rPr>
                      <w:vertAlign w:val="superscript"/>
                    </w:rPr>
                    <w:t>7</w:t>
                  </w:r>
                  <w:r>
                    <w:t>cm/s；或参照GB16889执行</w:t>
                  </w:r>
                </w:p>
              </w:tc>
              <w:tc>
                <w:tcPr>
                  <w:tcW w:w="762" w:type="dxa"/>
                  <w:vMerge w:val="restart"/>
                  <w:vAlign w:val="center"/>
                </w:tcPr>
                <w:p w14:paraId="22AE8198">
                  <w:pPr>
                    <w:pStyle w:val="29"/>
                  </w:pPr>
                  <w:r>
                    <w:rPr>
                      <w:rFonts w:hint="eastAsia"/>
                    </w:rPr>
                    <w:t>生产区</w:t>
                  </w:r>
                </w:p>
              </w:tc>
            </w:tr>
            <w:tr w14:paraId="743E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Merge w:val="continue"/>
                  <w:vAlign w:val="center"/>
                </w:tcPr>
                <w:p w14:paraId="0C97A01F">
                  <w:pPr>
                    <w:pStyle w:val="29"/>
                  </w:pPr>
                </w:p>
              </w:tc>
              <w:tc>
                <w:tcPr>
                  <w:tcW w:w="1380" w:type="dxa"/>
                  <w:vAlign w:val="center"/>
                </w:tcPr>
                <w:p w14:paraId="2FE67A50">
                  <w:pPr>
                    <w:pStyle w:val="29"/>
                  </w:pPr>
                  <w:r>
                    <w:t>中-强</w:t>
                  </w:r>
                </w:p>
              </w:tc>
              <w:tc>
                <w:tcPr>
                  <w:tcW w:w="1140" w:type="dxa"/>
                  <w:vAlign w:val="center"/>
                </w:tcPr>
                <w:p w14:paraId="37EF199E">
                  <w:pPr>
                    <w:pStyle w:val="29"/>
                  </w:pPr>
                  <w:r>
                    <w:t>易-难</w:t>
                  </w:r>
                </w:p>
              </w:tc>
              <w:tc>
                <w:tcPr>
                  <w:tcW w:w="1035" w:type="dxa"/>
                  <w:vMerge w:val="continue"/>
                  <w:vAlign w:val="center"/>
                </w:tcPr>
                <w:p w14:paraId="6AB691F8">
                  <w:pPr>
                    <w:pStyle w:val="29"/>
                  </w:pPr>
                </w:p>
              </w:tc>
              <w:tc>
                <w:tcPr>
                  <w:tcW w:w="2520" w:type="dxa"/>
                  <w:vMerge w:val="continue"/>
                  <w:vAlign w:val="center"/>
                </w:tcPr>
                <w:p w14:paraId="790AD38C">
                  <w:pPr>
                    <w:pStyle w:val="29"/>
                  </w:pPr>
                </w:p>
              </w:tc>
              <w:tc>
                <w:tcPr>
                  <w:tcW w:w="762" w:type="dxa"/>
                  <w:vMerge w:val="continue"/>
                  <w:vAlign w:val="center"/>
                </w:tcPr>
                <w:p w14:paraId="2F6296C0">
                  <w:pPr>
                    <w:pStyle w:val="29"/>
                  </w:pPr>
                </w:p>
              </w:tc>
            </w:tr>
            <w:tr w14:paraId="6D612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Merge w:val="continue"/>
                  <w:vAlign w:val="center"/>
                </w:tcPr>
                <w:p w14:paraId="0A5325F3">
                  <w:pPr>
                    <w:pStyle w:val="29"/>
                  </w:pPr>
                </w:p>
              </w:tc>
              <w:tc>
                <w:tcPr>
                  <w:tcW w:w="1380" w:type="dxa"/>
                  <w:vAlign w:val="center"/>
                </w:tcPr>
                <w:p w14:paraId="32E39772">
                  <w:pPr>
                    <w:pStyle w:val="29"/>
                  </w:pPr>
                  <w:r>
                    <w:t>中</w:t>
                  </w:r>
                </w:p>
              </w:tc>
              <w:tc>
                <w:tcPr>
                  <w:tcW w:w="1140" w:type="dxa"/>
                  <w:vAlign w:val="center"/>
                </w:tcPr>
                <w:p w14:paraId="6035C4C8">
                  <w:pPr>
                    <w:pStyle w:val="29"/>
                  </w:pPr>
                  <w:r>
                    <w:t>易</w:t>
                  </w:r>
                </w:p>
              </w:tc>
              <w:tc>
                <w:tcPr>
                  <w:tcW w:w="1035" w:type="dxa"/>
                  <w:vMerge w:val="restart"/>
                  <w:vAlign w:val="center"/>
                </w:tcPr>
                <w:p w14:paraId="09CB1ABB">
                  <w:pPr>
                    <w:pStyle w:val="29"/>
                  </w:pPr>
                  <w:r>
                    <w:t>其他类型</w:t>
                  </w:r>
                </w:p>
              </w:tc>
              <w:tc>
                <w:tcPr>
                  <w:tcW w:w="2520" w:type="dxa"/>
                  <w:vMerge w:val="continue"/>
                  <w:vAlign w:val="center"/>
                </w:tcPr>
                <w:p w14:paraId="4FCD24E4">
                  <w:pPr>
                    <w:pStyle w:val="29"/>
                  </w:pPr>
                </w:p>
              </w:tc>
              <w:tc>
                <w:tcPr>
                  <w:tcW w:w="762" w:type="dxa"/>
                  <w:vMerge w:val="continue"/>
                  <w:vAlign w:val="center"/>
                </w:tcPr>
                <w:p w14:paraId="0C0D1812">
                  <w:pPr>
                    <w:pStyle w:val="29"/>
                  </w:pPr>
                </w:p>
              </w:tc>
            </w:tr>
            <w:tr w14:paraId="4B52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59" w:type="dxa"/>
                  <w:vMerge w:val="continue"/>
                  <w:vAlign w:val="center"/>
                </w:tcPr>
                <w:p w14:paraId="43B4DB03">
                  <w:pPr>
                    <w:pStyle w:val="29"/>
                  </w:pPr>
                </w:p>
              </w:tc>
              <w:tc>
                <w:tcPr>
                  <w:tcW w:w="1380" w:type="dxa"/>
                  <w:vAlign w:val="center"/>
                </w:tcPr>
                <w:p w14:paraId="0C42CD65">
                  <w:pPr>
                    <w:pStyle w:val="29"/>
                  </w:pPr>
                  <w:r>
                    <w:t>强</w:t>
                  </w:r>
                </w:p>
              </w:tc>
              <w:tc>
                <w:tcPr>
                  <w:tcW w:w="1140" w:type="dxa"/>
                  <w:vAlign w:val="center"/>
                </w:tcPr>
                <w:p w14:paraId="79CE6438">
                  <w:pPr>
                    <w:pStyle w:val="29"/>
                  </w:pPr>
                  <w:r>
                    <w:t>易</w:t>
                  </w:r>
                </w:p>
              </w:tc>
              <w:tc>
                <w:tcPr>
                  <w:tcW w:w="1035" w:type="dxa"/>
                  <w:vMerge w:val="continue"/>
                  <w:vAlign w:val="center"/>
                </w:tcPr>
                <w:p w14:paraId="7DE7B1F3">
                  <w:pPr>
                    <w:pStyle w:val="29"/>
                  </w:pPr>
                </w:p>
              </w:tc>
              <w:tc>
                <w:tcPr>
                  <w:tcW w:w="2520" w:type="dxa"/>
                  <w:vMerge w:val="continue"/>
                  <w:vAlign w:val="center"/>
                </w:tcPr>
                <w:p w14:paraId="3CA2AFFD">
                  <w:pPr>
                    <w:pStyle w:val="29"/>
                  </w:pPr>
                </w:p>
              </w:tc>
              <w:tc>
                <w:tcPr>
                  <w:tcW w:w="762" w:type="dxa"/>
                  <w:vMerge w:val="continue"/>
                  <w:vAlign w:val="center"/>
                </w:tcPr>
                <w:p w14:paraId="4846485D">
                  <w:pPr>
                    <w:pStyle w:val="29"/>
                  </w:pPr>
                </w:p>
              </w:tc>
            </w:tr>
          </w:tbl>
          <w:p w14:paraId="478AFE9E">
            <w:r>
              <w:rPr>
                <w:rFonts w:hint="eastAsia"/>
              </w:rPr>
              <w:t>鉴于项目不以地下水作为供水水源，结合项目生产内容、原辅料及产品组成，采取上述措施后，项目的建设对周围地下水、土壤环境影响是可接受的。</w:t>
            </w:r>
          </w:p>
          <w:p w14:paraId="3A56C66B">
            <w:pPr>
              <w:ind w:firstLine="482"/>
              <w:rPr>
                <w:b/>
                <w:bCs/>
              </w:rPr>
            </w:pPr>
            <w:r>
              <w:rPr>
                <w:rFonts w:hint="eastAsia"/>
                <w:b/>
                <w:bCs/>
              </w:rPr>
              <w:t>6、环境风险</w:t>
            </w:r>
          </w:p>
          <w:p w14:paraId="2E06DA9A">
            <w:pPr>
              <w:spacing w:line="460" w:lineRule="exact"/>
              <w:rPr>
                <w:kern w:val="28"/>
              </w:rPr>
            </w:pPr>
            <w:r>
              <w:rPr>
                <w:kern w:val="28"/>
              </w:rPr>
              <w:t>（一）风险等级</w:t>
            </w:r>
          </w:p>
          <w:p w14:paraId="57FD16B8">
            <w:pPr>
              <w:autoSpaceDE w:val="0"/>
              <w:autoSpaceDN w:val="0"/>
              <w:spacing w:line="460" w:lineRule="exact"/>
              <w:rPr>
                <w:kern w:val="28"/>
              </w:rPr>
            </w:pPr>
            <w:r>
              <w:rPr>
                <w:kern w:val="28"/>
              </w:rPr>
              <w:t>根据《建设项目环境风险评价技术导则》（HJ0169-2018）</w:t>
            </w:r>
            <w:r>
              <w:rPr>
                <w:rFonts w:hint="eastAsia"/>
                <w:kern w:val="28"/>
              </w:rPr>
              <w:t>及危险化学品重大危险源辨识（GB 18218-2018）</w:t>
            </w:r>
            <w:r>
              <w:rPr>
                <w:kern w:val="28"/>
              </w:rPr>
              <w:t>，计算所涉及的项目涉及的突然环境事件风险物质的最大存在总量与其在附录B中对应临界量的比值Q。在不同厂区的同一种物质，按其在厂界内的最大存在总量计算。</w:t>
            </w:r>
          </w:p>
          <w:p w14:paraId="235D6358">
            <w:pPr>
              <w:autoSpaceDE w:val="0"/>
              <w:autoSpaceDN w:val="0"/>
              <w:spacing w:line="460" w:lineRule="exact"/>
              <w:rPr>
                <w:kern w:val="28"/>
              </w:rPr>
            </w:pPr>
            <w:r>
              <w:rPr>
                <w:kern w:val="28"/>
              </w:rPr>
              <w:t>当只涉及一种危险物质时，计算该物质的总量与其临界量比值，即为Q；</w:t>
            </w:r>
          </w:p>
          <w:p w14:paraId="50B8D9EB">
            <w:pPr>
              <w:autoSpaceDE w:val="0"/>
              <w:autoSpaceDN w:val="0"/>
              <w:spacing w:line="460" w:lineRule="exact"/>
              <w:rPr>
                <w:kern w:val="28"/>
              </w:rPr>
            </w:pPr>
            <w:r>
              <w:rPr>
                <w:kern w:val="28"/>
              </w:rPr>
              <w:t>当存在多种危险物质时，则按下</w:t>
            </w:r>
            <w:r>
              <w:rPr>
                <w:rFonts w:hint="eastAsia"/>
                <w:kern w:val="28"/>
              </w:rPr>
              <w:t>式</w:t>
            </w:r>
            <w:r>
              <w:rPr>
                <w:kern w:val="28"/>
              </w:rPr>
              <w:t>计算物质总量与其临界量比值（Q）：</w:t>
            </w:r>
          </w:p>
          <w:p w14:paraId="5E8CF9FD">
            <w:pPr>
              <w:autoSpaceDE w:val="0"/>
              <w:autoSpaceDN w:val="0"/>
              <w:adjustRightInd w:val="0"/>
              <w:snapToGrid w:val="0"/>
              <w:jc w:val="center"/>
              <w:rPr>
                <w:rFonts w:eastAsia="F1"/>
                <w:kern w:val="28"/>
              </w:rPr>
            </w:pPr>
            <w:r>
              <w:rPr>
                <w:rFonts w:eastAsia="F1"/>
                <w:kern w:val="28"/>
              </w:rPr>
              <w:drawing>
                <wp:inline distT="0" distB="0" distL="114300" distR="114300">
                  <wp:extent cx="1590675" cy="438150"/>
                  <wp:effectExtent l="0" t="0" r="9525" b="0"/>
                  <wp:docPr id="9"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56"/>
                          <pic:cNvPicPr>
                            <a:picLocks noChangeAspect="1"/>
                          </pic:cNvPicPr>
                        </pic:nvPicPr>
                        <pic:blipFill>
                          <a:blip r:embed="rId49"/>
                          <a:stretch>
                            <a:fillRect/>
                          </a:stretch>
                        </pic:blipFill>
                        <pic:spPr>
                          <a:xfrm>
                            <a:off x="0" y="0"/>
                            <a:ext cx="1590675" cy="438150"/>
                          </a:xfrm>
                          <a:prstGeom prst="rect">
                            <a:avLst/>
                          </a:prstGeom>
                          <a:noFill/>
                          <a:ln>
                            <a:noFill/>
                          </a:ln>
                        </pic:spPr>
                      </pic:pic>
                    </a:graphicData>
                  </a:graphic>
                </wp:inline>
              </w:drawing>
            </w:r>
          </w:p>
          <w:p w14:paraId="615F5525">
            <w:pPr>
              <w:autoSpaceDE w:val="0"/>
              <w:autoSpaceDN w:val="0"/>
              <w:spacing w:line="460" w:lineRule="exact"/>
              <w:rPr>
                <w:kern w:val="28"/>
              </w:rPr>
            </w:pPr>
            <w:r>
              <w:rPr>
                <w:kern w:val="28"/>
              </w:rPr>
              <w:t>式中：q</w:t>
            </w:r>
            <w:r>
              <w:rPr>
                <w:kern w:val="28"/>
                <w:vertAlign w:val="subscript"/>
              </w:rPr>
              <w:t>1</w:t>
            </w:r>
            <w:r>
              <w:rPr>
                <w:kern w:val="28"/>
              </w:rPr>
              <w:t>，q</w:t>
            </w:r>
            <w:r>
              <w:rPr>
                <w:kern w:val="28"/>
                <w:vertAlign w:val="subscript"/>
              </w:rPr>
              <w:t>2</w:t>
            </w:r>
            <w:r>
              <w:rPr>
                <w:kern w:val="28"/>
              </w:rPr>
              <w:t>，…，q</w:t>
            </w:r>
            <w:r>
              <w:rPr>
                <w:kern w:val="28"/>
                <w:vertAlign w:val="subscript"/>
              </w:rPr>
              <w:t>n</w:t>
            </w:r>
            <w:r>
              <w:rPr>
                <w:kern w:val="28"/>
              </w:rPr>
              <w:t>——每种危险物质的最大存在总量，t；</w:t>
            </w:r>
          </w:p>
          <w:p w14:paraId="21525E69">
            <w:pPr>
              <w:autoSpaceDE w:val="0"/>
              <w:autoSpaceDN w:val="0"/>
              <w:spacing w:line="460" w:lineRule="exact"/>
              <w:ind w:firstLine="1200" w:firstLineChars="500"/>
              <w:rPr>
                <w:kern w:val="28"/>
              </w:rPr>
            </w:pPr>
            <w:r>
              <w:rPr>
                <w:kern w:val="28"/>
              </w:rPr>
              <w:t>Q</w:t>
            </w:r>
            <w:r>
              <w:rPr>
                <w:kern w:val="28"/>
                <w:vertAlign w:val="subscript"/>
              </w:rPr>
              <w:t>1</w:t>
            </w:r>
            <w:r>
              <w:rPr>
                <w:kern w:val="28"/>
              </w:rPr>
              <w:t>，Q</w:t>
            </w:r>
            <w:r>
              <w:rPr>
                <w:kern w:val="28"/>
                <w:vertAlign w:val="subscript"/>
              </w:rPr>
              <w:t>2</w:t>
            </w:r>
            <w:r>
              <w:rPr>
                <w:kern w:val="28"/>
              </w:rPr>
              <w:t>，…，Q</w:t>
            </w:r>
            <w:r>
              <w:rPr>
                <w:kern w:val="28"/>
                <w:vertAlign w:val="subscript"/>
              </w:rPr>
              <w:t>n</w:t>
            </w:r>
            <w:r>
              <w:rPr>
                <w:kern w:val="28"/>
              </w:rPr>
              <w:t>——每种危险物质的临界量，t。</w:t>
            </w:r>
          </w:p>
          <w:p w14:paraId="6FFCA02F">
            <w:pPr>
              <w:autoSpaceDE w:val="0"/>
              <w:autoSpaceDN w:val="0"/>
              <w:spacing w:line="460" w:lineRule="exact"/>
              <w:ind w:firstLine="1200" w:firstLineChars="500"/>
              <w:rPr>
                <w:kern w:val="28"/>
              </w:rPr>
            </w:pPr>
            <w:r>
              <w:rPr>
                <w:kern w:val="28"/>
              </w:rPr>
              <w:t>当Q&lt;1时，该项目环境风险潜势为I。</w:t>
            </w:r>
          </w:p>
          <w:p w14:paraId="499A1433">
            <w:pPr>
              <w:autoSpaceDE w:val="0"/>
              <w:autoSpaceDN w:val="0"/>
              <w:spacing w:line="460" w:lineRule="exact"/>
              <w:ind w:firstLine="1200" w:firstLineChars="500"/>
              <w:rPr>
                <w:kern w:val="28"/>
              </w:rPr>
            </w:pPr>
            <w:r>
              <w:rPr>
                <w:kern w:val="28"/>
              </w:rPr>
              <w:t>当Q≥1时，将Q值划分为：</w:t>
            </w:r>
          </w:p>
          <w:p w14:paraId="3705BC5F">
            <w:pPr>
              <w:autoSpaceDE w:val="0"/>
              <w:autoSpaceDN w:val="0"/>
              <w:rPr>
                <w:kern w:val="28"/>
              </w:rPr>
            </w:pPr>
            <w:r>
              <w:rPr>
                <w:kern w:val="28"/>
              </w:rPr>
              <w:t>（1）1≤Q&lt;10；（2）10≤Q&lt;100；（3）Q≥100。</w:t>
            </w:r>
          </w:p>
          <w:p w14:paraId="72186C2A">
            <w:pPr>
              <w:autoSpaceDE w:val="0"/>
              <w:autoSpaceDN w:val="0"/>
              <w:rPr>
                <w:kern w:val="28"/>
              </w:rPr>
            </w:pPr>
            <w:r>
              <w:rPr>
                <w:kern w:val="28"/>
              </w:rPr>
              <w:t>本项目主要的风险物质为</w:t>
            </w:r>
            <w:r>
              <w:rPr>
                <w:rFonts w:hint="eastAsia"/>
                <w:kern w:val="28"/>
              </w:rPr>
              <w:t>消毒片，</w:t>
            </w:r>
            <w:r>
              <w:rPr>
                <w:kern w:val="28"/>
              </w:rPr>
              <w:t>酒精</w:t>
            </w:r>
            <w:r>
              <w:rPr>
                <w:rFonts w:hint="eastAsia"/>
                <w:kern w:val="28"/>
              </w:rPr>
              <w:t>、液化石油气为危险化学品</w:t>
            </w:r>
            <w:r>
              <w:rPr>
                <w:kern w:val="28"/>
              </w:rPr>
              <w:t>。</w:t>
            </w:r>
            <w:r>
              <w:rPr>
                <w:rFonts w:hint="eastAsia"/>
                <w:kern w:val="28"/>
              </w:rPr>
              <w:t>最大储存量</w:t>
            </w:r>
            <w:r>
              <w:rPr>
                <w:kern w:val="28"/>
              </w:rPr>
              <w:t>与临界量比值具体下见。</w:t>
            </w:r>
          </w:p>
          <w:p w14:paraId="2DFA776D">
            <w:pPr>
              <w:spacing w:line="240" w:lineRule="auto"/>
              <w:ind w:firstLine="0" w:firstLineChars="0"/>
              <w:jc w:val="center"/>
              <w:rPr>
                <w:b/>
                <w:bCs/>
                <w:kern w:val="28"/>
              </w:rPr>
            </w:pPr>
            <w:r>
              <w:rPr>
                <w:rFonts w:hint="eastAsia"/>
                <w:b/>
                <w:bCs/>
                <w:kern w:val="28"/>
              </w:rPr>
              <w:t>表4-18  环境风险物质与临界量比值一览表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2185"/>
              <w:gridCol w:w="1237"/>
              <w:gridCol w:w="1688"/>
              <w:gridCol w:w="1353"/>
              <w:gridCol w:w="1092"/>
            </w:tblGrid>
            <w:tr w14:paraId="731E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9" w:type="pct"/>
                  <w:vMerge w:val="restart"/>
                  <w:vAlign w:val="center"/>
                </w:tcPr>
                <w:p w14:paraId="7CC46749">
                  <w:pPr>
                    <w:adjustRightInd w:val="0"/>
                    <w:snapToGrid w:val="0"/>
                    <w:spacing w:line="240" w:lineRule="auto"/>
                    <w:ind w:firstLine="0" w:firstLineChars="0"/>
                    <w:jc w:val="center"/>
                    <w:rPr>
                      <w:bCs/>
                      <w:color w:val="0000FF"/>
                      <w:sz w:val="21"/>
                      <w:szCs w:val="21"/>
                    </w:rPr>
                  </w:pPr>
                  <w:r>
                    <w:rPr>
                      <w:bCs/>
                      <w:color w:val="0000FF"/>
                      <w:sz w:val="21"/>
                      <w:szCs w:val="21"/>
                    </w:rPr>
                    <w:t>序号</w:t>
                  </w:r>
                </w:p>
              </w:tc>
              <w:tc>
                <w:tcPr>
                  <w:tcW w:w="1370" w:type="pct"/>
                  <w:vMerge w:val="restart"/>
                  <w:vAlign w:val="center"/>
                </w:tcPr>
                <w:p w14:paraId="15BB61CB">
                  <w:pPr>
                    <w:adjustRightInd w:val="0"/>
                    <w:snapToGrid w:val="0"/>
                    <w:spacing w:line="240" w:lineRule="auto"/>
                    <w:ind w:firstLine="0" w:firstLineChars="0"/>
                    <w:jc w:val="center"/>
                    <w:rPr>
                      <w:bCs/>
                      <w:color w:val="0000FF"/>
                      <w:sz w:val="21"/>
                      <w:szCs w:val="21"/>
                    </w:rPr>
                  </w:pPr>
                  <w:r>
                    <w:rPr>
                      <w:bCs/>
                      <w:color w:val="0000FF"/>
                      <w:sz w:val="21"/>
                      <w:szCs w:val="21"/>
                    </w:rPr>
                    <w:t>物质名称</w:t>
                  </w:r>
                </w:p>
              </w:tc>
              <w:tc>
                <w:tcPr>
                  <w:tcW w:w="776" w:type="pct"/>
                  <w:vMerge w:val="restart"/>
                  <w:vAlign w:val="center"/>
                </w:tcPr>
                <w:p w14:paraId="50A36F67">
                  <w:pPr>
                    <w:adjustRightInd w:val="0"/>
                    <w:snapToGrid w:val="0"/>
                    <w:spacing w:line="240" w:lineRule="auto"/>
                    <w:ind w:firstLine="0" w:firstLineChars="0"/>
                    <w:jc w:val="center"/>
                    <w:rPr>
                      <w:bCs/>
                      <w:color w:val="0000FF"/>
                      <w:sz w:val="21"/>
                      <w:szCs w:val="21"/>
                    </w:rPr>
                  </w:pPr>
                  <w:r>
                    <w:rPr>
                      <w:rFonts w:hint="eastAsia"/>
                      <w:bCs/>
                      <w:color w:val="0000FF"/>
                      <w:sz w:val="21"/>
                      <w:szCs w:val="21"/>
                    </w:rPr>
                    <w:t>CAS号</w:t>
                  </w:r>
                </w:p>
              </w:tc>
              <w:tc>
                <w:tcPr>
                  <w:tcW w:w="2593" w:type="pct"/>
                  <w:gridSpan w:val="3"/>
                  <w:vAlign w:val="center"/>
                </w:tcPr>
                <w:p w14:paraId="28F5A746">
                  <w:pPr>
                    <w:adjustRightInd w:val="0"/>
                    <w:snapToGrid w:val="0"/>
                    <w:spacing w:line="240" w:lineRule="auto"/>
                    <w:ind w:firstLine="0" w:firstLineChars="0"/>
                    <w:jc w:val="center"/>
                    <w:rPr>
                      <w:bCs/>
                      <w:color w:val="0000FF"/>
                      <w:sz w:val="21"/>
                      <w:szCs w:val="21"/>
                    </w:rPr>
                  </w:pPr>
                  <w:r>
                    <w:rPr>
                      <w:bCs/>
                      <w:color w:val="0000FF"/>
                      <w:sz w:val="21"/>
                      <w:szCs w:val="21"/>
                    </w:rPr>
                    <w:t>全厂</w:t>
                  </w:r>
                </w:p>
              </w:tc>
            </w:tr>
            <w:tr w14:paraId="3AA3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9" w:type="pct"/>
                  <w:vMerge w:val="continue"/>
                  <w:vAlign w:val="center"/>
                </w:tcPr>
                <w:p w14:paraId="04B5C4A0">
                  <w:pPr>
                    <w:adjustRightInd w:val="0"/>
                    <w:snapToGrid w:val="0"/>
                    <w:spacing w:line="240" w:lineRule="auto"/>
                    <w:ind w:firstLine="0" w:firstLineChars="0"/>
                    <w:jc w:val="center"/>
                    <w:rPr>
                      <w:bCs/>
                      <w:color w:val="0000FF"/>
                      <w:sz w:val="21"/>
                      <w:szCs w:val="21"/>
                    </w:rPr>
                  </w:pPr>
                </w:p>
              </w:tc>
              <w:tc>
                <w:tcPr>
                  <w:tcW w:w="1370" w:type="pct"/>
                  <w:vMerge w:val="continue"/>
                  <w:vAlign w:val="center"/>
                </w:tcPr>
                <w:p w14:paraId="4C44E6B2">
                  <w:pPr>
                    <w:adjustRightInd w:val="0"/>
                    <w:snapToGrid w:val="0"/>
                    <w:spacing w:line="240" w:lineRule="auto"/>
                    <w:ind w:firstLine="0" w:firstLineChars="0"/>
                    <w:jc w:val="center"/>
                    <w:rPr>
                      <w:bCs/>
                      <w:color w:val="0000FF"/>
                      <w:sz w:val="21"/>
                      <w:szCs w:val="21"/>
                    </w:rPr>
                  </w:pPr>
                </w:p>
              </w:tc>
              <w:tc>
                <w:tcPr>
                  <w:tcW w:w="776" w:type="pct"/>
                  <w:vMerge w:val="continue"/>
                  <w:vAlign w:val="center"/>
                </w:tcPr>
                <w:p w14:paraId="0A5319D4">
                  <w:pPr>
                    <w:adjustRightInd w:val="0"/>
                    <w:snapToGrid w:val="0"/>
                    <w:spacing w:line="240" w:lineRule="auto"/>
                    <w:ind w:firstLine="0" w:firstLineChars="0"/>
                    <w:jc w:val="center"/>
                    <w:rPr>
                      <w:bCs/>
                      <w:color w:val="0000FF"/>
                      <w:sz w:val="21"/>
                      <w:szCs w:val="21"/>
                    </w:rPr>
                  </w:pPr>
                </w:p>
              </w:tc>
              <w:tc>
                <w:tcPr>
                  <w:tcW w:w="1059" w:type="pct"/>
                  <w:vAlign w:val="center"/>
                </w:tcPr>
                <w:p w14:paraId="3112815B">
                  <w:pPr>
                    <w:adjustRightInd w:val="0"/>
                    <w:snapToGrid w:val="0"/>
                    <w:spacing w:line="240" w:lineRule="auto"/>
                    <w:ind w:firstLine="0" w:firstLineChars="0"/>
                    <w:jc w:val="center"/>
                    <w:rPr>
                      <w:bCs/>
                      <w:color w:val="0000FF"/>
                      <w:sz w:val="21"/>
                      <w:szCs w:val="21"/>
                    </w:rPr>
                  </w:pPr>
                  <w:r>
                    <w:rPr>
                      <w:bCs/>
                      <w:color w:val="0000FF"/>
                      <w:sz w:val="21"/>
                      <w:szCs w:val="21"/>
                    </w:rPr>
                    <w:t>最大储存量qi（t）</w:t>
                  </w:r>
                </w:p>
              </w:tc>
              <w:tc>
                <w:tcPr>
                  <w:tcW w:w="849" w:type="pct"/>
                  <w:vAlign w:val="center"/>
                </w:tcPr>
                <w:p w14:paraId="2DF94166">
                  <w:pPr>
                    <w:adjustRightInd w:val="0"/>
                    <w:snapToGrid w:val="0"/>
                    <w:spacing w:line="240" w:lineRule="auto"/>
                    <w:ind w:firstLine="0" w:firstLineChars="0"/>
                    <w:jc w:val="center"/>
                    <w:rPr>
                      <w:bCs/>
                      <w:color w:val="0000FF"/>
                      <w:sz w:val="21"/>
                      <w:szCs w:val="21"/>
                    </w:rPr>
                  </w:pPr>
                  <w:r>
                    <w:rPr>
                      <w:bCs/>
                      <w:color w:val="0000FF"/>
                      <w:sz w:val="21"/>
                      <w:szCs w:val="21"/>
                    </w:rPr>
                    <w:t>临界量Qi（t）</w:t>
                  </w:r>
                </w:p>
              </w:tc>
              <w:tc>
                <w:tcPr>
                  <w:tcW w:w="684" w:type="pct"/>
                  <w:vAlign w:val="center"/>
                </w:tcPr>
                <w:p w14:paraId="4E4EA884">
                  <w:pPr>
                    <w:adjustRightInd w:val="0"/>
                    <w:snapToGrid w:val="0"/>
                    <w:spacing w:line="240" w:lineRule="auto"/>
                    <w:ind w:firstLine="0" w:firstLineChars="0"/>
                    <w:jc w:val="center"/>
                    <w:rPr>
                      <w:bCs/>
                      <w:color w:val="0000FF"/>
                      <w:sz w:val="21"/>
                      <w:szCs w:val="21"/>
                    </w:rPr>
                  </w:pPr>
                  <w:r>
                    <w:rPr>
                      <w:bCs/>
                      <w:color w:val="0000FF"/>
                      <w:sz w:val="21"/>
                      <w:szCs w:val="21"/>
                    </w:rPr>
                    <w:t>w/Q</w:t>
                  </w:r>
                </w:p>
              </w:tc>
            </w:tr>
            <w:tr w14:paraId="5FDF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9" w:type="pct"/>
                  <w:vAlign w:val="center"/>
                </w:tcPr>
                <w:p w14:paraId="345F3ACA">
                  <w:pPr>
                    <w:adjustRightInd w:val="0"/>
                    <w:snapToGrid w:val="0"/>
                    <w:spacing w:line="240" w:lineRule="auto"/>
                    <w:ind w:firstLine="0" w:firstLineChars="0"/>
                    <w:jc w:val="center"/>
                    <w:rPr>
                      <w:bCs/>
                      <w:color w:val="0000FF"/>
                      <w:sz w:val="21"/>
                      <w:szCs w:val="21"/>
                    </w:rPr>
                  </w:pPr>
                  <w:r>
                    <w:rPr>
                      <w:bCs/>
                      <w:color w:val="0000FF"/>
                      <w:sz w:val="21"/>
                      <w:szCs w:val="21"/>
                    </w:rPr>
                    <w:t>1</w:t>
                  </w:r>
                </w:p>
              </w:tc>
              <w:tc>
                <w:tcPr>
                  <w:tcW w:w="1370" w:type="pct"/>
                  <w:vAlign w:val="center"/>
                </w:tcPr>
                <w:p w14:paraId="445F23CF">
                  <w:pPr>
                    <w:adjustRightInd w:val="0"/>
                    <w:snapToGrid w:val="0"/>
                    <w:spacing w:line="240" w:lineRule="auto"/>
                    <w:ind w:firstLine="0" w:firstLineChars="0"/>
                    <w:jc w:val="center"/>
                    <w:rPr>
                      <w:bCs/>
                      <w:color w:val="0000FF"/>
                      <w:sz w:val="21"/>
                      <w:szCs w:val="21"/>
                    </w:rPr>
                  </w:pPr>
                  <w:r>
                    <w:rPr>
                      <w:bCs/>
                      <w:color w:val="0000FF"/>
                      <w:sz w:val="21"/>
                      <w:szCs w:val="21"/>
                    </w:rPr>
                    <w:t>酒精（乙醇）</w:t>
                  </w:r>
                </w:p>
              </w:tc>
              <w:tc>
                <w:tcPr>
                  <w:tcW w:w="776" w:type="pct"/>
                  <w:vAlign w:val="center"/>
                </w:tcPr>
                <w:p w14:paraId="10EDA088">
                  <w:pPr>
                    <w:adjustRightInd w:val="0"/>
                    <w:snapToGrid w:val="0"/>
                    <w:spacing w:line="240" w:lineRule="auto"/>
                    <w:ind w:firstLine="0" w:firstLineChars="0"/>
                    <w:jc w:val="center"/>
                    <w:rPr>
                      <w:bCs/>
                      <w:color w:val="0000FF"/>
                      <w:sz w:val="21"/>
                      <w:szCs w:val="21"/>
                    </w:rPr>
                  </w:pPr>
                  <w:r>
                    <w:rPr>
                      <w:rFonts w:hint="eastAsia"/>
                      <w:bCs/>
                      <w:color w:val="0000FF"/>
                      <w:sz w:val="21"/>
                      <w:szCs w:val="21"/>
                    </w:rPr>
                    <w:t>64-17-5</w:t>
                  </w:r>
                </w:p>
              </w:tc>
              <w:tc>
                <w:tcPr>
                  <w:tcW w:w="1059" w:type="pct"/>
                  <w:vAlign w:val="center"/>
                </w:tcPr>
                <w:p w14:paraId="07343D34">
                  <w:pPr>
                    <w:spacing w:line="240" w:lineRule="auto"/>
                    <w:ind w:firstLine="0" w:firstLineChars="0"/>
                    <w:jc w:val="center"/>
                    <w:rPr>
                      <w:bCs/>
                      <w:color w:val="0000FF"/>
                      <w:sz w:val="21"/>
                      <w:szCs w:val="21"/>
                    </w:rPr>
                  </w:pPr>
                  <w:r>
                    <w:rPr>
                      <w:bCs/>
                      <w:color w:val="0000FF"/>
                      <w:sz w:val="21"/>
                      <w:szCs w:val="21"/>
                    </w:rPr>
                    <w:t>0.</w:t>
                  </w:r>
                  <w:r>
                    <w:rPr>
                      <w:rFonts w:hint="eastAsia"/>
                      <w:bCs/>
                      <w:color w:val="0000FF"/>
                      <w:sz w:val="21"/>
                      <w:szCs w:val="21"/>
                    </w:rPr>
                    <w:t>15</w:t>
                  </w:r>
                </w:p>
              </w:tc>
              <w:tc>
                <w:tcPr>
                  <w:tcW w:w="849" w:type="pct"/>
                  <w:vAlign w:val="center"/>
                </w:tcPr>
                <w:p w14:paraId="7A1CA56A">
                  <w:pPr>
                    <w:spacing w:line="240" w:lineRule="auto"/>
                    <w:ind w:firstLine="0" w:firstLineChars="0"/>
                    <w:jc w:val="center"/>
                    <w:rPr>
                      <w:bCs/>
                      <w:color w:val="0000FF"/>
                      <w:sz w:val="21"/>
                      <w:szCs w:val="21"/>
                    </w:rPr>
                  </w:pPr>
                  <w:r>
                    <w:rPr>
                      <w:bCs/>
                      <w:color w:val="0000FF"/>
                      <w:sz w:val="21"/>
                      <w:szCs w:val="21"/>
                    </w:rPr>
                    <w:t>500</w:t>
                  </w:r>
                </w:p>
              </w:tc>
              <w:tc>
                <w:tcPr>
                  <w:tcW w:w="684" w:type="pct"/>
                  <w:vAlign w:val="center"/>
                </w:tcPr>
                <w:p w14:paraId="3802D62F">
                  <w:pPr>
                    <w:spacing w:line="240" w:lineRule="auto"/>
                    <w:ind w:firstLine="0" w:firstLineChars="0"/>
                    <w:jc w:val="center"/>
                    <w:rPr>
                      <w:bCs/>
                      <w:color w:val="0000FF"/>
                      <w:sz w:val="21"/>
                      <w:szCs w:val="21"/>
                    </w:rPr>
                  </w:pPr>
                  <w:r>
                    <w:rPr>
                      <w:bCs/>
                      <w:color w:val="0000FF"/>
                      <w:sz w:val="21"/>
                      <w:szCs w:val="21"/>
                    </w:rPr>
                    <w:t>0.000</w:t>
                  </w:r>
                  <w:r>
                    <w:rPr>
                      <w:rFonts w:hint="eastAsia"/>
                      <w:bCs/>
                      <w:color w:val="0000FF"/>
                      <w:sz w:val="21"/>
                      <w:szCs w:val="21"/>
                    </w:rPr>
                    <w:t>3</w:t>
                  </w:r>
                </w:p>
              </w:tc>
            </w:tr>
            <w:tr w14:paraId="52B3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9" w:type="pct"/>
                  <w:vAlign w:val="center"/>
                </w:tcPr>
                <w:p w14:paraId="2037CB2B">
                  <w:pPr>
                    <w:adjustRightInd w:val="0"/>
                    <w:snapToGrid w:val="0"/>
                    <w:spacing w:line="240" w:lineRule="auto"/>
                    <w:ind w:firstLine="0" w:firstLineChars="0"/>
                    <w:jc w:val="center"/>
                    <w:rPr>
                      <w:bCs/>
                      <w:color w:val="0000FF"/>
                      <w:sz w:val="21"/>
                      <w:szCs w:val="21"/>
                    </w:rPr>
                  </w:pPr>
                  <w:r>
                    <w:rPr>
                      <w:rFonts w:hint="eastAsia"/>
                      <w:bCs/>
                      <w:color w:val="0000FF"/>
                      <w:sz w:val="21"/>
                      <w:szCs w:val="21"/>
                    </w:rPr>
                    <w:t>2</w:t>
                  </w:r>
                </w:p>
              </w:tc>
              <w:tc>
                <w:tcPr>
                  <w:tcW w:w="1370" w:type="pct"/>
                  <w:vAlign w:val="center"/>
                </w:tcPr>
                <w:p w14:paraId="1779E4D9">
                  <w:pPr>
                    <w:adjustRightInd w:val="0"/>
                    <w:snapToGrid w:val="0"/>
                    <w:spacing w:line="240" w:lineRule="auto"/>
                    <w:ind w:firstLine="0" w:firstLineChars="0"/>
                    <w:jc w:val="center"/>
                    <w:rPr>
                      <w:bCs/>
                      <w:color w:val="0000FF"/>
                      <w:sz w:val="21"/>
                      <w:szCs w:val="21"/>
                    </w:rPr>
                  </w:pPr>
                  <w:r>
                    <w:rPr>
                      <w:rFonts w:hint="eastAsia"/>
                      <w:bCs/>
                      <w:color w:val="0000FF"/>
                      <w:sz w:val="21"/>
                      <w:szCs w:val="21"/>
                    </w:rPr>
                    <w:t>液化石油气</w:t>
                  </w:r>
                </w:p>
              </w:tc>
              <w:tc>
                <w:tcPr>
                  <w:tcW w:w="776" w:type="pct"/>
                  <w:vAlign w:val="center"/>
                </w:tcPr>
                <w:p w14:paraId="3A4D2376">
                  <w:pPr>
                    <w:adjustRightInd w:val="0"/>
                    <w:snapToGrid w:val="0"/>
                    <w:spacing w:line="240" w:lineRule="auto"/>
                    <w:ind w:firstLine="0" w:firstLineChars="0"/>
                    <w:jc w:val="center"/>
                    <w:rPr>
                      <w:bCs/>
                      <w:color w:val="0000FF"/>
                      <w:sz w:val="21"/>
                      <w:szCs w:val="21"/>
                    </w:rPr>
                  </w:pPr>
                  <w:r>
                    <w:rPr>
                      <w:rFonts w:hint="eastAsia"/>
                      <w:bCs/>
                      <w:color w:val="0000FF"/>
                      <w:sz w:val="21"/>
                      <w:szCs w:val="21"/>
                    </w:rPr>
                    <w:t>68476-85-7</w:t>
                  </w:r>
                </w:p>
              </w:tc>
              <w:tc>
                <w:tcPr>
                  <w:tcW w:w="1059" w:type="pct"/>
                  <w:vAlign w:val="center"/>
                </w:tcPr>
                <w:p w14:paraId="3C563C69">
                  <w:pPr>
                    <w:spacing w:line="240" w:lineRule="auto"/>
                    <w:ind w:firstLine="0" w:firstLineChars="0"/>
                    <w:jc w:val="center"/>
                    <w:rPr>
                      <w:bCs/>
                      <w:color w:val="0000FF"/>
                      <w:sz w:val="21"/>
                      <w:szCs w:val="21"/>
                    </w:rPr>
                  </w:pPr>
                  <w:r>
                    <w:rPr>
                      <w:rFonts w:hint="eastAsia"/>
                      <w:bCs/>
                      <w:color w:val="0000FF"/>
                      <w:sz w:val="21"/>
                      <w:szCs w:val="21"/>
                    </w:rPr>
                    <w:t>0.052</w:t>
                  </w:r>
                </w:p>
              </w:tc>
              <w:tc>
                <w:tcPr>
                  <w:tcW w:w="849" w:type="pct"/>
                  <w:vAlign w:val="center"/>
                </w:tcPr>
                <w:p w14:paraId="53585A1D">
                  <w:pPr>
                    <w:spacing w:line="240" w:lineRule="auto"/>
                    <w:ind w:firstLine="0" w:firstLineChars="0"/>
                    <w:jc w:val="center"/>
                    <w:rPr>
                      <w:bCs/>
                      <w:color w:val="0000FF"/>
                      <w:sz w:val="21"/>
                      <w:szCs w:val="21"/>
                    </w:rPr>
                  </w:pPr>
                  <w:r>
                    <w:rPr>
                      <w:rFonts w:hint="eastAsia"/>
                      <w:bCs/>
                      <w:color w:val="0000FF"/>
                      <w:sz w:val="21"/>
                      <w:szCs w:val="21"/>
                    </w:rPr>
                    <w:t>50</w:t>
                  </w:r>
                </w:p>
              </w:tc>
              <w:tc>
                <w:tcPr>
                  <w:tcW w:w="684" w:type="pct"/>
                  <w:vAlign w:val="center"/>
                </w:tcPr>
                <w:p w14:paraId="7F85FFCB">
                  <w:pPr>
                    <w:spacing w:line="240" w:lineRule="auto"/>
                    <w:ind w:firstLine="0" w:firstLineChars="0"/>
                    <w:jc w:val="center"/>
                    <w:rPr>
                      <w:bCs/>
                      <w:color w:val="0000FF"/>
                      <w:sz w:val="21"/>
                      <w:szCs w:val="21"/>
                    </w:rPr>
                  </w:pPr>
                  <w:r>
                    <w:rPr>
                      <w:rFonts w:hint="eastAsia"/>
                      <w:bCs/>
                      <w:color w:val="0000FF"/>
                      <w:sz w:val="21"/>
                      <w:szCs w:val="21"/>
                    </w:rPr>
                    <w:t>0.00104</w:t>
                  </w:r>
                </w:p>
              </w:tc>
            </w:tr>
            <w:tr w14:paraId="7420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9" w:type="pct"/>
                  <w:vAlign w:val="center"/>
                </w:tcPr>
                <w:p w14:paraId="3BDB203B">
                  <w:pPr>
                    <w:adjustRightInd w:val="0"/>
                    <w:snapToGrid w:val="0"/>
                    <w:spacing w:line="240" w:lineRule="auto"/>
                    <w:ind w:firstLine="0" w:firstLineChars="0"/>
                    <w:jc w:val="center"/>
                    <w:rPr>
                      <w:bCs/>
                      <w:color w:val="0000FF"/>
                      <w:sz w:val="21"/>
                      <w:szCs w:val="21"/>
                    </w:rPr>
                  </w:pPr>
                  <w:r>
                    <w:rPr>
                      <w:rFonts w:hint="eastAsia"/>
                      <w:bCs/>
                      <w:color w:val="0000FF"/>
                      <w:sz w:val="21"/>
                      <w:szCs w:val="21"/>
                    </w:rPr>
                    <w:t>3</w:t>
                  </w:r>
                </w:p>
              </w:tc>
              <w:tc>
                <w:tcPr>
                  <w:tcW w:w="1370" w:type="pct"/>
                  <w:vAlign w:val="center"/>
                </w:tcPr>
                <w:p w14:paraId="60705BB0">
                  <w:pPr>
                    <w:adjustRightInd w:val="0"/>
                    <w:snapToGrid w:val="0"/>
                    <w:spacing w:line="240" w:lineRule="auto"/>
                    <w:ind w:firstLine="0" w:firstLineChars="0"/>
                    <w:jc w:val="center"/>
                    <w:rPr>
                      <w:bCs/>
                      <w:color w:val="0000FF"/>
                      <w:sz w:val="21"/>
                      <w:szCs w:val="21"/>
                    </w:rPr>
                  </w:pPr>
                  <w:r>
                    <w:rPr>
                      <w:rFonts w:hint="eastAsia"/>
                      <w:bCs/>
                      <w:color w:val="0000FF"/>
                      <w:sz w:val="21"/>
                      <w:szCs w:val="21"/>
                    </w:rPr>
                    <w:t>消毒片（氯酸钠20%）</w:t>
                  </w:r>
                </w:p>
              </w:tc>
              <w:tc>
                <w:tcPr>
                  <w:tcW w:w="776" w:type="pct"/>
                  <w:vAlign w:val="center"/>
                </w:tcPr>
                <w:p w14:paraId="517A4A20">
                  <w:pPr>
                    <w:adjustRightInd w:val="0"/>
                    <w:snapToGrid w:val="0"/>
                    <w:spacing w:line="240" w:lineRule="auto"/>
                    <w:ind w:firstLine="0" w:firstLineChars="0"/>
                    <w:jc w:val="center"/>
                    <w:rPr>
                      <w:bCs/>
                      <w:color w:val="0000FF"/>
                      <w:sz w:val="21"/>
                      <w:szCs w:val="21"/>
                    </w:rPr>
                  </w:pPr>
                  <w:r>
                    <w:rPr>
                      <w:rFonts w:hint="eastAsia"/>
                      <w:bCs/>
                      <w:color w:val="0000FF"/>
                      <w:sz w:val="21"/>
                      <w:szCs w:val="21"/>
                    </w:rPr>
                    <w:t>7775-09-9</w:t>
                  </w:r>
                </w:p>
              </w:tc>
              <w:tc>
                <w:tcPr>
                  <w:tcW w:w="1059" w:type="pct"/>
                  <w:vAlign w:val="center"/>
                </w:tcPr>
                <w:p w14:paraId="5B7A89A3">
                  <w:pPr>
                    <w:spacing w:line="240" w:lineRule="auto"/>
                    <w:ind w:firstLine="0" w:firstLineChars="0"/>
                    <w:jc w:val="center"/>
                    <w:rPr>
                      <w:bCs/>
                      <w:color w:val="0000FF"/>
                      <w:sz w:val="21"/>
                      <w:szCs w:val="21"/>
                    </w:rPr>
                  </w:pPr>
                  <w:r>
                    <w:rPr>
                      <w:rFonts w:hint="eastAsia"/>
                      <w:bCs/>
                      <w:color w:val="0000FF"/>
                      <w:sz w:val="21"/>
                      <w:szCs w:val="21"/>
                    </w:rPr>
                    <w:t>0.0008</w:t>
                  </w:r>
                </w:p>
              </w:tc>
              <w:tc>
                <w:tcPr>
                  <w:tcW w:w="849" w:type="pct"/>
                  <w:vAlign w:val="center"/>
                </w:tcPr>
                <w:p w14:paraId="06FF0E28">
                  <w:pPr>
                    <w:spacing w:line="240" w:lineRule="auto"/>
                    <w:ind w:firstLine="0" w:firstLineChars="0"/>
                    <w:jc w:val="center"/>
                    <w:rPr>
                      <w:bCs/>
                      <w:color w:val="0000FF"/>
                      <w:sz w:val="21"/>
                      <w:szCs w:val="21"/>
                    </w:rPr>
                  </w:pPr>
                  <w:r>
                    <w:rPr>
                      <w:rFonts w:hint="eastAsia"/>
                      <w:bCs/>
                      <w:color w:val="0000FF"/>
                      <w:sz w:val="21"/>
                      <w:szCs w:val="21"/>
                    </w:rPr>
                    <w:t>100</w:t>
                  </w:r>
                </w:p>
              </w:tc>
              <w:tc>
                <w:tcPr>
                  <w:tcW w:w="684" w:type="pct"/>
                  <w:vAlign w:val="center"/>
                </w:tcPr>
                <w:p w14:paraId="01CEC324">
                  <w:pPr>
                    <w:spacing w:line="240" w:lineRule="auto"/>
                    <w:ind w:firstLine="0" w:firstLineChars="0"/>
                    <w:jc w:val="center"/>
                    <w:rPr>
                      <w:bCs/>
                      <w:color w:val="0000FF"/>
                      <w:sz w:val="21"/>
                      <w:szCs w:val="21"/>
                    </w:rPr>
                  </w:pPr>
                  <w:r>
                    <w:rPr>
                      <w:rFonts w:hint="eastAsia"/>
                      <w:bCs/>
                      <w:color w:val="0000FF"/>
                      <w:sz w:val="21"/>
                      <w:szCs w:val="21"/>
                    </w:rPr>
                    <w:t>0.000008</w:t>
                  </w:r>
                </w:p>
              </w:tc>
            </w:tr>
            <w:tr w14:paraId="3BFC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9" w:type="pct"/>
                  <w:vAlign w:val="center"/>
                </w:tcPr>
                <w:p w14:paraId="2E762D8E">
                  <w:pPr>
                    <w:adjustRightInd w:val="0"/>
                    <w:snapToGrid w:val="0"/>
                    <w:spacing w:line="240" w:lineRule="auto"/>
                    <w:ind w:firstLine="0" w:firstLineChars="0"/>
                    <w:jc w:val="center"/>
                    <w:rPr>
                      <w:bCs/>
                      <w:color w:val="0000FF"/>
                      <w:sz w:val="21"/>
                      <w:szCs w:val="21"/>
                    </w:rPr>
                  </w:pPr>
                  <w:r>
                    <w:rPr>
                      <w:rFonts w:hint="eastAsia"/>
                      <w:bCs/>
                      <w:color w:val="0000FF"/>
                      <w:sz w:val="21"/>
                      <w:szCs w:val="21"/>
                    </w:rPr>
                    <w:t>4</w:t>
                  </w:r>
                </w:p>
              </w:tc>
              <w:tc>
                <w:tcPr>
                  <w:tcW w:w="1370" w:type="pct"/>
                  <w:vAlign w:val="center"/>
                </w:tcPr>
                <w:p w14:paraId="06BE6D8B">
                  <w:pPr>
                    <w:adjustRightInd w:val="0"/>
                    <w:snapToGrid w:val="0"/>
                    <w:spacing w:line="240" w:lineRule="auto"/>
                    <w:ind w:firstLine="0" w:firstLineChars="0"/>
                    <w:jc w:val="center"/>
                    <w:rPr>
                      <w:bCs/>
                      <w:color w:val="0000FF"/>
                      <w:sz w:val="21"/>
                      <w:szCs w:val="21"/>
                    </w:rPr>
                  </w:pPr>
                  <w:r>
                    <w:rPr>
                      <w:bCs/>
                      <w:color w:val="0000FF"/>
                      <w:sz w:val="21"/>
                      <w:szCs w:val="21"/>
                    </w:rPr>
                    <w:t>合计</w:t>
                  </w:r>
                </w:p>
              </w:tc>
              <w:tc>
                <w:tcPr>
                  <w:tcW w:w="776" w:type="pct"/>
                  <w:vAlign w:val="center"/>
                </w:tcPr>
                <w:p w14:paraId="527D0F83">
                  <w:pPr>
                    <w:adjustRightInd w:val="0"/>
                    <w:snapToGrid w:val="0"/>
                    <w:spacing w:line="240" w:lineRule="auto"/>
                    <w:ind w:firstLine="0" w:firstLineChars="0"/>
                    <w:jc w:val="center"/>
                    <w:rPr>
                      <w:bCs/>
                      <w:color w:val="0000FF"/>
                      <w:sz w:val="21"/>
                      <w:szCs w:val="21"/>
                    </w:rPr>
                  </w:pPr>
                  <w:r>
                    <w:rPr>
                      <w:rFonts w:hint="eastAsia"/>
                      <w:bCs/>
                      <w:color w:val="0000FF"/>
                      <w:sz w:val="21"/>
                      <w:szCs w:val="21"/>
                    </w:rPr>
                    <w:t>/</w:t>
                  </w:r>
                </w:p>
              </w:tc>
              <w:tc>
                <w:tcPr>
                  <w:tcW w:w="1059" w:type="pct"/>
                  <w:vAlign w:val="center"/>
                </w:tcPr>
                <w:p w14:paraId="22C90044">
                  <w:pPr>
                    <w:adjustRightInd w:val="0"/>
                    <w:snapToGrid w:val="0"/>
                    <w:spacing w:line="240" w:lineRule="auto"/>
                    <w:ind w:firstLine="0" w:firstLineChars="0"/>
                    <w:jc w:val="center"/>
                    <w:rPr>
                      <w:bCs/>
                      <w:color w:val="0000FF"/>
                      <w:sz w:val="21"/>
                      <w:szCs w:val="21"/>
                    </w:rPr>
                  </w:pPr>
                  <w:r>
                    <w:rPr>
                      <w:bCs/>
                      <w:color w:val="0000FF"/>
                      <w:sz w:val="21"/>
                      <w:szCs w:val="21"/>
                    </w:rPr>
                    <w:t>/</w:t>
                  </w:r>
                </w:p>
              </w:tc>
              <w:tc>
                <w:tcPr>
                  <w:tcW w:w="849" w:type="pct"/>
                  <w:vAlign w:val="center"/>
                </w:tcPr>
                <w:p w14:paraId="141BE4DB">
                  <w:pPr>
                    <w:adjustRightInd w:val="0"/>
                    <w:snapToGrid w:val="0"/>
                    <w:spacing w:line="240" w:lineRule="auto"/>
                    <w:ind w:firstLine="0" w:firstLineChars="0"/>
                    <w:jc w:val="center"/>
                    <w:rPr>
                      <w:bCs/>
                      <w:color w:val="0000FF"/>
                      <w:sz w:val="21"/>
                      <w:szCs w:val="21"/>
                    </w:rPr>
                  </w:pPr>
                  <w:r>
                    <w:rPr>
                      <w:bCs/>
                      <w:color w:val="0000FF"/>
                      <w:sz w:val="21"/>
                      <w:szCs w:val="21"/>
                    </w:rPr>
                    <w:t>/</w:t>
                  </w:r>
                </w:p>
              </w:tc>
              <w:tc>
                <w:tcPr>
                  <w:tcW w:w="684" w:type="pct"/>
                  <w:vAlign w:val="center"/>
                </w:tcPr>
                <w:p w14:paraId="0D276939">
                  <w:pPr>
                    <w:spacing w:line="240" w:lineRule="auto"/>
                    <w:ind w:firstLine="0" w:firstLineChars="0"/>
                    <w:jc w:val="center"/>
                    <w:rPr>
                      <w:rStyle w:val="47"/>
                      <w:bCs/>
                      <w:color w:val="0000FF"/>
                    </w:rPr>
                  </w:pPr>
                  <w:r>
                    <w:rPr>
                      <w:rStyle w:val="47"/>
                      <w:rFonts w:hint="eastAsia"/>
                      <w:bCs/>
                      <w:color w:val="0000FF"/>
                    </w:rPr>
                    <w:t>0.001348</w:t>
                  </w:r>
                </w:p>
              </w:tc>
            </w:tr>
          </w:tbl>
          <w:p w14:paraId="5C957252">
            <w:pPr>
              <w:adjustRightInd w:val="0"/>
              <w:snapToGrid w:val="0"/>
            </w:pPr>
            <w:r>
              <w:rPr>
                <w:bCs/>
              </w:rPr>
              <w:t>由上表可知，Q＜1</w:t>
            </w:r>
            <w:r>
              <w:t>。</w:t>
            </w:r>
          </w:p>
          <w:p w14:paraId="6C4FAC92">
            <w:pPr>
              <w:spacing w:line="240" w:lineRule="auto"/>
              <w:ind w:firstLine="0" w:firstLineChars="0"/>
              <w:jc w:val="center"/>
              <w:rPr>
                <w:b/>
                <w:bCs/>
                <w:kern w:val="28"/>
              </w:rPr>
            </w:pPr>
            <w:r>
              <w:rPr>
                <w:rFonts w:hint="eastAsia"/>
                <w:b/>
                <w:bCs/>
                <w:kern w:val="28"/>
              </w:rPr>
              <w:t>表4-19  乙醇的理化性质和危险特性</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355"/>
              <w:gridCol w:w="482"/>
              <w:gridCol w:w="454"/>
              <w:gridCol w:w="1057"/>
              <w:gridCol w:w="896"/>
              <w:gridCol w:w="2279"/>
            </w:tblGrid>
            <w:tr w14:paraId="4BA4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restart"/>
                  <w:tcBorders>
                    <w:top w:val="single" w:color="auto" w:sz="4" w:space="0"/>
                    <w:left w:val="single" w:color="auto" w:sz="4" w:space="0"/>
                    <w:bottom w:val="single" w:color="auto" w:sz="4" w:space="0"/>
                    <w:right w:val="single" w:color="auto" w:sz="4" w:space="0"/>
                  </w:tcBorders>
                  <w:vAlign w:val="center"/>
                </w:tcPr>
                <w:p w14:paraId="479C55C0">
                  <w:pPr>
                    <w:tabs>
                      <w:tab w:val="left" w:pos="1215"/>
                    </w:tabs>
                    <w:adjustRightInd w:val="0"/>
                    <w:snapToGrid w:val="0"/>
                    <w:spacing w:line="240" w:lineRule="auto"/>
                    <w:ind w:firstLine="0" w:firstLineChars="0"/>
                    <w:jc w:val="center"/>
                    <w:rPr>
                      <w:bCs/>
                      <w:sz w:val="21"/>
                      <w:szCs w:val="21"/>
                    </w:rPr>
                  </w:pPr>
                  <w:r>
                    <w:rPr>
                      <w:bCs/>
                      <w:sz w:val="21"/>
                      <w:szCs w:val="21"/>
                    </w:rPr>
                    <w:t>标识</w:t>
                  </w:r>
                </w:p>
              </w:tc>
              <w:tc>
                <w:tcPr>
                  <w:tcW w:w="2064" w:type="pct"/>
                  <w:gridSpan w:val="3"/>
                  <w:tcBorders>
                    <w:top w:val="single" w:color="auto" w:sz="4" w:space="0"/>
                    <w:left w:val="single" w:color="auto" w:sz="4" w:space="0"/>
                    <w:bottom w:val="single" w:color="auto" w:sz="4" w:space="0"/>
                    <w:right w:val="single" w:color="auto" w:sz="4" w:space="0"/>
                  </w:tcBorders>
                  <w:vAlign w:val="center"/>
                </w:tcPr>
                <w:p w14:paraId="53927234">
                  <w:pPr>
                    <w:tabs>
                      <w:tab w:val="left" w:pos="1215"/>
                    </w:tabs>
                    <w:adjustRightInd w:val="0"/>
                    <w:snapToGrid w:val="0"/>
                    <w:spacing w:line="240" w:lineRule="auto"/>
                    <w:ind w:firstLine="0" w:firstLineChars="0"/>
                    <w:jc w:val="center"/>
                    <w:rPr>
                      <w:bCs/>
                      <w:sz w:val="21"/>
                      <w:szCs w:val="21"/>
                    </w:rPr>
                  </w:pPr>
                  <w:r>
                    <w:rPr>
                      <w:bCs/>
                      <w:sz w:val="21"/>
                      <w:szCs w:val="21"/>
                    </w:rPr>
                    <w:t>中文名：乙醇</w:t>
                  </w:r>
                </w:p>
              </w:tc>
              <w:tc>
                <w:tcPr>
                  <w:tcW w:w="2655" w:type="pct"/>
                  <w:gridSpan w:val="3"/>
                  <w:tcBorders>
                    <w:top w:val="single" w:color="auto" w:sz="4" w:space="0"/>
                    <w:left w:val="single" w:color="auto" w:sz="4" w:space="0"/>
                    <w:bottom w:val="single" w:color="auto" w:sz="4" w:space="0"/>
                    <w:right w:val="single" w:color="auto" w:sz="4" w:space="0"/>
                  </w:tcBorders>
                  <w:vAlign w:val="center"/>
                </w:tcPr>
                <w:p w14:paraId="34340B5C">
                  <w:pPr>
                    <w:tabs>
                      <w:tab w:val="left" w:pos="1215"/>
                    </w:tabs>
                    <w:adjustRightInd w:val="0"/>
                    <w:snapToGrid w:val="0"/>
                    <w:spacing w:line="240" w:lineRule="auto"/>
                    <w:ind w:firstLine="0" w:firstLineChars="0"/>
                    <w:jc w:val="center"/>
                    <w:rPr>
                      <w:bCs/>
                      <w:sz w:val="21"/>
                      <w:szCs w:val="21"/>
                    </w:rPr>
                  </w:pPr>
                  <w:r>
                    <w:rPr>
                      <w:bCs/>
                      <w:sz w:val="21"/>
                      <w:szCs w:val="21"/>
                    </w:rPr>
                    <w:t>英文名：ethyl alcohol</w:t>
                  </w:r>
                </w:p>
              </w:tc>
            </w:tr>
            <w:tr w14:paraId="1961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03B88F9F">
                  <w:pPr>
                    <w:tabs>
                      <w:tab w:val="left" w:pos="1215"/>
                    </w:tabs>
                    <w:adjustRightInd w:val="0"/>
                    <w:snapToGrid w:val="0"/>
                    <w:spacing w:line="240" w:lineRule="auto"/>
                    <w:ind w:firstLine="0" w:firstLineChars="0"/>
                    <w:jc w:val="center"/>
                    <w:rPr>
                      <w:bCs/>
                      <w:sz w:val="21"/>
                      <w:szCs w:val="21"/>
                    </w:rPr>
                  </w:pPr>
                </w:p>
              </w:tc>
              <w:tc>
                <w:tcPr>
                  <w:tcW w:w="1779" w:type="pct"/>
                  <w:gridSpan w:val="2"/>
                  <w:tcBorders>
                    <w:top w:val="single" w:color="auto" w:sz="4" w:space="0"/>
                    <w:left w:val="single" w:color="auto" w:sz="4" w:space="0"/>
                    <w:bottom w:val="single" w:color="auto" w:sz="4" w:space="0"/>
                    <w:right w:val="single" w:color="auto" w:sz="4" w:space="0"/>
                  </w:tcBorders>
                  <w:vAlign w:val="center"/>
                </w:tcPr>
                <w:p w14:paraId="5A6A8420">
                  <w:pPr>
                    <w:tabs>
                      <w:tab w:val="left" w:pos="1215"/>
                    </w:tabs>
                    <w:adjustRightInd w:val="0"/>
                    <w:snapToGrid w:val="0"/>
                    <w:spacing w:line="240" w:lineRule="auto"/>
                    <w:ind w:firstLine="0" w:firstLineChars="0"/>
                    <w:jc w:val="center"/>
                    <w:rPr>
                      <w:bCs/>
                      <w:sz w:val="21"/>
                      <w:szCs w:val="21"/>
                    </w:rPr>
                  </w:pPr>
                  <w:r>
                    <w:rPr>
                      <w:bCs/>
                      <w:sz w:val="21"/>
                      <w:szCs w:val="21"/>
                    </w:rPr>
                    <w:t>分子式：C</w:t>
                  </w:r>
                  <w:r>
                    <w:rPr>
                      <w:bCs/>
                      <w:sz w:val="21"/>
                      <w:szCs w:val="21"/>
                      <w:vertAlign w:val="subscript"/>
                    </w:rPr>
                    <w:t>2</w:t>
                  </w:r>
                  <w:r>
                    <w:rPr>
                      <w:bCs/>
                      <w:sz w:val="21"/>
                      <w:szCs w:val="21"/>
                    </w:rPr>
                    <w:t>H</w:t>
                  </w:r>
                  <w:r>
                    <w:rPr>
                      <w:bCs/>
                      <w:sz w:val="21"/>
                      <w:szCs w:val="21"/>
                      <w:vertAlign w:val="subscript"/>
                    </w:rPr>
                    <w:t>6</w:t>
                  </w:r>
                  <w:r>
                    <w:rPr>
                      <w:bCs/>
                      <w:sz w:val="21"/>
                      <w:szCs w:val="21"/>
                    </w:rPr>
                    <w:t>O</w:t>
                  </w:r>
                </w:p>
              </w:tc>
              <w:tc>
                <w:tcPr>
                  <w:tcW w:w="1510" w:type="pct"/>
                  <w:gridSpan w:val="3"/>
                  <w:tcBorders>
                    <w:top w:val="single" w:color="auto" w:sz="4" w:space="0"/>
                    <w:left w:val="single" w:color="auto" w:sz="4" w:space="0"/>
                    <w:bottom w:val="single" w:color="auto" w:sz="4" w:space="0"/>
                    <w:right w:val="single" w:color="auto" w:sz="4" w:space="0"/>
                  </w:tcBorders>
                  <w:vAlign w:val="center"/>
                </w:tcPr>
                <w:p w14:paraId="435BB6C3">
                  <w:pPr>
                    <w:tabs>
                      <w:tab w:val="left" w:pos="1215"/>
                    </w:tabs>
                    <w:adjustRightInd w:val="0"/>
                    <w:snapToGrid w:val="0"/>
                    <w:spacing w:line="240" w:lineRule="auto"/>
                    <w:ind w:firstLine="0" w:firstLineChars="0"/>
                    <w:jc w:val="center"/>
                    <w:rPr>
                      <w:bCs/>
                      <w:sz w:val="21"/>
                      <w:szCs w:val="21"/>
                    </w:rPr>
                  </w:pPr>
                  <w:r>
                    <w:rPr>
                      <w:bCs/>
                      <w:sz w:val="21"/>
                      <w:szCs w:val="21"/>
                    </w:rPr>
                    <w:t>分子量：46.07</w:t>
                  </w:r>
                </w:p>
              </w:tc>
              <w:tc>
                <w:tcPr>
                  <w:tcW w:w="1429" w:type="pct"/>
                  <w:tcBorders>
                    <w:top w:val="single" w:color="auto" w:sz="4" w:space="0"/>
                    <w:left w:val="single" w:color="auto" w:sz="4" w:space="0"/>
                    <w:bottom w:val="single" w:color="auto" w:sz="4" w:space="0"/>
                    <w:right w:val="single" w:color="auto" w:sz="4" w:space="0"/>
                  </w:tcBorders>
                  <w:vAlign w:val="center"/>
                </w:tcPr>
                <w:p w14:paraId="307F2956">
                  <w:pPr>
                    <w:tabs>
                      <w:tab w:val="left" w:pos="1215"/>
                    </w:tabs>
                    <w:adjustRightInd w:val="0"/>
                    <w:snapToGrid w:val="0"/>
                    <w:spacing w:line="240" w:lineRule="auto"/>
                    <w:ind w:firstLine="0" w:firstLineChars="0"/>
                    <w:jc w:val="center"/>
                    <w:rPr>
                      <w:bCs/>
                      <w:sz w:val="21"/>
                      <w:szCs w:val="21"/>
                    </w:rPr>
                  </w:pPr>
                  <w:r>
                    <w:rPr>
                      <w:bCs/>
                      <w:sz w:val="21"/>
                      <w:szCs w:val="21"/>
                    </w:rPr>
                    <w:t>CAS号：64-17-5</w:t>
                  </w:r>
                </w:p>
              </w:tc>
            </w:tr>
            <w:tr w14:paraId="17EE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restart"/>
                  <w:tcBorders>
                    <w:top w:val="single" w:color="auto" w:sz="4" w:space="0"/>
                    <w:left w:val="single" w:color="auto" w:sz="4" w:space="0"/>
                    <w:bottom w:val="single" w:color="auto" w:sz="4" w:space="0"/>
                    <w:right w:val="single" w:color="auto" w:sz="4" w:space="0"/>
                  </w:tcBorders>
                  <w:vAlign w:val="center"/>
                </w:tcPr>
                <w:p w14:paraId="517FB235">
                  <w:pPr>
                    <w:tabs>
                      <w:tab w:val="left" w:pos="1215"/>
                    </w:tabs>
                    <w:adjustRightInd w:val="0"/>
                    <w:snapToGrid w:val="0"/>
                    <w:spacing w:line="240" w:lineRule="auto"/>
                    <w:ind w:firstLine="0" w:firstLineChars="0"/>
                    <w:jc w:val="center"/>
                    <w:rPr>
                      <w:bCs/>
                      <w:sz w:val="21"/>
                      <w:szCs w:val="21"/>
                    </w:rPr>
                  </w:pPr>
                  <w:r>
                    <w:rPr>
                      <w:bCs/>
                      <w:sz w:val="21"/>
                      <w:szCs w:val="21"/>
                    </w:rPr>
                    <w:t>理化性质</w:t>
                  </w:r>
                </w:p>
              </w:tc>
              <w:tc>
                <w:tcPr>
                  <w:tcW w:w="4719" w:type="pct"/>
                  <w:gridSpan w:val="6"/>
                  <w:tcBorders>
                    <w:top w:val="single" w:color="auto" w:sz="4" w:space="0"/>
                    <w:left w:val="single" w:color="auto" w:sz="4" w:space="0"/>
                    <w:bottom w:val="single" w:color="auto" w:sz="4" w:space="0"/>
                    <w:right w:val="single" w:color="auto" w:sz="4" w:space="0"/>
                  </w:tcBorders>
                  <w:vAlign w:val="center"/>
                </w:tcPr>
                <w:p w14:paraId="2AE46B21">
                  <w:pPr>
                    <w:tabs>
                      <w:tab w:val="left" w:pos="1215"/>
                    </w:tabs>
                    <w:adjustRightInd w:val="0"/>
                    <w:snapToGrid w:val="0"/>
                    <w:spacing w:line="240" w:lineRule="auto"/>
                    <w:ind w:firstLine="0" w:firstLineChars="0"/>
                    <w:jc w:val="center"/>
                    <w:rPr>
                      <w:bCs/>
                      <w:sz w:val="21"/>
                      <w:szCs w:val="21"/>
                    </w:rPr>
                  </w:pPr>
                  <w:r>
                    <w:rPr>
                      <w:bCs/>
                      <w:sz w:val="21"/>
                      <w:szCs w:val="21"/>
                    </w:rPr>
                    <w:t>性状：无色液体，有酒香。</w:t>
                  </w:r>
                </w:p>
              </w:tc>
            </w:tr>
            <w:tr w14:paraId="0D6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37FA3143">
                  <w:pPr>
                    <w:tabs>
                      <w:tab w:val="left" w:pos="1215"/>
                    </w:tabs>
                    <w:adjustRightInd w:val="0"/>
                    <w:snapToGrid w:val="0"/>
                    <w:spacing w:line="240" w:lineRule="auto"/>
                    <w:ind w:firstLine="0" w:firstLineChars="0"/>
                    <w:jc w:val="center"/>
                    <w:rPr>
                      <w:bCs/>
                      <w:sz w:val="21"/>
                      <w:szCs w:val="21"/>
                    </w:rPr>
                  </w:pPr>
                </w:p>
              </w:tc>
              <w:tc>
                <w:tcPr>
                  <w:tcW w:w="4719" w:type="pct"/>
                  <w:gridSpan w:val="6"/>
                  <w:tcBorders>
                    <w:top w:val="single" w:color="auto" w:sz="4" w:space="0"/>
                    <w:left w:val="single" w:color="auto" w:sz="4" w:space="0"/>
                    <w:bottom w:val="single" w:color="auto" w:sz="4" w:space="0"/>
                    <w:right w:val="single" w:color="auto" w:sz="4" w:space="0"/>
                  </w:tcBorders>
                  <w:vAlign w:val="center"/>
                </w:tcPr>
                <w:p w14:paraId="14409A1B">
                  <w:pPr>
                    <w:tabs>
                      <w:tab w:val="left" w:pos="1215"/>
                    </w:tabs>
                    <w:adjustRightInd w:val="0"/>
                    <w:snapToGrid w:val="0"/>
                    <w:spacing w:line="240" w:lineRule="auto"/>
                    <w:ind w:firstLine="0" w:firstLineChars="0"/>
                    <w:jc w:val="center"/>
                    <w:rPr>
                      <w:bCs/>
                      <w:sz w:val="21"/>
                      <w:szCs w:val="21"/>
                    </w:rPr>
                  </w:pPr>
                  <w:r>
                    <w:rPr>
                      <w:bCs/>
                      <w:sz w:val="21"/>
                      <w:szCs w:val="21"/>
                    </w:rPr>
                    <w:t>溶解性：与水混溶，可混溶于醚、氯仿、甘油等多数有机溶剂。</w:t>
                  </w:r>
                </w:p>
              </w:tc>
            </w:tr>
            <w:tr w14:paraId="43AB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6A0939AA">
                  <w:pPr>
                    <w:tabs>
                      <w:tab w:val="left" w:pos="1215"/>
                    </w:tabs>
                    <w:adjustRightInd w:val="0"/>
                    <w:snapToGrid w:val="0"/>
                    <w:spacing w:line="240" w:lineRule="auto"/>
                    <w:ind w:firstLine="0" w:firstLineChars="0"/>
                    <w:jc w:val="center"/>
                    <w:rPr>
                      <w:bCs/>
                      <w:sz w:val="21"/>
                      <w:szCs w:val="21"/>
                    </w:rPr>
                  </w:pPr>
                </w:p>
              </w:tc>
              <w:tc>
                <w:tcPr>
                  <w:tcW w:w="4719" w:type="pct"/>
                  <w:gridSpan w:val="6"/>
                  <w:tcBorders>
                    <w:top w:val="single" w:color="auto" w:sz="4" w:space="0"/>
                    <w:left w:val="single" w:color="auto" w:sz="4" w:space="0"/>
                    <w:bottom w:val="single" w:color="auto" w:sz="4" w:space="0"/>
                    <w:right w:val="single" w:color="auto" w:sz="4" w:space="0"/>
                  </w:tcBorders>
                  <w:vAlign w:val="center"/>
                </w:tcPr>
                <w:p w14:paraId="7EF6230B">
                  <w:pPr>
                    <w:tabs>
                      <w:tab w:val="left" w:pos="1215"/>
                    </w:tabs>
                    <w:adjustRightInd w:val="0"/>
                    <w:snapToGrid w:val="0"/>
                    <w:spacing w:line="240" w:lineRule="auto"/>
                    <w:ind w:firstLine="0" w:firstLineChars="0"/>
                    <w:jc w:val="center"/>
                    <w:rPr>
                      <w:bCs/>
                      <w:sz w:val="21"/>
                      <w:szCs w:val="21"/>
                    </w:rPr>
                  </w:pPr>
                  <w:r>
                    <w:rPr>
                      <w:bCs/>
                      <w:sz w:val="21"/>
                      <w:szCs w:val="21"/>
                    </w:rPr>
                    <w:t>主要用途：用于制酒工业、有机合成、消毒以及用作溶剂。</w:t>
                  </w:r>
                </w:p>
              </w:tc>
            </w:tr>
            <w:tr w14:paraId="1A90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1F99457C">
                  <w:pPr>
                    <w:tabs>
                      <w:tab w:val="left" w:pos="1215"/>
                    </w:tabs>
                    <w:adjustRightInd w:val="0"/>
                    <w:snapToGrid w:val="0"/>
                    <w:spacing w:line="240" w:lineRule="auto"/>
                    <w:ind w:firstLine="0" w:firstLineChars="0"/>
                    <w:jc w:val="center"/>
                    <w:rPr>
                      <w:bCs/>
                      <w:sz w:val="21"/>
                      <w:szCs w:val="21"/>
                    </w:rPr>
                  </w:pPr>
                </w:p>
              </w:tc>
              <w:tc>
                <w:tcPr>
                  <w:tcW w:w="1477" w:type="pct"/>
                  <w:tcBorders>
                    <w:top w:val="single" w:color="auto" w:sz="4" w:space="0"/>
                    <w:left w:val="single" w:color="auto" w:sz="4" w:space="0"/>
                    <w:bottom w:val="single" w:color="auto" w:sz="4" w:space="0"/>
                    <w:right w:val="single" w:color="auto" w:sz="4" w:space="0"/>
                  </w:tcBorders>
                  <w:vAlign w:val="center"/>
                </w:tcPr>
                <w:p w14:paraId="560B6609">
                  <w:pPr>
                    <w:tabs>
                      <w:tab w:val="left" w:pos="1215"/>
                    </w:tabs>
                    <w:adjustRightInd w:val="0"/>
                    <w:snapToGrid w:val="0"/>
                    <w:spacing w:line="240" w:lineRule="auto"/>
                    <w:ind w:firstLine="0" w:firstLineChars="0"/>
                    <w:jc w:val="center"/>
                    <w:rPr>
                      <w:bCs/>
                      <w:sz w:val="21"/>
                      <w:szCs w:val="21"/>
                    </w:rPr>
                  </w:pPr>
                  <w:r>
                    <w:rPr>
                      <w:bCs/>
                      <w:sz w:val="21"/>
                      <w:szCs w:val="21"/>
                    </w:rPr>
                    <w:t>熔点（℃）：-114.1</w:t>
                  </w:r>
                </w:p>
              </w:tc>
              <w:tc>
                <w:tcPr>
                  <w:tcW w:w="1250" w:type="pct"/>
                  <w:gridSpan w:val="3"/>
                  <w:tcBorders>
                    <w:top w:val="single" w:color="auto" w:sz="4" w:space="0"/>
                    <w:left w:val="single" w:color="auto" w:sz="4" w:space="0"/>
                    <w:bottom w:val="single" w:color="auto" w:sz="4" w:space="0"/>
                    <w:right w:val="single" w:color="auto" w:sz="4" w:space="0"/>
                  </w:tcBorders>
                  <w:vAlign w:val="center"/>
                </w:tcPr>
                <w:p w14:paraId="0E5645C2">
                  <w:pPr>
                    <w:tabs>
                      <w:tab w:val="left" w:pos="1215"/>
                    </w:tabs>
                    <w:adjustRightInd w:val="0"/>
                    <w:snapToGrid w:val="0"/>
                    <w:spacing w:line="240" w:lineRule="auto"/>
                    <w:ind w:firstLine="0" w:firstLineChars="0"/>
                    <w:jc w:val="center"/>
                    <w:rPr>
                      <w:bCs/>
                      <w:sz w:val="21"/>
                      <w:szCs w:val="21"/>
                    </w:rPr>
                  </w:pPr>
                  <w:r>
                    <w:rPr>
                      <w:bCs/>
                      <w:sz w:val="21"/>
                      <w:szCs w:val="21"/>
                    </w:rPr>
                    <w:t>沸点（℃）：78.3</w:t>
                  </w:r>
                </w:p>
              </w:tc>
              <w:tc>
                <w:tcPr>
                  <w:tcW w:w="1991" w:type="pct"/>
                  <w:gridSpan w:val="2"/>
                  <w:tcBorders>
                    <w:top w:val="single" w:color="auto" w:sz="4" w:space="0"/>
                    <w:left w:val="single" w:color="auto" w:sz="4" w:space="0"/>
                    <w:bottom w:val="single" w:color="auto" w:sz="4" w:space="0"/>
                    <w:right w:val="single" w:color="auto" w:sz="4" w:space="0"/>
                  </w:tcBorders>
                  <w:vAlign w:val="center"/>
                </w:tcPr>
                <w:p w14:paraId="1EBED8D4">
                  <w:pPr>
                    <w:tabs>
                      <w:tab w:val="left" w:pos="1215"/>
                    </w:tabs>
                    <w:adjustRightInd w:val="0"/>
                    <w:snapToGrid w:val="0"/>
                    <w:spacing w:line="240" w:lineRule="auto"/>
                    <w:ind w:firstLine="0" w:firstLineChars="0"/>
                    <w:jc w:val="center"/>
                    <w:rPr>
                      <w:bCs/>
                      <w:sz w:val="21"/>
                      <w:szCs w:val="21"/>
                    </w:rPr>
                  </w:pPr>
                  <w:r>
                    <w:rPr>
                      <w:bCs/>
                      <w:sz w:val="21"/>
                      <w:szCs w:val="21"/>
                    </w:rPr>
                    <w:t>相对密度（水＝1）：0.79</w:t>
                  </w:r>
                </w:p>
              </w:tc>
            </w:tr>
            <w:tr w14:paraId="5CE7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4749CDB8">
                  <w:pPr>
                    <w:tabs>
                      <w:tab w:val="left" w:pos="1215"/>
                    </w:tabs>
                    <w:adjustRightInd w:val="0"/>
                    <w:snapToGrid w:val="0"/>
                    <w:spacing w:line="240" w:lineRule="auto"/>
                    <w:ind w:firstLine="0" w:firstLineChars="0"/>
                    <w:jc w:val="center"/>
                    <w:rPr>
                      <w:bCs/>
                      <w:sz w:val="21"/>
                      <w:szCs w:val="21"/>
                    </w:rPr>
                  </w:pPr>
                </w:p>
              </w:tc>
              <w:tc>
                <w:tcPr>
                  <w:tcW w:w="1477" w:type="pct"/>
                  <w:tcBorders>
                    <w:top w:val="single" w:color="auto" w:sz="4" w:space="0"/>
                    <w:left w:val="single" w:color="auto" w:sz="4" w:space="0"/>
                    <w:bottom w:val="single" w:color="auto" w:sz="4" w:space="0"/>
                    <w:right w:val="single" w:color="auto" w:sz="4" w:space="0"/>
                  </w:tcBorders>
                  <w:vAlign w:val="center"/>
                </w:tcPr>
                <w:p w14:paraId="7565E36F">
                  <w:pPr>
                    <w:tabs>
                      <w:tab w:val="left" w:pos="1215"/>
                    </w:tabs>
                    <w:adjustRightInd w:val="0"/>
                    <w:snapToGrid w:val="0"/>
                    <w:spacing w:line="240" w:lineRule="auto"/>
                    <w:ind w:firstLine="0" w:firstLineChars="0"/>
                    <w:jc w:val="center"/>
                    <w:rPr>
                      <w:bCs/>
                      <w:sz w:val="21"/>
                      <w:szCs w:val="21"/>
                    </w:rPr>
                  </w:pPr>
                  <w:r>
                    <w:rPr>
                      <w:bCs/>
                      <w:sz w:val="21"/>
                      <w:szCs w:val="21"/>
                    </w:rPr>
                    <w:t>临界温度（℃）：243.1</w:t>
                  </w:r>
                </w:p>
              </w:tc>
              <w:tc>
                <w:tcPr>
                  <w:tcW w:w="1250" w:type="pct"/>
                  <w:gridSpan w:val="3"/>
                  <w:tcBorders>
                    <w:top w:val="single" w:color="auto" w:sz="4" w:space="0"/>
                    <w:left w:val="single" w:color="auto" w:sz="4" w:space="0"/>
                    <w:bottom w:val="single" w:color="auto" w:sz="4" w:space="0"/>
                    <w:right w:val="single" w:color="auto" w:sz="4" w:space="0"/>
                  </w:tcBorders>
                  <w:vAlign w:val="center"/>
                </w:tcPr>
                <w:p w14:paraId="60D30020">
                  <w:pPr>
                    <w:tabs>
                      <w:tab w:val="left" w:pos="1215"/>
                    </w:tabs>
                    <w:adjustRightInd w:val="0"/>
                    <w:snapToGrid w:val="0"/>
                    <w:spacing w:line="240" w:lineRule="auto"/>
                    <w:ind w:firstLine="0" w:firstLineChars="0"/>
                    <w:jc w:val="center"/>
                    <w:rPr>
                      <w:bCs/>
                      <w:sz w:val="21"/>
                      <w:szCs w:val="21"/>
                    </w:rPr>
                  </w:pPr>
                  <w:r>
                    <w:rPr>
                      <w:bCs/>
                      <w:sz w:val="21"/>
                      <w:szCs w:val="21"/>
                    </w:rPr>
                    <w:t>临界压力（MPa）6.38</w:t>
                  </w:r>
                </w:p>
              </w:tc>
              <w:tc>
                <w:tcPr>
                  <w:tcW w:w="1991" w:type="pct"/>
                  <w:gridSpan w:val="2"/>
                  <w:tcBorders>
                    <w:top w:val="single" w:color="auto" w:sz="4" w:space="0"/>
                    <w:left w:val="single" w:color="auto" w:sz="4" w:space="0"/>
                    <w:bottom w:val="single" w:color="auto" w:sz="4" w:space="0"/>
                    <w:right w:val="single" w:color="auto" w:sz="4" w:space="0"/>
                  </w:tcBorders>
                  <w:vAlign w:val="center"/>
                </w:tcPr>
                <w:p w14:paraId="19B8AD8F">
                  <w:pPr>
                    <w:tabs>
                      <w:tab w:val="left" w:pos="1215"/>
                    </w:tabs>
                    <w:adjustRightInd w:val="0"/>
                    <w:snapToGrid w:val="0"/>
                    <w:spacing w:line="240" w:lineRule="auto"/>
                    <w:ind w:firstLine="0" w:firstLineChars="0"/>
                    <w:jc w:val="center"/>
                    <w:rPr>
                      <w:bCs/>
                      <w:sz w:val="21"/>
                      <w:szCs w:val="21"/>
                    </w:rPr>
                  </w:pPr>
                  <w:r>
                    <w:rPr>
                      <w:bCs/>
                      <w:sz w:val="21"/>
                      <w:szCs w:val="21"/>
                    </w:rPr>
                    <w:t>相对密度（空气＝1）：1.59</w:t>
                  </w:r>
                </w:p>
              </w:tc>
            </w:tr>
            <w:tr w14:paraId="6CE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2674FE80">
                  <w:pPr>
                    <w:tabs>
                      <w:tab w:val="left" w:pos="1215"/>
                    </w:tabs>
                    <w:adjustRightInd w:val="0"/>
                    <w:snapToGrid w:val="0"/>
                    <w:spacing w:line="240" w:lineRule="auto"/>
                    <w:ind w:firstLine="0" w:firstLineChars="0"/>
                    <w:jc w:val="center"/>
                    <w:rPr>
                      <w:bCs/>
                      <w:sz w:val="21"/>
                      <w:szCs w:val="21"/>
                    </w:rPr>
                  </w:pPr>
                </w:p>
              </w:tc>
              <w:tc>
                <w:tcPr>
                  <w:tcW w:w="1477" w:type="pct"/>
                  <w:tcBorders>
                    <w:top w:val="single" w:color="auto" w:sz="4" w:space="0"/>
                    <w:left w:val="single" w:color="auto" w:sz="4" w:space="0"/>
                    <w:bottom w:val="single" w:color="auto" w:sz="4" w:space="0"/>
                    <w:right w:val="single" w:color="auto" w:sz="4" w:space="0"/>
                  </w:tcBorders>
                  <w:vAlign w:val="center"/>
                </w:tcPr>
                <w:p w14:paraId="715444D2">
                  <w:pPr>
                    <w:tabs>
                      <w:tab w:val="left" w:pos="1215"/>
                    </w:tabs>
                    <w:adjustRightInd w:val="0"/>
                    <w:snapToGrid w:val="0"/>
                    <w:spacing w:line="240" w:lineRule="auto"/>
                    <w:ind w:firstLine="0" w:firstLineChars="0"/>
                    <w:jc w:val="center"/>
                    <w:rPr>
                      <w:bCs/>
                      <w:sz w:val="21"/>
                      <w:szCs w:val="21"/>
                    </w:rPr>
                  </w:pPr>
                  <w:r>
                    <w:rPr>
                      <w:bCs/>
                      <w:sz w:val="21"/>
                      <w:szCs w:val="21"/>
                    </w:rPr>
                    <w:t>燃烧热（KJ/mol）：1365.5</w:t>
                  </w:r>
                </w:p>
              </w:tc>
              <w:tc>
                <w:tcPr>
                  <w:tcW w:w="1250" w:type="pct"/>
                  <w:gridSpan w:val="3"/>
                  <w:tcBorders>
                    <w:top w:val="single" w:color="auto" w:sz="4" w:space="0"/>
                    <w:left w:val="single" w:color="auto" w:sz="4" w:space="0"/>
                    <w:bottom w:val="single" w:color="auto" w:sz="4" w:space="0"/>
                    <w:right w:val="single" w:color="auto" w:sz="4" w:space="0"/>
                  </w:tcBorders>
                  <w:vAlign w:val="center"/>
                </w:tcPr>
                <w:p w14:paraId="48E121B4">
                  <w:pPr>
                    <w:tabs>
                      <w:tab w:val="left" w:pos="1215"/>
                    </w:tabs>
                    <w:adjustRightInd w:val="0"/>
                    <w:snapToGrid w:val="0"/>
                    <w:spacing w:line="240" w:lineRule="auto"/>
                    <w:ind w:firstLine="0" w:firstLineChars="0"/>
                    <w:jc w:val="center"/>
                    <w:rPr>
                      <w:bCs/>
                      <w:sz w:val="21"/>
                      <w:szCs w:val="21"/>
                    </w:rPr>
                  </w:pPr>
                  <w:r>
                    <w:rPr>
                      <w:bCs/>
                      <w:sz w:val="21"/>
                      <w:szCs w:val="21"/>
                    </w:rPr>
                    <w:t>闪点（℃）：12</w:t>
                  </w:r>
                </w:p>
              </w:tc>
              <w:tc>
                <w:tcPr>
                  <w:tcW w:w="1991" w:type="pct"/>
                  <w:gridSpan w:val="2"/>
                  <w:tcBorders>
                    <w:top w:val="single" w:color="auto" w:sz="4" w:space="0"/>
                    <w:left w:val="single" w:color="auto" w:sz="4" w:space="0"/>
                    <w:bottom w:val="single" w:color="auto" w:sz="4" w:space="0"/>
                    <w:right w:val="single" w:color="auto" w:sz="4" w:space="0"/>
                  </w:tcBorders>
                  <w:vAlign w:val="center"/>
                </w:tcPr>
                <w:p w14:paraId="7FD6C224">
                  <w:pPr>
                    <w:tabs>
                      <w:tab w:val="left" w:pos="1215"/>
                    </w:tabs>
                    <w:adjustRightInd w:val="0"/>
                    <w:snapToGrid w:val="0"/>
                    <w:spacing w:line="240" w:lineRule="auto"/>
                    <w:ind w:firstLine="0" w:firstLineChars="0"/>
                    <w:jc w:val="center"/>
                    <w:rPr>
                      <w:bCs/>
                      <w:sz w:val="21"/>
                      <w:szCs w:val="21"/>
                    </w:rPr>
                  </w:pPr>
                  <w:r>
                    <w:rPr>
                      <w:bCs/>
                      <w:sz w:val="21"/>
                      <w:szCs w:val="21"/>
                    </w:rPr>
                    <w:t>饱和蒸汽压（KPa）：5.33(19℃)</w:t>
                  </w:r>
                </w:p>
              </w:tc>
            </w:tr>
            <w:tr w14:paraId="17CD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5488D6E7">
                  <w:pPr>
                    <w:tabs>
                      <w:tab w:val="left" w:pos="1215"/>
                    </w:tabs>
                    <w:adjustRightInd w:val="0"/>
                    <w:snapToGrid w:val="0"/>
                    <w:spacing w:line="240" w:lineRule="auto"/>
                    <w:ind w:firstLine="0" w:firstLineChars="0"/>
                    <w:jc w:val="center"/>
                    <w:rPr>
                      <w:bCs/>
                      <w:sz w:val="21"/>
                      <w:szCs w:val="21"/>
                    </w:rPr>
                  </w:pPr>
                </w:p>
              </w:tc>
              <w:tc>
                <w:tcPr>
                  <w:tcW w:w="4719" w:type="pct"/>
                  <w:gridSpan w:val="6"/>
                  <w:tcBorders>
                    <w:top w:val="single" w:color="auto" w:sz="4" w:space="0"/>
                    <w:left w:val="single" w:color="auto" w:sz="4" w:space="0"/>
                    <w:bottom w:val="single" w:color="auto" w:sz="4" w:space="0"/>
                    <w:right w:val="single" w:color="auto" w:sz="4" w:space="0"/>
                  </w:tcBorders>
                  <w:vAlign w:val="center"/>
                </w:tcPr>
                <w:p w14:paraId="20A93E73">
                  <w:pPr>
                    <w:tabs>
                      <w:tab w:val="left" w:pos="1215"/>
                    </w:tabs>
                    <w:adjustRightInd w:val="0"/>
                    <w:snapToGrid w:val="0"/>
                    <w:spacing w:line="240" w:lineRule="auto"/>
                    <w:ind w:firstLine="0" w:firstLineChars="0"/>
                    <w:jc w:val="center"/>
                    <w:rPr>
                      <w:bCs/>
                      <w:sz w:val="21"/>
                      <w:szCs w:val="21"/>
                    </w:rPr>
                  </w:pPr>
                  <w:r>
                    <w:rPr>
                      <w:bCs/>
                      <w:sz w:val="21"/>
                      <w:szCs w:val="21"/>
                    </w:rPr>
                    <w:t>辛醇/水分配系数的对数值：0.32</w:t>
                  </w:r>
                </w:p>
              </w:tc>
            </w:tr>
            <w:tr w14:paraId="77AF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restart"/>
                  <w:tcBorders>
                    <w:top w:val="single" w:color="auto" w:sz="4" w:space="0"/>
                    <w:left w:val="single" w:color="auto" w:sz="4" w:space="0"/>
                    <w:bottom w:val="single" w:color="auto" w:sz="4" w:space="0"/>
                    <w:right w:val="single" w:color="auto" w:sz="4" w:space="0"/>
                  </w:tcBorders>
                  <w:vAlign w:val="center"/>
                </w:tcPr>
                <w:p w14:paraId="4505F783">
                  <w:pPr>
                    <w:tabs>
                      <w:tab w:val="left" w:pos="1215"/>
                    </w:tabs>
                    <w:adjustRightInd w:val="0"/>
                    <w:snapToGrid w:val="0"/>
                    <w:spacing w:line="240" w:lineRule="auto"/>
                    <w:ind w:firstLine="0" w:firstLineChars="0"/>
                    <w:jc w:val="center"/>
                    <w:rPr>
                      <w:bCs/>
                      <w:sz w:val="21"/>
                      <w:szCs w:val="21"/>
                    </w:rPr>
                  </w:pPr>
                  <w:r>
                    <w:rPr>
                      <w:bCs/>
                      <w:sz w:val="21"/>
                      <w:szCs w:val="21"/>
                    </w:rPr>
                    <w:t>燃烧爆炸性</w:t>
                  </w:r>
                </w:p>
              </w:tc>
              <w:tc>
                <w:tcPr>
                  <w:tcW w:w="1779" w:type="pct"/>
                  <w:gridSpan w:val="2"/>
                  <w:tcBorders>
                    <w:top w:val="single" w:color="auto" w:sz="4" w:space="0"/>
                    <w:left w:val="single" w:color="auto" w:sz="4" w:space="0"/>
                    <w:bottom w:val="single" w:color="auto" w:sz="4" w:space="0"/>
                    <w:right w:val="single" w:color="auto" w:sz="4" w:space="0"/>
                  </w:tcBorders>
                  <w:vAlign w:val="center"/>
                </w:tcPr>
                <w:p w14:paraId="10F52FEA">
                  <w:pPr>
                    <w:tabs>
                      <w:tab w:val="left" w:pos="1215"/>
                    </w:tabs>
                    <w:adjustRightInd w:val="0"/>
                    <w:snapToGrid w:val="0"/>
                    <w:spacing w:line="240" w:lineRule="auto"/>
                    <w:ind w:firstLine="0" w:firstLineChars="0"/>
                    <w:jc w:val="center"/>
                    <w:rPr>
                      <w:bCs/>
                      <w:sz w:val="21"/>
                      <w:szCs w:val="21"/>
                    </w:rPr>
                  </w:pPr>
                  <w:r>
                    <w:rPr>
                      <w:bCs/>
                      <w:sz w:val="21"/>
                      <w:szCs w:val="21"/>
                    </w:rPr>
                    <w:t>燃烧性：易燃</w:t>
                  </w:r>
                </w:p>
              </w:tc>
              <w:tc>
                <w:tcPr>
                  <w:tcW w:w="2940" w:type="pct"/>
                  <w:gridSpan w:val="4"/>
                  <w:tcBorders>
                    <w:top w:val="single" w:color="auto" w:sz="4" w:space="0"/>
                    <w:left w:val="single" w:color="auto" w:sz="4" w:space="0"/>
                    <w:bottom w:val="single" w:color="auto" w:sz="4" w:space="0"/>
                    <w:right w:val="single" w:color="auto" w:sz="4" w:space="0"/>
                  </w:tcBorders>
                  <w:vAlign w:val="center"/>
                </w:tcPr>
                <w:p w14:paraId="293BD6E3">
                  <w:pPr>
                    <w:tabs>
                      <w:tab w:val="left" w:pos="1215"/>
                    </w:tabs>
                    <w:adjustRightInd w:val="0"/>
                    <w:snapToGrid w:val="0"/>
                    <w:spacing w:line="240" w:lineRule="auto"/>
                    <w:ind w:firstLine="0" w:firstLineChars="0"/>
                    <w:jc w:val="center"/>
                    <w:rPr>
                      <w:bCs/>
                      <w:sz w:val="21"/>
                      <w:szCs w:val="21"/>
                    </w:rPr>
                  </w:pPr>
                  <w:r>
                    <w:rPr>
                      <w:bCs/>
                      <w:sz w:val="21"/>
                      <w:szCs w:val="21"/>
                    </w:rPr>
                    <w:t>燃烧分解产物：一氧化碳、二氧化碳</w:t>
                  </w:r>
                </w:p>
              </w:tc>
            </w:tr>
            <w:tr w14:paraId="195D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2337FA1C">
                  <w:pPr>
                    <w:tabs>
                      <w:tab w:val="left" w:pos="1215"/>
                    </w:tabs>
                    <w:adjustRightInd w:val="0"/>
                    <w:snapToGrid w:val="0"/>
                    <w:spacing w:line="240" w:lineRule="auto"/>
                    <w:ind w:firstLine="0" w:firstLineChars="0"/>
                    <w:jc w:val="center"/>
                    <w:rPr>
                      <w:bCs/>
                      <w:sz w:val="21"/>
                      <w:szCs w:val="21"/>
                    </w:rPr>
                  </w:pPr>
                </w:p>
              </w:tc>
              <w:tc>
                <w:tcPr>
                  <w:tcW w:w="1779" w:type="pct"/>
                  <w:gridSpan w:val="2"/>
                  <w:tcBorders>
                    <w:top w:val="single" w:color="auto" w:sz="4" w:space="0"/>
                    <w:left w:val="single" w:color="auto" w:sz="4" w:space="0"/>
                    <w:bottom w:val="single" w:color="auto" w:sz="4" w:space="0"/>
                    <w:right w:val="single" w:color="auto" w:sz="4" w:space="0"/>
                  </w:tcBorders>
                  <w:vAlign w:val="center"/>
                </w:tcPr>
                <w:p w14:paraId="3582CF7A">
                  <w:pPr>
                    <w:tabs>
                      <w:tab w:val="left" w:pos="1215"/>
                    </w:tabs>
                    <w:adjustRightInd w:val="0"/>
                    <w:snapToGrid w:val="0"/>
                    <w:spacing w:line="240" w:lineRule="auto"/>
                    <w:ind w:firstLine="0" w:firstLineChars="0"/>
                    <w:jc w:val="center"/>
                    <w:rPr>
                      <w:bCs/>
                      <w:sz w:val="21"/>
                      <w:szCs w:val="21"/>
                    </w:rPr>
                  </w:pPr>
                  <w:r>
                    <w:rPr>
                      <w:bCs/>
                      <w:sz w:val="21"/>
                      <w:szCs w:val="21"/>
                    </w:rPr>
                    <w:t>爆炸下限（％）：19.0</w:t>
                  </w:r>
                </w:p>
              </w:tc>
              <w:tc>
                <w:tcPr>
                  <w:tcW w:w="2940" w:type="pct"/>
                  <w:gridSpan w:val="4"/>
                  <w:tcBorders>
                    <w:top w:val="single" w:color="auto" w:sz="4" w:space="0"/>
                    <w:left w:val="single" w:color="auto" w:sz="4" w:space="0"/>
                    <w:bottom w:val="single" w:color="auto" w:sz="4" w:space="0"/>
                    <w:right w:val="single" w:color="auto" w:sz="4" w:space="0"/>
                  </w:tcBorders>
                  <w:vAlign w:val="center"/>
                </w:tcPr>
                <w:p w14:paraId="765E43D9">
                  <w:pPr>
                    <w:tabs>
                      <w:tab w:val="left" w:pos="1215"/>
                    </w:tabs>
                    <w:adjustRightInd w:val="0"/>
                    <w:snapToGrid w:val="0"/>
                    <w:spacing w:line="240" w:lineRule="auto"/>
                    <w:ind w:firstLine="0" w:firstLineChars="0"/>
                    <w:jc w:val="center"/>
                    <w:rPr>
                      <w:bCs/>
                      <w:sz w:val="21"/>
                      <w:szCs w:val="21"/>
                    </w:rPr>
                  </w:pPr>
                  <w:r>
                    <w:rPr>
                      <w:bCs/>
                      <w:sz w:val="21"/>
                      <w:szCs w:val="21"/>
                    </w:rPr>
                    <w:t>爆炸上限（％）：3.3</w:t>
                  </w:r>
                </w:p>
              </w:tc>
            </w:tr>
            <w:tr w14:paraId="331E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3FD22266">
                  <w:pPr>
                    <w:tabs>
                      <w:tab w:val="left" w:pos="1215"/>
                    </w:tabs>
                    <w:adjustRightInd w:val="0"/>
                    <w:snapToGrid w:val="0"/>
                    <w:spacing w:line="240" w:lineRule="auto"/>
                    <w:ind w:firstLine="0" w:firstLineChars="0"/>
                    <w:jc w:val="center"/>
                    <w:rPr>
                      <w:bCs/>
                      <w:sz w:val="21"/>
                      <w:szCs w:val="21"/>
                    </w:rPr>
                  </w:pPr>
                </w:p>
              </w:tc>
              <w:tc>
                <w:tcPr>
                  <w:tcW w:w="1779" w:type="pct"/>
                  <w:gridSpan w:val="2"/>
                  <w:tcBorders>
                    <w:top w:val="single" w:color="auto" w:sz="4" w:space="0"/>
                    <w:left w:val="single" w:color="auto" w:sz="4" w:space="0"/>
                    <w:bottom w:val="single" w:color="auto" w:sz="4" w:space="0"/>
                    <w:right w:val="single" w:color="auto" w:sz="4" w:space="0"/>
                  </w:tcBorders>
                  <w:vAlign w:val="center"/>
                </w:tcPr>
                <w:p w14:paraId="7B7E6E6E">
                  <w:pPr>
                    <w:tabs>
                      <w:tab w:val="left" w:pos="1215"/>
                    </w:tabs>
                    <w:adjustRightInd w:val="0"/>
                    <w:snapToGrid w:val="0"/>
                    <w:spacing w:line="240" w:lineRule="auto"/>
                    <w:ind w:firstLine="0" w:firstLineChars="0"/>
                    <w:jc w:val="center"/>
                    <w:rPr>
                      <w:bCs/>
                      <w:sz w:val="21"/>
                      <w:szCs w:val="21"/>
                    </w:rPr>
                  </w:pPr>
                  <w:r>
                    <w:rPr>
                      <w:bCs/>
                      <w:sz w:val="21"/>
                      <w:szCs w:val="21"/>
                    </w:rPr>
                    <w:t>引燃温度（℃）：363</w:t>
                  </w:r>
                </w:p>
              </w:tc>
              <w:tc>
                <w:tcPr>
                  <w:tcW w:w="2940" w:type="pct"/>
                  <w:gridSpan w:val="4"/>
                  <w:tcBorders>
                    <w:top w:val="single" w:color="auto" w:sz="4" w:space="0"/>
                    <w:left w:val="single" w:color="auto" w:sz="4" w:space="0"/>
                    <w:bottom w:val="single" w:color="auto" w:sz="4" w:space="0"/>
                    <w:right w:val="single" w:color="auto" w:sz="4" w:space="0"/>
                  </w:tcBorders>
                  <w:vAlign w:val="center"/>
                </w:tcPr>
                <w:p w14:paraId="3C5F67D3">
                  <w:pPr>
                    <w:tabs>
                      <w:tab w:val="left" w:pos="1215"/>
                    </w:tabs>
                    <w:adjustRightInd w:val="0"/>
                    <w:snapToGrid w:val="0"/>
                    <w:spacing w:line="240" w:lineRule="auto"/>
                    <w:ind w:firstLine="0" w:firstLineChars="0"/>
                    <w:jc w:val="center"/>
                    <w:rPr>
                      <w:bCs/>
                      <w:sz w:val="21"/>
                      <w:szCs w:val="21"/>
                    </w:rPr>
                  </w:pPr>
                  <w:r>
                    <w:rPr>
                      <w:bCs/>
                      <w:sz w:val="21"/>
                      <w:szCs w:val="21"/>
                    </w:rPr>
                    <w:t>禁忌物：强氧化剂、酸类、酸酐、碱金属、胺类。</w:t>
                  </w:r>
                </w:p>
              </w:tc>
            </w:tr>
            <w:tr w14:paraId="0C07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14:paraId="4171FCCF">
                  <w:pPr>
                    <w:tabs>
                      <w:tab w:val="left" w:pos="1215"/>
                    </w:tabs>
                    <w:adjustRightInd w:val="0"/>
                    <w:snapToGrid w:val="0"/>
                    <w:spacing w:line="240" w:lineRule="auto"/>
                    <w:ind w:firstLine="0" w:firstLineChars="0"/>
                    <w:jc w:val="center"/>
                    <w:rPr>
                      <w:bCs/>
                      <w:sz w:val="21"/>
                      <w:szCs w:val="21"/>
                    </w:rPr>
                  </w:pPr>
                </w:p>
              </w:tc>
              <w:tc>
                <w:tcPr>
                  <w:tcW w:w="4719" w:type="pct"/>
                  <w:gridSpan w:val="6"/>
                  <w:tcBorders>
                    <w:top w:val="single" w:color="auto" w:sz="4" w:space="0"/>
                    <w:left w:val="single" w:color="auto" w:sz="4" w:space="0"/>
                    <w:bottom w:val="single" w:color="auto" w:sz="4" w:space="0"/>
                    <w:right w:val="single" w:color="auto" w:sz="4" w:space="0"/>
                  </w:tcBorders>
                  <w:vAlign w:val="center"/>
                </w:tcPr>
                <w:p w14:paraId="4CFC7454">
                  <w:pPr>
                    <w:tabs>
                      <w:tab w:val="left" w:pos="1215"/>
                    </w:tabs>
                    <w:adjustRightInd w:val="0"/>
                    <w:snapToGrid w:val="0"/>
                    <w:spacing w:line="240" w:lineRule="auto"/>
                    <w:ind w:firstLine="0" w:firstLineChars="0"/>
                    <w:jc w:val="center"/>
                    <w:rPr>
                      <w:bCs/>
                      <w:sz w:val="21"/>
                      <w:szCs w:val="21"/>
                    </w:rPr>
                  </w:pPr>
                  <w:r>
                    <w:rPr>
                      <w:bCs/>
                      <w:sz w:val="21"/>
                      <w:szCs w:val="21"/>
                    </w:rPr>
                    <w:t>易燃，其蒸汽与空气可形成爆炸性混合物，遇明火、高热能引起燃烧爆炸。与氧化剂接触发生化学反应或引起燃烧。在火场中，受热的容器有爆炸危险。</w:t>
                  </w:r>
                </w:p>
              </w:tc>
            </w:tr>
            <w:tr w14:paraId="5DFA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 w:type="pct"/>
                  <w:tcBorders>
                    <w:top w:val="single" w:color="auto" w:sz="4" w:space="0"/>
                    <w:left w:val="single" w:color="auto" w:sz="4" w:space="0"/>
                    <w:bottom w:val="single" w:color="auto" w:sz="4" w:space="0"/>
                    <w:right w:val="single" w:color="auto" w:sz="4" w:space="0"/>
                  </w:tcBorders>
                  <w:vAlign w:val="center"/>
                </w:tcPr>
                <w:p w14:paraId="1B9C442C">
                  <w:pPr>
                    <w:tabs>
                      <w:tab w:val="left" w:pos="1215"/>
                    </w:tabs>
                    <w:adjustRightInd w:val="0"/>
                    <w:snapToGrid w:val="0"/>
                    <w:spacing w:line="240" w:lineRule="auto"/>
                    <w:ind w:firstLine="0" w:firstLineChars="0"/>
                    <w:jc w:val="center"/>
                    <w:rPr>
                      <w:bCs/>
                      <w:sz w:val="21"/>
                      <w:szCs w:val="21"/>
                    </w:rPr>
                  </w:pPr>
                  <w:r>
                    <w:rPr>
                      <w:bCs/>
                      <w:sz w:val="21"/>
                      <w:szCs w:val="21"/>
                    </w:rPr>
                    <w:t>毒性</w:t>
                  </w:r>
                </w:p>
              </w:tc>
              <w:tc>
                <w:tcPr>
                  <w:tcW w:w="4719" w:type="pct"/>
                  <w:gridSpan w:val="6"/>
                  <w:tcBorders>
                    <w:top w:val="single" w:color="auto" w:sz="4" w:space="0"/>
                    <w:left w:val="single" w:color="auto" w:sz="4" w:space="0"/>
                    <w:bottom w:val="single" w:color="auto" w:sz="4" w:space="0"/>
                    <w:right w:val="single" w:color="auto" w:sz="4" w:space="0"/>
                  </w:tcBorders>
                  <w:vAlign w:val="center"/>
                </w:tcPr>
                <w:p w14:paraId="54EFFBF0">
                  <w:pPr>
                    <w:tabs>
                      <w:tab w:val="left" w:pos="1215"/>
                    </w:tabs>
                    <w:adjustRightInd w:val="0"/>
                    <w:snapToGrid w:val="0"/>
                    <w:spacing w:line="240" w:lineRule="auto"/>
                    <w:ind w:firstLine="0" w:firstLineChars="0"/>
                    <w:jc w:val="center"/>
                    <w:rPr>
                      <w:bCs/>
                      <w:sz w:val="21"/>
                      <w:szCs w:val="21"/>
                    </w:rPr>
                  </w:pPr>
                  <w:r>
                    <w:rPr>
                      <w:bCs/>
                      <w:sz w:val="21"/>
                      <w:szCs w:val="21"/>
                    </w:rPr>
                    <w:t>LD</w:t>
                  </w:r>
                  <w:r>
                    <w:rPr>
                      <w:bCs/>
                      <w:sz w:val="21"/>
                      <w:szCs w:val="21"/>
                      <w:vertAlign w:val="subscript"/>
                    </w:rPr>
                    <w:t>50</w:t>
                  </w:r>
                  <w:r>
                    <w:rPr>
                      <w:bCs/>
                      <w:sz w:val="21"/>
                      <w:szCs w:val="21"/>
                    </w:rPr>
                    <w:t>：7060mg/kg(兔经口)；7430mg/kg(兔经皮)</w:t>
                  </w:r>
                </w:p>
                <w:p w14:paraId="15A1099F">
                  <w:pPr>
                    <w:tabs>
                      <w:tab w:val="left" w:pos="1215"/>
                    </w:tabs>
                    <w:adjustRightInd w:val="0"/>
                    <w:snapToGrid w:val="0"/>
                    <w:spacing w:line="240" w:lineRule="auto"/>
                    <w:ind w:firstLine="0" w:firstLineChars="0"/>
                    <w:jc w:val="center"/>
                    <w:rPr>
                      <w:bCs/>
                      <w:sz w:val="21"/>
                      <w:szCs w:val="21"/>
                    </w:rPr>
                  </w:pPr>
                  <w:r>
                    <w:rPr>
                      <w:bCs/>
                      <w:sz w:val="21"/>
                      <w:szCs w:val="21"/>
                    </w:rPr>
                    <w:t>LC</w:t>
                  </w:r>
                  <w:r>
                    <w:rPr>
                      <w:bCs/>
                      <w:sz w:val="21"/>
                      <w:szCs w:val="21"/>
                      <w:vertAlign w:val="subscript"/>
                    </w:rPr>
                    <w:t>50</w:t>
                  </w:r>
                  <w:r>
                    <w:rPr>
                      <w:bCs/>
                      <w:sz w:val="21"/>
                      <w:szCs w:val="21"/>
                    </w:rPr>
                    <w:t>:37620mg/m</w:t>
                  </w:r>
                  <w:r>
                    <w:rPr>
                      <w:bCs/>
                      <w:sz w:val="21"/>
                      <w:szCs w:val="21"/>
                      <w:vertAlign w:val="superscript"/>
                    </w:rPr>
                    <w:t>3</w:t>
                  </w:r>
                  <w:r>
                    <w:rPr>
                      <w:rFonts w:hint="eastAsia"/>
                      <w:bCs/>
                      <w:sz w:val="21"/>
                      <w:szCs w:val="21"/>
                    </w:rPr>
                    <w:t>，</w:t>
                  </w:r>
                  <w:r>
                    <w:rPr>
                      <w:bCs/>
                      <w:sz w:val="21"/>
                      <w:szCs w:val="21"/>
                    </w:rPr>
                    <w:t>10小时（大鼠吸入）</w:t>
                  </w:r>
                </w:p>
              </w:tc>
            </w:tr>
          </w:tbl>
          <w:p w14:paraId="79B0AF5F">
            <w:pPr>
              <w:spacing w:line="240" w:lineRule="auto"/>
              <w:ind w:firstLine="0" w:firstLineChars="0"/>
              <w:jc w:val="center"/>
            </w:pPr>
            <w:r>
              <w:rPr>
                <w:b/>
                <w:bCs/>
                <w:kern w:val="28"/>
              </w:rPr>
              <w:t>表4-</w:t>
            </w:r>
            <w:r>
              <w:rPr>
                <w:rFonts w:hint="eastAsia"/>
                <w:b/>
                <w:bCs/>
                <w:kern w:val="28"/>
              </w:rPr>
              <w:t>20</w:t>
            </w:r>
            <w:r>
              <w:rPr>
                <w:b/>
                <w:bCs/>
                <w:kern w:val="28"/>
              </w:rPr>
              <w:t xml:space="preserve">  消毒</w:t>
            </w:r>
            <w:r>
              <w:rPr>
                <w:rFonts w:hint="eastAsia"/>
                <w:b/>
                <w:bCs/>
                <w:kern w:val="28"/>
              </w:rPr>
              <w:t>片</w:t>
            </w:r>
            <w:r>
              <w:rPr>
                <w:b/>
                <w:bCs/>
                <w:kern w:val="28"/>
              </w:rPr>
              <w:t>（氯酸钠）的理化性质及毒理性质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28" w:type="dxa"/>
                <w:left w:w="108" w:type="dxa"/>
                <w:bottom w:w="28" w:type="dxa"/>
                <w:right w:w="108" w:type="dxa"/>
              </w:tblCellMar>
            </w:tblPr>
            <w:tblGrid>
              <w:gridCol w:w="1082"/>
              <w:gridCol w:w="2182"/>
              <w:gridCol w:w="1852"/>
              <w:gridCol w:w="2853"/>
            </w:tblGrid>
            <w:tr w14:paraId="797DCD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40" w:hRule="atLeast"/>
                <w:jc w:val="center"/>
              </w:trPr>
              <w:tc>
                <w:tcPr>
                  <w:tcW w:w="678" w:type="pct"/>
                  <w:vAlign w:val="center"/>
                </w:tcPr>
                <w:p w14:paraId="0A44CDB2">
                  <w:pPr>
                    <w:widowControl/>
                    <w:spacing w:line="240" w:lineRule="auto"/>
                    <w:ind w:firstLine="0" w:firstLineChars="0"/>
                    <w:jc w:val="center"/>
                    <w:rPr>
                      <w:bCs/>
                      <w:color w:val="0000FF"/>
                      <w:sz w:val="21"/>
                      <w:szCs w:val="21"/>
                    </w:rPr>
                  </w:pPr>
                  <w:r>
                    <w:rPr>
                      <w:bCs/>
                      <w:color w:val="0000FF"/>
                      <w:sz w:val="21"/>
                      <w:szCs w:val="21"/>
                    </w:rPr>
                    <w:t>主要成分</w:t>
                  </w:r>
                </w:p>
              </w:tc>
              <w:tc>
                <w:tcPr>
                  <w:tcW w:w="1369" w:type="pct"/>
                  <w:vAlign w:val="center"/>
                </w:tcPr>
                <w:p w14:paraId="0C93D4A6">
                  <w:pPr>
                    <w:widowControl/>
                    <w:spacing w:line="240" w:lineRule="auto"/>
                    <w:ind w:firstLine="0" w:firstLineChars="0"/>
                    <w:jc w:val="center"/>
                    <w:rPr>
                      <w:bCs/>
                      <w:color w:val="0000FF"/>
                      <w:sz w:val="21"/>
                      <w:szCs w:val="21"/>
                    </w:rPr>
                  </w:pPr>
                  <w:r>
                    <w:rPr>
                      <w:color w:val="0000FF"/>
                      <w:sz w:val="21"/>
                      <w:szCs w:val="21"/>
                      <w:shd w:val="clear" w:color="auto" w:fill="FFFFFF"/>
                    </w:rPr>
                    <w:t>NaClO</w:t>
                  </w:r>
                  <w:r>
                    <w:rPr>
                      <w:rFonts w:hint="eastAsia"/>
                      <w:color w:val="0000FF"/>
                      <w:sz w:val="21"/>
                      <w:szCs w:val="21"/>
                      <w:shd w:val="clear" w:color="auto" w:fill="FFFFFF"/>
                      <w:vertAlign w:val="subscript"/>
                    </w:rPr>
                    <w:t>3</w:t>
                  </w:r>
                </w:p>
              </w:tc>
              <w:tc>
                <w:tcPr>
                  <w:tcW w:w="1162" w:type="pct"/>
                  <w:vAlign w:val="center"/>
                </w:tcPr>
                <w:p w14:paraId="1E519383">
                  <w:pPr>
                    <w:widowControl/>
                    <w:spacing w:line="240" w:lineRule="auto"/>
                    <w:ind w:firstLine="0" w:firstLineChars="0"/>
                    <w:jc w:val="center"/>
                    <w:rPr>
                      <w:bCs/>
                      <w:color w:val="0000FF"/>
                      <w:sz w:val="21"/>
                      <w:szCs w:val="21"/>
                    </w:rPr>
                  </w:pPr>
                  <w:r>
                    <w:rPr>
                      <w:bCs/>
                      <w:color w:val="0000FF"/>
                      <w:sz w:val="21"/>
                      <w:szCs w:val="21"/>
                    </w:rPr>
                    <w:t>性状</w:t>
                  </w:r>
                </w:p>
              </w:tc>
              <w:tc>
                <w:tcPr>
                  <w:tcW w:w="1789" w:type="pct"/>
                  <w:vAlign w:val="center"/>
                </w:tcPr>
                <w:p w14:paraId="3A94CCB3">
                  <w:pPr>
                    <w:widowControl/>
                    <w:spacing w:line="240" w:lineRule="auto"/>
                    <w:ind w:firstLine="0" w:firstLineChars="0"/>
                    <w:jc w:val="center"/>
                    <w:rPr>
                      <w:bCs/>
                      <w:color w:val="0000FF"/>
                      <w:sz w:val="21"/>
                      <w:szCs w:val="21"/>
                    </w:rPr>
                  </w:pPr>
                  <w:r>
                    <w:rPr>
                      <w:bCs/>
                      <w:color w:val="0000FF"/>
                      <w:sz w:val="21"/>
                      <w:szCs w:val="21"/>
                    </w:rPr>
                    <w:t>白色或淡黄色固体</w:t>
                  </w:r>
                </w:p>
              </w:tc>
            </w:tr>
            <w:tr w14:paraId="3D4728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40" w:hRule="atLeast"/>
                <w:jc w:val="center"/>
              </w:trPr>
              <w:tc>
                <w:tcPr>
                  <w:tcW w:w="678" w:type="pct"/>
                  <w:vAlign w:val="center"/>
                </w:tcPr>
                <w:p w14:paraId="6A3396F2">
                  <w:pPr>
                    <w:widowControl/>
                    <w:spacing w:line="240" w:lineRule="auto"/>
                    <w:ind w:firstLine="0" w:firstLineChars="0"/>
                    <w:jc w:val="center"/>
                    <w:rPr>
                      <w:bCs/>
                      <w:color w:val="0000FF"/>
                      <w:sz w:val="21"/>
                      <w:szCs w:val="21"/>
                    </w:rPr>
                  </w:pPr>
                  <w:r>
                    <w:rPr>
                      <w:bCs/>
                      <w:color w:val="0000FF"/>
                      <w:sz w:val="21"/>
                      <w:szCs w:val="21"/>
                    </w:rPr>
                    <w:t>气味</w:t>
                  </w:r>
                </w:p>
              </w:tc>
              <w:tc>
                <w:tcPr>
                  <w:tcW w:w="1369" w:type="pct"/>
                  <w:vAlign w:val="center"/>
                </w:tcPr>
                <w:p w14:paraId="5832BD05">
                  <w:pPr>
                    <w:widowControl/>
                    <w:spacing w:line="240" w:lineRule="auto"/>
                    <w:ind w:firstLine="0" w:firstLineChars="0"/>
                    <w:jc w:val="center"/>
                    <w:rPr>
                      <w:bCs/>
                      <w:color w:val="0000FF"/>
                      <w:sz w:val="21"/>
                      <w:szCs w:val="21"/>
                    </w:rPr>
                  </w:pPr>
                  <w:r>
                    <w:rPr>
                      <w:rFonts w:hint="eastAsia"/>
                      <w:bCs/>
                      <w:color w:val="0000FF"/>
                      <w:sz w:val="21"/>
                      <w:szCs w:val="21"/>
                    </w:rPr>
                    <w:t>无臭无味</w:t>
                  </w:r>
                </w:p>
              </w:tc>
              <w:tc>
                <w:tcPr>
                  <w:tcW w:w="1162" w:type="pct"/>
                  <w:vAlign w:val="center"/>
                </w:tcPr>
                <w:p w14:paraId="2D8A535E">
                  <w:pPr>
                    <w:widowControl/>
                    <w:spacing w:line="240" w:lineRule="auto"/>
                    <w:ind w:firstLine="0" w:firstLineChars="0"/>
                    <w:jc w:val="center"/>
                    <w:rPr>
                      <w:bCs/>
                      <w:color w:val="0000FF"/>
                      <w:sz w:val="21"/>
                      <w:szCs w:val="21"/>
                    </w:rPr>
                  </w:pPr>
                  <w:r>
                    <w:rPr>
                      <w:color w:val="0000FF"/>
                      <w:sz w:val="21"/>
                      <w:szCs w:val="21"/>
                      <w:shd w:val="clear" w:color="auto" w:fill="FFFFFF"/>
                    </w:rPr>
                    <w:t>有效氯含量</w:t>
                  </w:r>
                </w:p>
              </w:tc>
              <w:tc>
                <w:tcPr>
                  <w:tcW w:w="1789" w:type="pct"/>
                  <w:vAlign w:val="center"/>
                </w:tcPr>
                <w:p w14:paraId="2EACFBDD">
                  <w:pPr>
                    <w:widowControl/>
                    <w:spacing w:line="240" w:lineRule="auto"/>
                    <w:ind w:firstLine="0" w:firstLineChars="0"/>
                    <w:jc w:val="center"/>
                    <w:rPr>
                      <w:bCs/>
                      <w:color w:val="0000FF"/>
                      <w:sz w:val="21"/>
                      <w:szCs w:val="21"/>
                    </w:rPr>
                  </w:pPr>
                  <w:r>
                    <w:rPr>
                      <w:rFonts w:hint="eastAsia"/>
                      <w:color w:val="0000FF"/>
                      <w:sz w:val="21"/>
                      <w:szCs w:val="21"/>
                      <w:shd w:val="clear" w:color="auto" w:fill="FFFFFF"/>
                    </w:rPr>
                    <w:t>/</w:t>
                  </w:r>
                </w:p>
              </w:tc>
            </w:tr>
            <w:tr w14:paraId="169352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40" w:hRule="atLeast"/>
                <w:jc w:val="center"/>
              </w:trPr>
              <w:tc>
                <w:tcPr>
                  <w:tcW w:w="678" w:type="pct"/>
                  <w:vAlign w:val="center"/>
                </w:tcPr>
                <w:p w14:paraId="6DE5A619">
                  <w:pPr>
                    <w:widowControl/>
                    <w:spacing w:line="240" w:lineRule="auto"/>
                    <w:ind w:firstLine="0" w:firstLineChars="0"/>
                    <w:jc w:val="center"/>
                    <w:rPr>
                      <w:bCs/>
                      <w:color w:val="0000FF"/>
                      <w:sz w:val="21"/>
                      <w:szCs w:val="21"/>
                    </w:rPr>
                  </w:pPr>
                  <w:r>
                    <w:rPr>
                      <w:bCs/>
                      <w:color w:val="0000FF"/>
                      <w:sz w:val="21"/>
                      <w:szCs w:val="21"/>
                    </w:rPr>
                    <w:t>化学特性</w:t>
                  </w:r>
                </w:p>
              </w:tc>
              <w:tc>
                <w:tcPr>
                  <w:tcW w:w="4321" w:type="pct"/>
                  <w:gridSpan w:val="3"/>
                  <w:vAlign w:val="center"/>
                </w:tcPr>
                <w:p w14:paraId="1E21ED24">
                  <w:pPr>
                    <w:widowControl/>
                    <w:spacing w:line="240" w:lineRule="auto"/>
                    <w:ind w:firstLine="0" w:firstLineChars="0"/>
                    <w:jc w:val="center"/>
                    <w:rPr>
                      <w:bCs/>
                      <w:color w:val="0000FF"/>
                      <w:kern w:val="28"/>
                      <w:sz w:val="21"/>
                      <w:szCs w:val="21"/>
                    </w:rPr>
                  </w:pPr>
                  <w:r>
                    <w:rPr>
                      <w:bCs/>
                      <w:color w:val="0000FF"/>
                      <w:kern w:val="28"/>
                      <w:sz w:val="21"/>
                      <w:szCs w:val="21"/>
                    </w:rPr>
                    <w:t>氯酸钠是一种强氧化剂，能够与许多物质发生氧化还原反应。它通常以白色或淡黄色粉末或颗粒形式存在，无臭无味。在室温下相对稳定，但受热或与还原剂接触时会分解产生氧气。</w:t>
                  </w:r>
                </w:p>
              </w:tc>
            </w:tr>
            <w:tr w14:paraId="7E293D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40" w:hRule="atLeast"/>
                <w:jc w:val="center"/>
              </w:trPr>
              <w:tc>
                <w:tcPr>
                  <w:tcW w:w="678" w:type="pct"/>
                  <w:vAlign w:val="center"/>
                </w:tcPr>
                <w:p w14:paraId="2CDD2CD7">
                  <w:pPr>
                    <w:widowControl/>
                    <w:spacing w:line="240" w:lineRule="auto"/>
                    <w:ind w:firstLine="0" w:firstLineChars="0"/>
                    <w:jc w:val="center"/>
                    <w:rPr>
                      <w:bCs/>
                      <w:color w:val="0000FF"/>
                      <w:sz w:val="21"/>
                      <w:szCs w:val="21"/>
                    </w:rPr>
                  </w:pPr>
                  <w:r>
                    <w:rPr>
                      <w:rFonts w:hint="eastAsia"/>
                      <w:bCs/>
                      <w:color w:val="0000FF"/>
                      <w:sz w:val="21"/>
                      <w:szCs w:val="21"/>
                    </w:rPr>
                    <w:t>急性毒性</w:t>
                  </w:r>
                </w:p>
              </w:tc>
              <w:tc>
                <w:tcPr>
                  <w:tcW w:w="4321" w:type="pct"/>
                  <w:gridSpan w:val="3"/>
                  <w:vAlign w:val="center"/>
                </w:tcPr>
                <w:p w14:paraId="3C0DF2D2">
                  <w:pPr>
                    <w:widowControl/>
                    <w:spacing w:line="240" w:lineRule="auto"/>
                    <w:ind w:firstLine="0" w:firstLineChars="0"/>
                    <w:jc w:val="center"/>
                    <w:rPr>
                      <w:bCs/>
                      <w:color w:val="0000FF"/>
                      <w:sz w:val="21"/>
                      <w:szCs w:val="21"/>
                    </w:rPr>
                  </w:pPr>
                  <w:r>
                    <w:rPr>
                      <w:bCs/>
                      <w:color w:val="0000FF"/>
                      <w:sz w:val="21"/>
                      <w:szCs w:val="21"/>
                    </w:rPr>
                    <w:t>氯酸钠的急性毒性较低，通常不会引起严重的急性中毒症状。但是，高剂量摄入或吸入氯酸钠的分解产物（如氯气）可能导致刺激性呼吸道症状、眼部刺激、皮肤刺激或灼伤。</w:t>
                  </w:r>
                </w:p>
              </w:tc>
            </w:tr>
            <w:tr w14:paraId="573C63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40" w:hRule="atLeast"/>
                <w:jc w:val="center"/>
              </w:trPr>
              <w:tc>
                <w:tcPr>
                  <w:tcW w:w="678" w:type="pct"/>
                  <w:vAlign w:val="center"/>
                </w:tcPr>
                <w:p w14:paraId="0F256D77">
                  <w:pPr>
                    <w:widowControl/>
                    <w:spacing w:line="240" w:lineRule="auto"/>
                    <w:ind w:firstLine="0" w:firstLineChars="0"/>
                    <w:jc w:val="center"/>
                    <w:rPr>
                      <w:bCs/>
                      <w:color w:val="0000FF"/>
                      <w:sz w:val="21"/>
                      <w:szCs w:val="21"/>
                    </w:rPr>
                  </w:pPr>
                  <w:r>
                    <w:rPr>
                      <w:rFonts w:hint="eastAsia"/>
                      <w:bCs/>
                      <w:color w:val="0000FF"/>
                      <w:sz w:val="21"/>
                      <w:szCs w:val="21"/>
                    </w:rPr>
                    <w:t>环境影响</w:t>
                  </w:r>
                </w:p>
              </w:tc>
              <w:tc>
                <w:tcPr>
                  <w:tcW w:w="4321" w:type="pct"/>
                  <w:gridSpan w:val="3"/>
                  <w:vAlign w:val="center"/>
                </w:tcPr>
                <w:p w14:paraId="29E52800">
                  <w:pPr>
                    <w:widowControl/>
                    <w:spacing w:line="240" w:lineRule="auto"/>
                    <w:ind w:firstLine="0" w:firstLineChars="0"/>
                    <w:jc w:val="center"/>
                    <w:rPr>
                      <w:bCs/>
                      <w:color w:val="0000FF"/>
                      <w:spacing w:val="8"/>
                      <w:kern w:val="28"/>
                      <w:sz w:val="21"/>
                      <w:szCs w:val="21"/>
                    </w:rPr>
                  </w:pPr>
                  <w:r>
                    <w:rPr>
                      <w:rFonts w:ascii="Segoe UI" w:hAnsi="Segoe UI" w:eastAsia="Segoe UI" w:cs="Segoe UI"/>
                      <w:color w:val="0000FF"/>
                      <w:sz w:val="22"/>
                      <w:szCs w:val="22"/>
                      <w:shd w:val="clear" w:color="auto" w:fill="FFFFFF"/>
                    </w:rPr>
                    <w:t>氯酸钠在环境中不稳定，会分解产生氧气和氯气。氯气是一种有毒气体，对环境和生物体都有危害。氯酸钠的分解产物可能会对水生生物造成毒害，并可能对土壤和地下水造成污染。</w:t>
                  </w:r>
                </w:p>
              </w:tc>
            </w:tr>
            <w:tr w14:paraId="3ADB51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40" w:hRule="atLeast"/>
                <w:jc w:val="center"/>
              </w:trPr>
              <w:tc>
                <w:tcPr>
                  <w:tcW w:w="678" w:type="pct"/>
                  <w:vAlign w:val="center"/>
                </w:tcPr>
                <w:p w14:paraId="42C463CE">
                  <w:pPr>
                    <w:widowControl/>
                    <w:spacing w:line="240" w:lineRule="auto"/>
                    <w:ind w:firstLine="0" w:firstLineChars="0"/>
                    <w:jc w:val="center"/>
                    <w:rPr>
                      <w:bCs/>
                      <w:color w:val="0000FF"/>
                      <w:sz w:val="21"/>
                      <w:szCs w:val="21"/>
                    </w:rPr>
                  </w:pPr>
                  <w:r>
                    <w:rPr>
                      <w:rFonts w:hint="eastAsia"/>
                      <w:bCs/>
                      <w:color w:val="0000FF"/>
                      <w:sz w:val="21"/>
                      <w:szCs w:val="21"/>
                    </w:rPr>
                    <w:t>注意事项</w:t>
                  </w:r>
                </w:p>
              </w:tc>
              <w:tc>
                <w:tcPr>
                  <w:tcW w:w="4321" w:type="pct"/>
                  <w:gridSpan w:val="3"/>
                  <w:vAlign w:val="center"/>
                </w:tcPr>
                <w:p w14:paraId="03359D2C">
                  <w:pPr>
                    <w:widowControl/>
                    <w:spacing w:line="240" w:lineRule="auto"/>
                    <w:ind w:firstLine="0" w:firstLineChars="0"/>
                    <w:jc w:val="center"/>
                    <w:rPr>
                      <w:bCs/>
                      <w:color w:val="0000FF"/>
                      <w:spacing w:val="8"/>
                      <w:kern w:val="28"/>
                      <w:sz w:val="21"/>
                      <w:szCs w:val="21"/>
                    </w:rPr>
                  </w:pPr>
                  <w:r>
                    <w:rPr>
                      <w:bCs/>
                      <w:color w:val="0000FF"/>
                      <w:spacing w:val="8"/>
                      <w:kern w:val="28"/>
                      <w:sz w:val="21"/>
                      <w:szCs w:val="21"/>
                    </w:rPr>
                    <w:t>在使用氯酸钠时，应采取适当的防护措施，如佩戴防护眼镜、手套和口罩，避免直接接触皮肤和眼睛。在储存和运输氯酸钠时，应确保遵守相关的安全规定和指南，以防止泄漏和意外接触。</w:t>
                  </w:r>
                </w:p>
              </w:tc>
            </w:tr>
          </w:tbl>
          <w:p w14:paraId="0AD109B8">
            <w:pPr>
              <w:pStyle w:val="6"/>
              <w:rPr>
                <w:bCs/>
              </w:rPr>
            </w:pPr>
            <w:r>
              <w:rPr>
                <w:bCs/>
              </w:rPr>
              <w:t>（二）设施风险性识别</w:t>
            </w:r>
          </w:p>
          <w:p w14:paraId="106E86E7">
            <w:pPr>
              <w:pStyle w:val="6"/>
              <w:rPr>
                <w:bCs/>
                <w:color w:val="0000FF"/>
              </w:rPr>
            </w:pPr>
            <w:r>
              <w:rPr>
                <w:bCs/>
                <w:color w:val="0000FF"/>
              </w:rPr>
              <w:t>（1）储存设施泄漏：主要为</w:t>
            </w:r>
            <w:r>
              <w:rPr>
                <w:rFonts w:hint="eastAsia"/>
                <w:bCs/>
                <w:color w:val="0000FF"/>
              </w:rPr>
              <w:t>原料间</w:t>
            </w:r>
            <w:r>
              <w:rPr>
                <w:bCs/>
                <w:color w:val="0000FF"/>
              </w:rPr>
              <w:t>储存</w:t>
            </w:r>
            <w:r>
              <w:rPr>
                <w:rFonts w:hint="eastAsia"/>
                <w:bCs/>
                <w:color w:val="0000FF"/>
              </w:rPr>
              <w:t>酒精桶、液化石油罐</w:t>
            </w:r>
            <w:r>
              <w:rPr>
                <w:bCs/>
                <w:color w:val="0000FF"/>
              </w:rPr>
              <w:t>泄漏进而影响地下水及土壤环境</w:t>
            </w:r>
            <w:r>
              <w:rPr>
                <w:rFonts w:hint="eastAsia"/>
                <w:bCs/>
                <w:color w:val="0000FF"/>
              </w:rPr>
              <w:t>、大气</w:t>
            </w:r>
            <w:r>
              <w:rPr>
                <w:bCs/>
                <w:color w:val="0000FF"/>
              </w:rPr>
              <w:t>；此外，本项目所使用的原辅料库贮存的油存在一定的火灾爆炸风险。</w:t>
            </w:r>
          </w:p>
          <w:p w14:paraId="7B3A0216">
            <w:pPr>
              <w:pStyle w:val="6"/>
              <w:rPr>
                <w:bCs/>
                <w:color w:val="0000FF"/>
              </w:rPr>
            </w:pPr>
            <w:r>
              <w:rPr>
                <w:bCs/>
                <w:color w:val="0000FF"/>
              </w:rPr>
              <w:t>（2）废气处理系统：本项目废气主要为</w:t>
            </w:r>
            <w:r>
              <w:rPr>
                <w:rFonts w:hint="eastAsia"/>
                <w:bCs/>
                <w:color w:val="0000FF"/>
              </w:rPr>
              <w:t>蒸汽发生器</w:t>
            </w:r>
            <w:r>
              <w:rPr>
                <w:bCs/>
                <w:color w:val="0000FF"/>
              </w:rPr>
              <w:t>燃烧废气及油烟废气</w:t>
            </w:r>
            <w:r>
              <w:rPr>
                <w:rFonts w:hint="eastAsia"/>
                <w:bCs/>
                <w:color w:val="0000FF"/>
              </w:rPr>
              <w:t>；</w:t>
            </w:r>
            <w:r>
              <w:rPr>
                <w:bCs/>
                <w:color w:val="0000FF"/>
              </w:rPr>
              <w:t>若蒸汽发生器低氮燃烧装置损坏，会导致氮氧化物超标排放</w:t>
            </w:r>
            <w:r>
              <w:rPr>
                <w:rFonts w:hint="eastAsia"/>
                <w:bCs/>
                <w:color w:val="0000FF"/>
              </w:rPr>
              <w:t>；</w:t>
            </w:r>
            <w:r>
              <w:rPr>
                <w:bCs/>
                <w:color w:val="0000FF"/>
              </w:rPr>
              <w:t>静电式油烟净化器损坏或风机损坏，可能导致油烟未经处理事故性排放。</w:t>
            </w:r>
          </w:p>
          <w:p w14:paraId="7B6F12B4">
            <w:pPr>
              <w:pStyle w:val="6"/>
              <w:rPr>
                <w:bCs/>
                <w:color w:val="0000FF"/>
              </w:rPr>
            </w:pPr>
            <w:r>
              <w:rPr>
                <w:bCs/>
                <w:color w:val="0000FF"/>
              </w:rPr>
              <w:t>（3）火灾爆炸事故：火灾爆炸会引发次生环境污染，对大气、地表水等产生影响。如果厂区发生火灾，产生消防废水会污染地表水，同时火灾产生的一氧化碳等废气污染大气环境。</w:t>
            </w:r>
          </w:p>
          <w:p w14:paraId="6F2D8863">
            <w:pPr>
              <w:pStyle w:val="6"/>
              <w:rPr>
                <w:bCs/>
                <w:color w:val="0000FF"/>
              </w:rPr>
            </w:pPr>
            <w:r>
              <w:rPr>
                <w:rFonts w:hint="eastAsia"/>
                <w:bCs/>
                <w:color w:val="0000FF"/>
              </w:rPr>
              <w:t>（4）废水处理系统：本项目污水处理站在使用过程中故障或者破损，可能导致废水未经处理超标排放。</w:t>
            </w:r>
          </w:p>
          <w:p w14:paraId="40D627B0">
            <w:pPr>
              <w:pStyle w:val="6"/>
              <w:rPr>
                <w:bCs/>
                <w:color w:val="0000FF"/>
              </w:rPr>
            </w:pPr>
            <w:r>
              <w:rPr>
                <w:bCs/>
                <w:color w:val="0000FF"/>
              </w:rPr>
              <w:t>（三）环境风险分析</w:t>
            </w:r>
          </w:p>
          <w:p w14:paraId="72BD702A">
            <w:pPr>
              <w:pStyle w:val="6"/>
              <w:rPr>
                <w:bCs/>
                <w:color w:val="0000FF"/>
              </w:rPr>
            </w:pPr>
            <w:r>
              <w:rPr>
                <w:bCs/>
                <w:color w:val="0000FF"/>
              </w:rPr>
              <w:t>（1）物质泄漏事故影响分析</w:t>
            </w:r>
          </w:p>
          <w:p w14:paraId="6884E44E">
            <w:pPr>
              <w:pStyle w:val="6"/>
              <w:rPr>
                <w:bCs/>
                <w:color w:val="0000FF"/>
              </w:rPr>
            </w:pPr>
            <w:r>
              <w:rPr>
                <w:bCs/>
                <w:color w:val="0000FF"/>
              </w:rPr>
              <w:t>项目可能发生泄漏的区域主要集中在辅料库如遇储存容器损坏发生泄露，会污染周边地表水、地下水及土壤环境</w:t>
            </w:r>
            <w:r>
              <w:rPr>
                <w:rFonts w:hint="eastAsia"/>
                <w:bCs/>
                <w:color w:val="0000FF"/>
              </w:rPr>
              <w:t>；</w:t>
            </w:r>
            <w:r>
              <w:rPr>
                <w:bCs/>
                <w:color w:val="0000FF"/>
              </w:rPr>
              <w:t>同时</w:t>
            </w:r>
            <w:r>
              <w:rPr>
                <w:rFonts w:hint="eastAsia"/>
                <w:bCs/>
                <w:color w:val="0000FF"/>
              </w:rPr>
              <w:t>酒精</w:t>
            </w:r>
            <w:r>
              <w:rPr>
                <w:bCs/>
                <w:color w:val="0000FF"/>
              </w:rPr>
              <w:t>作为易燃物质，也存在一定的火灾隐患</w:t>
            </w:r>
            <w:r>
              <w:rPr>
                <w:rFonts w:hint="eastAsia"/>
                <w:bCs/>
                <w:color w:val="0000FF"/>
              </w:rPr>
              <w:t>；</w:t>
            </w:r>
            <w:r>
              <w:rPr>
                <w:bCs/>
                <w:color w:val="0000FF"/>
              </w:rPr>
              <w:t>此外，若遇周边围堰破损及降雨天气，也可能通过地表径流进入区域地表水体同时渗入地下水及土壤环境带来影响</w:t>
            </w:r>
            <w:r>
              <w:rPr>
                <w:rFonts w:hint="eastAsia"/>
                <w:bCs/>
                <w:color w:val="0000FF"/>
              </w:rPr>
              <w:t>；</w:t>
            </w:r>
            <w:r>
              <w:rPr>
                <w:bCs/>
                <w:color w:val="0000FF"/>
              </w:rPr>
              <w:t>此外，辅料间的油泄漏存在一定火灾风险。</w:t>
            </w:r>
          </w:p>
          <w:p w14:paraId="4D3777A6">
            <w:pPr>
              <w:pStyle w:val="6"/>
              <w:rPr>
                <w:bCs/>
                <w:color w:val="0000FF"/>
              </w:rPr>
            </w:pPr>
            <w:r>
              <w:rPr>
                <w:bCs/>
                <w:color w:val="0000FF"/>
              </w:rPr>
              <w:t>（2）废气事故影响分析</w:t>
            </w:r>
          </w:p>
          <w:p w14:paraId="63F60A0C">
            <w:pPr>
              <w:pStyle w:val="6"/>
              <w:rPr>
                <w:bCs/>
                <w:color w:val="0000FF"/>
              </w:rPr>
            </w:pPr>
            <w:r>
              <w:rPr>
                <w:bCs/>
                <w:color w:val="0000FF"/>
              </w:rPr>
              <w:t>本项目废气主要为</w:t>
            </w:r>
            <w:r>
              <w:rPr>
                <w:rFonts w:hint="eastAsia"/>
                <w:bCs/>
                <w:color w:val="0000FF"/>
              </w:rPr>
              <w:t>蒸汽发生器</w:t>
            </w:r>
            <w:r>
              <w:rPr>
                <w:bCs/>
                <w:color w:val="0000FF"/>
              </w:rPr>
              <w:t>燃烧废气及油烟废气</w:t>
            </w:r>
            <w:r>
              <w:rPr>
                <w:rFonts w:hint="eastAsia"/>
                <w:bCs/>
                <w:color w:val="0000FF"/>
              </w:rPr>
              <w:t>；</w:t>
            </w:r>
            <w:r>
              <w:rPr>
                <w:bCs/>
                <w:color w:val="0000FF"/>
              </w:rPr>
              <w:t>若蒸汽发生器低氮燃烧装置损坏，会导致氮氧化物超标排放</w:t>
            </w:r>
            <w:r>
              <w:rPr>
                <w:rFonts w:hint="eastAsia"/>
                <w:bCs/>
                <w:color w:val="0000FF"/>
              </w:rPr>
              <w:t>；</w:t>
            </w:r>
            <w:r>
              <w:rPr>
                <w:bCs/>
                <w:color w:val="0000FF"/>
              </w:rPr>
              <w:t>静电式油烟净化器损坏或风机损坏，可能导致油烟未经处理事故性排放。</w:t>
            </w:r>
          </w:p>
          <w:p w14:paraId="70EC5A07">
            <w:pPr>
              <w:pStyle w:val="6"/>
              <w:rPr>
                <w:bCs/>
                <w:color w:val="0000FF"/>
              </w:rPr>
            </w:pPr>
            <w:r>
              <w:rPr>
                <w:bCs/>
                <w:color w:val="0000FF"/>
              </w:rPr>
              <w:t>（3）火灾、爆炸事故影响分析</w:t>
            </w:r>
          </w:p>
          <w:p w14:paraId="3646BF6C">
            <w:pPr>
              <w:pStyle w:val="6"/>
              <w:rPr>
                <w:bCs/>
                <w:color w:val="0000FF"/>
              </w:rPr>
            </w:pPr>
            <w:r>
              <w:rPr>
                <w:bCs/>
                <w:color w:val="0000FF"/>
              </w:rPr>
              <w:t>项目所使用的油及</w:t>
            </w:r>
            <w:r>
              <w:rPr>
                <w:rFonts w:hint="eastAsia"/>
                <w:bCs/>
                <w:color w:val="0000FF"/>
              </w:rPr>
              <w:t>酒精</w:t>
            </w:r>
            <w:r>
              <w:rPr>
                <w:bCs/>
                <w:color w:val="0000FF"/>
              </w:rPr>
              <w:t>具有一定的可燃性，在遇到明火的情况下，可能发生火灾。一旦遇到点火源，就可能被轻易点燃并发生燃烧，甚至引发爆炸。</w:t>
            </w:r>
            <w:r>
              <w:rPr>
                <w:rFonts w:hint="eastAsia"/>
                <w:bCs/>
                <w:color w:val="0000FF"/>
              </w:rPr>
              <w:t xml:space="preserve">       </w:t>
            </w:r>
          </w:p>
          <w:p w14:paraId="532A55E5">
            <w:pPr>
              <w:pStyle w:val="6"/>
              <w:rPr>
                <w:bCs/>
                <w:color w:val="0000FF"/>
              </w:rPr>
            </w:pPr>
            <w:r>
              <w:rPr>
                <w:rFonts w:hint="eastAsia"/>
                <w:bCs/>
                <w:color w:val="0000FF"/>
              </w:rPr>
              <w:t>根据</w:t>
            </w:r>
            <w:r>
              <w:rPr>
                <w:bCs/>
                <w:color w:val="0000FF"/>
              </w:rPr>
              <w:t>本项目的生产情况，热源或明火的主要来源为工人违章吸烟、操作过程中产生的静电等。火灾事故产生的浓烟会以起火点为中心在一定范围内降落大量烟尘，局部气温、气压、能见度等会产生明显的变化，对局部大气环境</w:t>
            </w:r>
            <w:r>
              <w:rPr>
                <w:rFonts w:hint="eastAsia"/>
                <w:bCs/>
                <w:color w:val="0000FF"/>
              </w:rPr>
              <w:t>（</w:t>
            </w:r>
            <w:r>
              <w:rPr>
                <w:bCs/>
                <w:color w:val="0000FF"/>
              </w:rPr>
              <w:t>包括下风向大气环境</w:t>
            </w:r>
            <w:r>
              <w:rPr>
                <w:rFonts w:hint="eastAsia"/>
                <w:bCs/>
                <w:color w:val="0000FF"/>
              </w:rPr>
              <w:t>）</w:t>
            </w:r>
            <w:r>
              <w:rPr>
                <w:bCs/>
                <w:color w:val="0000FF"/>
              </w:rPr>
              <w:t>造成较大的短期的影响</w:t>
            </w:r>
            <w:r>
              <w:rPr>
                <w:rFonts w:hint="eastAsia"/>
                <w:bCs/>
                <w:color w:val="0000FF"/>
              </w:rPr>
              <w:t>；</w:t>
            </w:r>
            <w:r>
              <w:rPr>
                <w:bCs/>
                <w:color w:val="0000FF"/>
              </w:rPr>
              <w:t>火灾事故同时伴随着物料的泄漏影响周围大气地表水环境。火灾对周围环境的影响体现在火灾期间有毒烟气对周围环境的影响，这种影响一般是短暂的。燃烧时可能产生黑烟、一氧化碳、二氧化碳、烃类、氮氧化物等，其烟气对眼睛、呼吸道以及皮肤有一定的刺激性，过度接触 可导致头痛、发寒、发烧、呕吐等症状。按此分析，一旦发生火灾，项目区内工作人员有可能过度接触有毒烟气从而引起上述不良症状甚至窒息而死亡，而与火灾现场有一定距离的人，其眼睛、呼吸道及皮肤将在短时间内不同程度地受到一定的刺激。同时火灾中的各种物质燃烧会产生各种有害气体和烟尘，沿下风向扩散，对下风向的人员和环境造成危害。</w:t>
            </w:r>
          </w:p>
          <w:p w14:paraId="1A2E0CDB">
            <w:pPr>
              <w:pStyle w:val="6"/>
              <w:numPr>
                <w:ilvl w:val="0"/>
                <w:numId w:val="9"/>
              </w:numPr>
              <w:rPr>
                <w:bCs/>
                <w:color w:val="0000FF"/>
              </w:rPr>
            </w:pPr>
            <w:r>
              <w:rPr>
                <w:bCs/>
                <w:color w:val="0000FF"/>
              </w:rPr>
              <w:t>废</w:t>
            </w:r>
            <w:r>
              <w:rPr>
                <w:rFonts w:hint="eastAsia"/>
                <w:bCs/>
                <w:color w:val="0000FF"/>
              </w:rPr>
              <w:t>水</w:t>
            </w:r>
            <w:r>
              <w:rPr>
                <w:bCs/>
                <w:color w:val="0000FF"/>
              </w:rPr>
              <w:t>事故影响分析</w:t>
            </w:r>
          </w:p>
          <w:p w14:paraId="73AFFF27">
            <w:pPr>
              <w:pStyle w:val="6"/>
              <w:rPr>
                <w:bCs/>
                <w:color w:val="0000FF"/>
              </w:rPr>
            </w:pPr>
            <w:r>
              <w:rPr>
                <w:rFonts w:hint="eastAsia"/>
                <w:bCs/>
                <w:color w:val="0000FF"/>
              </w:rPr>
              <w:t>本项目污水处理站在使用过程中故障或者破损，可能导致废水未经处理超标排放。</w:t>
            </w:r>
          </w:p>
          <w:p w14:paraId="41DC73F4">
            <w:pPr>
              <w:pStyle w:val="6"/>
              <w:rPr>
                <w:bCs/>
                <w:color w:val="0000FF"/>
              </w:rPr>
            </w:pPr>
            <w:r>
              <w:rPr>
                <w:bCs/>
                <w:color w:val="0000FF"/>
              </w:rPr>
              <w:t>（四）环境风险防范措施</w:t>
            </w:r>
          </w:p>
          <w:p w14:paraId="415929FD">
            <w:pPr>
              <w:pStyle w:val="6"/>
              <w:rPr>
                <w:bCs/>
                <w:color w:val="0000FF"/>
              </w:rPr>
            </w:pPr>
            <w:r>
              <w:rPr>
                <w:bCs/>
                <w:color w:val="0000FF"/>
              </w:rPr>
              <w:t>为使环境风险减少到最低限度，必须加强劳动、安全、卫生和环境的管理。可以从人</w:t>
            </w:r>
            <w:r>
              <w:rPr>
                <w:rFonts w:hint="eastAsia"/>
                <w:bCs/>
                <w:color w:val="0000FF"/>
              </w:rPr>
              <w:t>、</w:t>
            </w:r>
            <w:r>
              <w:rPr>
                <w:bCs/>
                <w:color w:val="0000FF"/>
              </w:rPr>
              <w:t>物</w:t>
            </w:r>
            <w:r>
              <w:rPr>
                <w:rFonts w:hint="eastAsia"/>
                <w:bCs/>
                <w:color w:val="0000FF"/>
              </w:rPr>
              <w:t>、</w:t>
            </w:r>
            <w:r>
              <w:rPr>
                <w:bCs/>
                <w:color w:val="0000FF"/>
              </w:rPr>
              <w:t>环境和管理四个方面寻找影响事故的原因，制定完备、有效的安全防范措施，尽可能降低本项目环境风险事故发生的概率，减少事故的损失和危害。</w:t>
            </w:r>
          </w:p>
          <w:p w14:paraId="14AC9A4A">
            <w:pPr>
              <w:pStyle w:val="6"/>
              <w:rPr>
                <w:bCs/>
                <w:color w:val="0000FF"/>
              </w:rPr>
            </w:pPr>
            <w:r>
              <w:rPr>
                <w:bCs/>
                <w:color w:val="0000FF"/>
              </w:rPr>
              <w:t>（1）物料泄漏防范措施</w:t>
            </w:r>
          </w:p>
          <w:p w14:paraId="3CA7D862">
            <w:pPr>
              <w:pStyle w:val="6"/>
              <w:rPr>
                <w:bCs/>
                <w:color w:val="0000FF"/>
              </w:rPr>
            </w:pPr>
            <w:r>
              <w:rPr>
                <w:bCs/>
                <w:color w:val="0000FF"/>
              </w:rPr>
              <w:t>主要泄漏源为辅料库的油</w:t>
            </w:r>
            <w:r>
              <w:rPr>
                <w:rFonts w:hint="eastAsia"/>
                <w:bCs/>
                <w:color w:val="0000FF"/>
              </w:rPr>
              <w:t>、酒精、液化石油气</w:t>
            </w:r>
            <w:r>
              <w:rPr>
                <w:bCs/>
                <w:color w:val="0000FF"/>
              </w:rPr>
              <w:t>等。作业人员须了解其接触的物料的性质、危害特性</w:t>
            </w:r>
            <w:r>
              <w:rPr>
                <w:rFonts w:hint="eastAsia"/>
                <w:bCs/>
                <w:color w:val="0000FF"/>
              </w:rPr>
              <w:t>，液化石油气储罐阀门设置防漏装置，</w:t>
            </w:r>
            <w:r>
              <w:rPr>
                <w:bCs/>
                <w:color w:val="0000FF"/>
              </w:rPr>
              <w:t>应设置空桶作为备用收容设施</w:t>
            </w:r>
            <w:r>
              <w:rPr>
                <w:rFonts w:hint="eastAsia"/>
                <w:bCs/>
                <w:color w:val="0000FF"/>
              </w:rPr>
              <w:t>；</w:t>
            </w:r>
            <w:r>
              <w:rPr>
                <w:bCs/>
                <w:color w:val="0000FF"/>
              </w:rPr>
              <w:t>辅料库定期检查并清扫，</w:t>
            </w:r>
            <w:r>
              <w:rPr>
                <w:rFonts w:hint="eastAsia"/>
                <w:bCs/>
                <w:color w:val="0000FF"/>
              </w:rPr>
              <w:t>并配置吸附棉、消防沙等应急物资</w:t>
            </w:r>
            <w:r>
              <w:rPr>
                <w:bCs/>
                <w:color w:val="0000FF"/>
              </w:rPr>
              <w:t>。</w:t>
            </w:r>
          </w:p>
          <w:p w14:paraId="0E24F6BB">
            <w:pPr>
              <w:pStyle w:val="6"/>
              <w:rPr>
                <w:bCs/>
                <w:color w:val="0000FF"/>
              </w:rPr>
            </w:pPr>
            <w:r>
              <w:rPr>
                <w:bCs/>
                <w:color w:val="0000FF"/>
              </w:rPr>
              <w:t>出现泄漏后，应立刻查明泄漏源，尽快对发生泄漏、扩散的现场进行处理</w:t>
            </w:r>
            <w:r>
              <w:rPr>
                <w:rFonts w:hint="eastAsia"/>
                <w:bCs/>
                <w:color w:val="0000FF"/>
              </w:rPr>
              <w:t>；</w:t>
            </w:r>
            <w:r>
              <w:rPr>
                <w:bCs/>
                <w:color w:val="0000FF"/>
              </w:rPr>
              <w:t>若油为少量泄漏，则可以在安全范围内引燃</w:t>
            </w:r>
            <w:r>
              <w:rPr>
                <w:rFonts w:hint="eastAsia"/>
                <w:bCs/>
                <w:color w:val="0000FF"/>
              </w:rPr>
              <w:t>；</w:t>
            </w:r>
            <w:r>
              <w:rPr>
                <w:bCs/>
                <w:color w:val="0000FF"/>
              </w:rPr>
              <w:t>若为大面积泄漏，应急人员应消除所有火种，立即在警戒区内停电、停火，灭绝，用砂土围挡，掩盖后收集，同时将泄漏部分转移至安全容器内封存。面粉泄漏后及时清扫即可。</w:t>
            </w:r>
          </w:p>
          <w:p w14:paraId="3B1A1038">
            <w:pPr>
              <w:pStyle w:val="6"/>
              <w:rPr>
                <w:bCs/>
                <w:color w:val="0000FF"/>
              </w:rPr>
            </w:pPr>
            <w:r>
              <w:rPr>
                <w:bCs/>
                <w:color w:val="0000FF"/>
              </w:rPr>
              <w:t>（2）废气事故性排放防范措施</w:t>
            </w:r>
          </w:p>
          <w:p w14:paraId="71ECF53B">
            <w:pPr>
              <w:pStyle w:val="6"/>
              <w:rPr>
                <w:bCs/>
                <w:color w:val="0000FF"/>
              </w:rPr>
            </w:pPr>
            <w:r>
              <w:rPr>
                <w:bCs/>
                <w:color w:val="0000FF"/>
              </w:rPr>
              <w:t>①定期检查环保设备</w:t>
            </w:r>
            <w:r>
              <w:rPr>
                <w:rFonts w:hint="eastAsia"/>
                <w:bCs/>
                <w:color w:val="0000FF"/>
              </w:rPr>
              <w:t>；</w:t>
            </w:r>
            <w:r>
              <w:rPr>
                <w:bCs/>
                <w:color w:val="0000FF"/>
              </w:rPr>
              <w:t>建设单位定期清洗油烟净化器，定期检查废气收集设施的收集情况，避免因集气故障而引起废气事故排放</w:t>
            </w:r>
            <w:r>
              <w:rPr>
                <w:rFonts w:hint="eastAsia"/>
                <w:bCs/>
                <w:color w:val="0000FF"/>
              </w:rPr>
              <w:t>；</w:t>
            </w:r>
          </w:p>
          <w:p w14:paraId="2A88BDD0">
            <w:pPr>
              <w:pStyle w:val="6"/>
              <w:rPr>
                <w:bCs/>
                <w:color w:val="0000FF"/>
              </w:rPr>
            </w:pPr>
            <w:r>
              <w:rPr>
                <w:bCs/>
                <w:color w:val="0000FF"/>
              </w:rPr>
              <w:t>②一旦出现相应废气未经处理排放，立即停止产生废气的工序，迅速调查清楚故障原因，并对故障废气设备进行维修</w:t>
            </w:r>
            <w:r>
              <w:rPr>
                <w:rFonts w:hint="eastAsia"/>
                <w:bCs/>
                <w:color w:val="0000FF"/>
              </w:rPr>
              <w:t>；</w:t>
            </w:r>
          </w:p>
          <w:p w14:paraId="5AE6A542">
            <w:pPr>
              <w:pStyle w:val="6"/>
              <w:rPr>
                <w:bCs/>
                <w:color w:val="0000FF"/>
              </w:rPr>
            </w:pPr>
            <w:r>
              <w:rPr>
                <w:bCs/>
                <w:color w:val="0000FF"/>
              </w:rPr>
              <w:t>③维修结束并确保废气治理设施正常运行后，才能进行生产</w:t>
            </w:r>
            <w:r>
              <w:rPr>
                <w:rFonts w:hint="eastAsia"/>
                <w:bCs/>
                <w:color w:val="0000FF"/>
              </w:rPr>
              <w:t>。</w:t>
            </w:r>
          </w:p>
          <w:p w14:paraId="5D5EC6DE">
            <w:pPr>
              <w:pStyle w:val="6"/>
              <w:rPr>
                <w:bCs/>
                <w:color w:val="0000FF"/>
              </w:rPr>
            </w:pPr>
            <w:r>
              <w:rPr>
                <w:bCs/>
                <w:color w:val="0000FF"/>
              </w:rPr>
              <w:t>（3）火灾爆炸事故防范措施</w:t>
            </w:r>
          </w:p>
          <w:p w14:paraId="18001016">
            <w:pPr>
              <w:pStyle w:val="6"/>
              <w:rPr>
                <w:bCs/>
                <w:color w:val="0000FF"/>
              </w:rPr>
            </w:pPr>
            <w:r>
              <w:rPr>
                <w:bCs/>
                <w:color w:val="0000FF"/>
              </w:rPr>
              <w:t>项目生产车间采用</w:t>
            </w:r>
            <w:r>
              <w:rPr>
                <w:rFonts w:hint="eastAsia"/>
                <w:bCs/>
                <w:color w:val="0000FF"/>
              </w:rPr>
              <w:t>钢混结构</w:t>
            </w:r>
            <w:r>
              <w:rPr>
                <w:bCs/>
                <w:color w:val="0000FF"/>
              </w:rPr>
              <w:t>，可防止因生产车间引发火灾导致的蔓延事故:泄漏物质接触明火或遇到静电发生火灾爆炸，建设单位应采取以下风险防范措施</w:t>
            </w:r>
            <w:r>
              <w:rPr>
                <w:rFonts w:hint="eastAsia"/>
                <w:bCs/>
                <w:color w:val="0000FF"/>
              </w:rPr>
              <w:t>：</w:t>
            </w:r>
            <w:r>
              <w:rPr>
                <w:bCs/>
                <w:color w:val="0000FF"/>
              </w:rPr>
              <w:t>安排专人定期检查原辅料仓库内原辅料使用及贮存情况，检查人员对使用、贮存情况应记录在册</w:t>
            </w:r>
            <w:r>
              <w:rPr>
                <w:rFonts w:hint="eastAsia"/>
                <w:bCs/>
                <w:color w:val="0000FF"/>
              </w:rPr>
              <w:t>；</w:t>
            </w:r>
            <w:r>
              <w:rPr>
                <w:bCs/>
                <w:color w:val="0000FF"/>
              </w:rPr>
              <w:t>加强火源的管理，严禁烟火带入，车间内应设有明显的禁止烟火安全标志。制定防火规范及要求，对员工进行消防安全知识培训，重点培训岗位防火技术、操作规程、灭火器和消防栓使用办法、疏散逃生知识等，加强员工防火意识，加强防火管理。一旦发生火灾，应立即关掉电源，轻微着火，应立即组织人员灭火</w:t>
            </w:r>
            <w:r>
              <w:rPr>
                <w:rFonts w:hint="eastAsia"/>
                <w:bCs/>
                <w:color w:val="0000FF"/>
              </w:rPr>
              <w:t>；</w:t>
            </w:r>
            <w:r>
              <w:rPr>
                <w:bCs/>
                <w:color w:val="0000FF"/>
              </w:rPr>
              <w:t>若火势稍大，立即拨打119，迅速撤离人员至安全区，并进行隔离、就医，严格限制出入，同时通知周边企业及工业园管委会。项目若火险严重，势必会对周边标准厂房内企业产生影响。因此，厂区周边企业均应做好自身消防、安全措施，若发生火灾，尽可能将暂存易燃易爆物质尽快撤离火场或对其进行隔离，同时喷水和泡沫使其冷却同时应在雨水排口设置相关截流措施，在雨水排口设置截止阀及转换阀，发生事故时，打开截止阀，将事故废水引入污水管网然后进入园区污水处理厂处理，防止事故废水通过雨水管网排出厂区外进入地表水体。</w:t>
            </w:r>
          </w:p>
          <w:p w14:paraId="5575E2E0">
            <w:pPr>
              <w:pStyle w:val="6"/>
              <w:rPr>
                <w:bCs/>
                <w:color w:val="0000FF"/>
              </w:rPr>
            </w:pPr>
            <w:r>
              <w:rPr>
                <w:bCs/>
                <w:color w:val="0000FF"/>
              </w:rPr>
              <w:t>（4）建立应急预案</w:t>
            </w:r>
          </w:p>
          <w:p w14:paraId="268D7EC6">
            <w:pPr>
              <w:pStyle w:val="6"/>
              <w:rPr>
                <w:bCs/>
                <w:color w:val="0000FF"/>
              </w:rPr>
            </w:pPr>
            <w:r>
              <w:rPr>
                <w:bCs/>
                <w:color w:val="0000FF"/>
              </w:rPr>
              <w:t>应急预案是在贯彻预防为主原则的前提下，为能对建设项目可能出现的事故，控制危害源，抢救受害人员，指导居民防护和组织撤离，消除危害后果而组织的救援活动的预想方案。根据国家相关规定，为进一步减轻项目环境风险，环评建议</w:t>
            </w:r>
            <w:r>
              <w:rPr>
                <w:rFonts w:hint="eastAsia"/>
                <w:bCs/>
                <w:color w:val="0000FF"/>
              </w:rPr>
              <w:t>；</w:t>
            </w:r>
            <w:r>
              <w:rPr>
                <w:bCs/>
                <w:color w:val="0000FF"/>
              </w:rPr>
              <w:t>建设单位应根据其产开的检测实验，结合其可能存在的各种潜在环境风险，建立企业环境风险应急预案，并配备相应的必要措施。</w:t>
            </w:r>
          </w:p>
          <w:p w14:paraId="1D452BC7">
            <w:pPr>
              <w:pStyle w:val="6"/>
              <w:rPr>
                <w:bCs/>
                <w:color w:val="0000FF"/>
              </w:rPr>
            </w:pPr>
            <w:r>
              <w:rPr>
                <w:bCs/>
                <w:color w:val="0000FF"/>
              </w:rPr>
              <w:t>应急组织：</w:t>
            </w:r>
          </w:p>
          <w:p w14:paraId="01AD2D77">
            <w:pPr>
              <w:pStyle w:val="6"/>
              <w:rPr>
                <w:bCs/>
                <w:color w:val="0000FF"/>
              </w:rPr>
            </w:pPr>
            <w:r>
              <w:rPr>
                <w:bCs/>
                <w:color w:val="0000FF"/>
              </w:rPr>
              <w:t>a、人员组织</w:t>
            </w:r>
            <w:r>
              <w:rPr>
                <w:rFonts w:hint="eastAsia"/>
                <w:bCs/>
                <w:color w:val="0000FF"/>
              </w:rPr>
              <w:t>：</w:t>
            </w:r>
            <w:r>
              <w:rPr>
                <w:bCs/>
                <w:color w:val="0000FF"/>
              </w:rPr>
              <w:t>企业应对于可能出现的风险成立专门的应急处理小组，进行详细的人员分工，职责分明</w:t>
            </w:r>
            <w:r>
              <w:rPr>
                <w:rFonts w:hint="eastAsia"/>
                <w:bCs/>
                <w:color w:val="0000FF"/>
              </w:rPr>
              <w:t>；</w:t>
            </w:r>
            <w:r>
              <w:rPr>
                <w:bCs/>
                <w:color w:val="0000FF"/>
              </w:rPr>
              <w:t>对新上岗的工作人员、实习人员进行岗前安全、环保知识培训，重点部门人员定期进行轮训。</w:t>
            </w:r>
          </w:p>
          <w:p w14:paraId="6BB5DC3C">
            <w:pPr>
              <w:pStyle w:val="6"/>
              <w:rPr>
                <w:bCs/>
                <w:color w:val="0000FF"/>
              </w:rPr>
            </w:pPr>
            <w:r>
              <w:rPr>
                <w:bCs/>
                <w:color w:val="0000FF"/>
              </w:rPr>
              <w:t>b、物料器材配备</w:t>
            </w:r>
            <w:r>
              <w:rPr>
                <w:rFonts w:hint="eastAsia"/>
                <w:bCs/>
                <w:color w:val="0000FF"/>
              </w:rPr>
              <w:t>：</w:t>
            </w:r>
            <w:r>
              <w:rPr>
                <w:bCs/>
                <w:color w:val="0000FF"/>
              </w:rPr>
              <w:t>贮存一定量的应急设备，以备应急时使用;配备个人防护用品，以备应急时使用。</w:t>
            </w:r>
          </w:p>
          <w:p w14:paraId="3ACED7DF">
            <w:pPr>
              <w:pStyle w:val="6"/>
              <w:rPr>
                <w:bCs/>
                <w:color w:val="0000FF"/>
              </w:rPr>
            </w:pPr>
            <w:r>
              <w:rPr>
                <w:bCs/>
                <w:color w:val="0000FF"/>
              </w:rPr>
              <w:t>c、职责</w:t>
            </w:r>
            <w:r>
              <w:rPr>
                <w:rFonts w:hint="eastAsia"/>
                <w:bCs/>
                <w:color w:val="0000FF"/>
              </w:rPr>
              <w:t>：</w:t>
            </w:r>
            <w:r>
              <w:rPr>
                <w:bCs/>
                <w:color w:val="0000FF"/>
              </w:rPr>
              <w:t>制订消防、火灾等事故应急预案</w:t>
            </w:r>
            <w:r>
              <w:rPr>
                <w:rFonts w:hint="eastAsia"/>
                <w:bCs/>
                <w:color w:val="0000FF"/>
              </w:rPr>
              <w:t>；</w:t>
            </w:r>
            <w:r>
              <w:rPr>
                <w:bCs/>
                <w:color w:val="0000FF"/>
              </w:rPr>
              <w:t>建立企业应急管理、报警体系</w:t>
            </w:r>
            <w:r>
              <w:rPr>
                <w:rFonts w:hint="eastAsia"/>
                <w:bCs/>
                <w:color w:val="0000FF"/>
              </w:rPr>
              <w:t>；</w:t>
            </w:r>
            <w:r>
              <w:rPr>
                <w:bCs/>
                <w:color w:val="0000FF"/>
              </w:rPr>
              <w:t>负责人员、资源配置、应急队伍的调动</w:t>
            </w:r>
            <w:r>
              <w:rPr>
                <w:rFonts w:hint="eastAsia"/>
                <w:bCs/>
                <w:color w:val="0000FF"/>
              </w:rPr>
              <w:t>；</w:t>
            </w:r>
            <w:r>
              <w:rPr>
                <w:bCs/>
                <w:color w:val="0000FF"/>
              </w:rPr>
              <w:t>确定现场指挥人员</w:t>
            </w:r>
            <w:r>
              <w:rPr>
                <w:rFonts w:hint="eastAsia"/>
                <w:bCs/>
                <w:color w:val="0000FF"/>
              </w:rPr>
              <w:t>，</w:t>
            </w:r>
            <w:r>
              <w:rPr>
                <w:bCs/>
                <w:color w:val="0000FF"/>
              </w:rPr>
              <w:t>协调事故现场有关工作</w:t>
            </w:r>
            <w:r>
              <w:rPr>
                <w:rFonts w:hint="eastAsia"/>
                <w:bCs/>
                <w:color w:val="0000FF"/>
              </w:rPr>
              <w:t>，</w:t>
            </w:r>
            <w:r>
              <w:rPr>
                <w:bCs/>
                <w:color w:val="0000FF"/>
              </w:rPr>
              <w:t>批准预案的启动与终止</w:t>
            </w:r>
            <w:r>
              <w:rPr>
                <w:rFonts w:hint="eastAsia"/>
                <w:bCs/>
                <w:color w:val="0000FF"/>
              </w:rPr>
              <w:t>；</w:t>
            </w:r>
            <w:r>
              <w:rPr>
                <w:bCs/>
                <w:color w:val="0000FF"/>
              </w:rPr>
              <w:t>事故状态下各级人员的职责</w:t>
            </w:r>
            <w:r>
              <w:rPr>
                <w:rFonts w:hint="eastAsia"/>
                <w:bCs/>
                <w:color w:val="0000FF"/>
              </w:rPr>
              <w:t>：</w:t>
            </w:r>
            <w:r>
              <w:rPr>
                <w:bCs/>
                <w:color w:val="0000FF"/>
              </w:rPr>
              <w:t>环境污染事故信息的上报工作接受政府的指令和调动;组织应急预案的演练</w:t>
            </w:r>
            <w:r>
              <w:rPr>
                <w:rFonts w:hint="eastAsia"/>
                <w:bCs/>
                <w:color w:val="0000FF"/>
              </w:rPr>
              <w:t>；</w:t>
            </w:r>
            <w:r>
              <w:rPr>
                <w:bCs/>
                <w:color w:val="0000FF"/>
              </w:rPr>
              <w:t>负责保护事故现场及相关数据。</w:t>
            </w:r>
          </w:p>
          <w:p w14:paraId="2C3C49F9">
            <w:pPr>
              <w:pStyle w:val="6"/>
              <w:rPr>
                <w:bCs/>
                <w:color w:val="0000FF"/>
              </w:rPr>
            </w:pPr>
            <w:r>
              <w:rPr>
                <w:bCs/>
                <w:color w:val="0000FF"/>
              </w:rPr>
              <w:t>应急保护目标</w:t>
            </w:r>
            <w:r>
              <w:rPr>
                <w:rFonts w:hint="eastAsia"/>
                <w:bCs/>
                <w:color w:val="0000FF"/>
              </w:rPr>
              <w:t>：</w:t>
            </w:r>
            <w:r>
              <w:rPr>
                <w:bCs/>
                <w:color w:val="0000FF"/>
              </w:rPr>
              <w:t>根据发生事故大小，确立应急保护目标，当发生火灾、泄漏事故后，拟建项目周围的办公楼、工作人员、厂房等均应为应急保护目标。</w:t>
            </w:r>
          </w:p>
          <w:p w14:paraId="1FEEA5A2">
            <w:pPr>
              <w:pStyle w:val="6"/>
              <w:rPr>
                <w:bCs/>
                <w:color w:val="0000FF"/>
              </w:rPr>
            </w:pPr>
            <w:r>
              <w:rPr>
                <w:bCs/>
                <w:color w:val="0000FF"/>
              </w:rPr>
              <w:t>应急响应</w:t>
            </w:r>
            <w:r>
              <w:rPr>
                <w:rFonts w:hint="eastAsia"/>
                <w:bCs/>
                <w:color w:val="0000FF"/>
              </w:rPr>
              <w:t>：</w:t>
            </w:r>
            <w:r>
              <w:rPr>
                <w:bCs/>
                <w:color w:val="0000FF"/>
              </w:rPr>
              <w:t>事故报警的及时与正确是能否及时实施应急救援的关键。当发生突发性事故时事故单位或现场人员，除了积极组织自救外，必须及时将事故向有关部门报告。突发环境污染事故现场人员应作为第一责任人立即向应急值班人员或有关负责人报警，其它获知该信息人员也有责任立即报警。应急值班人员接到报警后应立即向本单位应急指挥负责人及政府环保部门报告。单位应急指挥负责人根据报警信息，启动相应的应急预案。</w:t>
            </w:r>
          </w:p>
          <w:p w14:paraId="2154F8F7">
            <w:pPr>
              <w:pStyle w:val="6"/>
              <w:rPr>
                <w:bCs/>
                <w:color w:val="0000FF"/>
              </w:rPr>
            </w:pPr>
            <w:r>
              <w:rPr>
                <w:bCs/>
                <w:color w:val="0000FF"/>
              </w:rPr>
              <w:t>应急撤离</w:t>
            </w:r>
            <w:r>
              <w:rPr>
                <w:rFonts w:hint="eastAsia"/>
                <w:bCs/>
                <w:color w:val="0000FF"/>
              </w:rPr>
              <w:t>：</w:t>
            </w:r>
            <w:r>
              <w:rPr>
                <w:bCs/>
                <w:color w:val="0000FF"/>
              </w:rPr>
              <w:t>根据事故情况，建立警戒区域，并迅速将警戒区内与事故处理无关人员撤离。应急撤离应注意以下几点</w:t>
            </w:r>
            <w:r>
              <w:rPr>
                <w:rFonts w:hint="eastAsia"/>
                <w:bCs/>
                <w:color w:val="0000FF"/>
              </w:rPr>
              <w:t>：</w:t>
            </w:r>
          </w:p>
          <w:p w14:paraId="53DFEFA6">
            <w:pPr>
              <w:pStyle w:val="6"/>
              <w:rPr>
                <w:bCs/>
                <w:color w:val="0000FF"/>
              </w:rPr>
            </w:pPr>
            <w:r>
              <w:rPr>
                <w:bCs/>
                <w:color w:val="0000FF"/>
              </w:rPr>
              <w:t>警戒区域的边界应设警示标志并有专人警戒;除消防及应急处理人员外，其他人员禁止进入警戒区</w:t>
            </w:r>
            <w:r>
              <w:rPr>
                <w:rFonts w:hint="eastAsia"/>
                <w:bCs/>
                <w:color w:val="0000FF"/>
              </w:rPr>
              <w:t>；</w:t>
            </w:r>
            <w:r>
              <w:rPr>
                <w:bCs/>
                <w:color w:val="0000FF"/>
              </w:rPr>
              <w:t>应向上风向转移</w:t>
            </w:r>
            <w:r>
              <w:rPr>
                <w:rFonts w:hint="eastAsia"/>
                <w:bCs/>
                <w:color w:val="0000FF"/>
              </w:rPr>
              <w:t>；</w:t>
            </w:r>
            <w:r>
              <w:rPr>
                <w:bCs/>
                <w:color w:val="0000FF"/>
              </w:rPr>
              <w:t>明确专人引导和护送疏散人员到安全区</w:t>
            </w:r>
            <w:r>
              <w:rPr>
                <w:rFonts w:hint="eastAsia"/>
                <w:bCs/>
                <w:color w:val="0000FF"/>
              </w:rPr>
              <w:t>；</w:t>
            </w:r>
            <w:r>
              <w:rPr>
                <w:bCs/>
                <w:color w:val="0000FF"/>
              </w:rPr>
              <w:t>不要在低洼处滞留</w:t>
            </w:r>
            <w:r>
              <w:rPr>
                <w:rFonts w:hint="eastAsia"/>
                <w:bCs/>
                <w:color w:val="0000FF"/>
              </w:rPr>
              <w:t>；</w:t>
            </w:r>
            <w:r>
              <w:rPr>
                <w:bCs/>
                <w:color w:val="0000FF"/>
              </w:rPr>
              <w:t>要查清是否有人留在污染区与着火区</w:t>
            </w:r>
            <w:r>
              <w:rPr>
                <w:rFonts w:hint="eastAsia"/>
                <w:bCs/>
                <w:color w:val="0000FF"/>
              </w:rPr>
              <w:t>；</w:t>
            </w:r>
            <w:r>
              <w:rPr>
                <w:bCs/>
                <w:color w:val="0000FF"/>
              </w:rPr>
              <w:t>为使疏散工作顺利进行，设置畅通无阻的紧急出口，并有明显标志。</w:t>
            </w:r>
          </w:p>
          <w:p w14:paraId="50F99DED">
            <w:pPr>
              <w:pStyle w:val="6"/>
              <w:rPr>
                <w:bCs/>
                <w:color w:val="0000FF"/>
              </w:rPr>
            </w:pPr>
            <w:r>
              <w:rPr>
                <w:bCs/>
                <w:color w:val="0000FF"/>
              </w:rPr>
              <w:t>应急设施、设备与器材</w:t>
            </w:r>
            <w:r>
              <w:rPr>
                <w:rFonts w:hint="eastAsia"/>
                <w:bCs/>
                <w:color w:val="0000FF"/>
              </w:rPr>
              <w:t>：</w:t>
            </w:r>
            <w:r>
              <w:rPr>
                <w:bCs/>
                <w:color w:val="0000FF"/>
              </w:rPr>
              <w:t>配备一定的防护面具和防护服</w:t>
            </w:r>
            <w:r>
              <w:rPr>
                <w:rFonts w:hint="eastAsia"/>
                <w:bCs/>
                <w:color w:val="0000FF"/>
              </w:rPr>
              <w:t>；</w:t>
            </w:r>
            <w:r>
              <w:rPr>
                <w:bCs/>
                <w:color w:val="0000FF"/>
              </w:rPr>
              <w:t>应规定应急状态下的报警通讯方式和通知方式</w:t>
            </w:r>
            <w:r>
              <w:rPr>
                <w:rFonts w:hint="eastAsia"/>
                <w:bCs/>
                <w:color w:val="0000FF"/>
              </w:rPr>
              <w:t>；</w:t>
            </w:r>
            <w:r>
              <w:rPr>
                <w:bCs/>
                <w:color w:val="0000FF"/>
              </w:rPr>
              <w:t>配备一定的消防器材，如二氧化碳灭火器等</w:t>
            </w:r>
            <w:r>
              <w:rPr>
                <w:rFonts w:hint="eastAsia"/>
                <w:bCs/>
                <w:color w:val="0000FF"/>
              </w:rPr>
              <w:t>。</w:t>
            </w:r>
          </w:p>
          <w:p w14:paraId="132C7926">
            <w:pPr>
              <w:pStyle w:val="6"/>
              <w:rPr>
                <w:bCs/>
                <w:color w:val="0000FF"/>
              </w:rPr>
            </w:pPr>
            <w:r>
              <w:rPr>
                <w:bCs/>
                <w:color w:val="0000FF"/>
              </w:rPr>
              <w:t>应急救护组织</w:t>
            </w:r>
            <w:r>
              <w:rPr>
                <w:rFonts w:hint="eastAsia"/>
                <w:bCs/>
                <w:color w:val="0000FF"/>
              </w:rPr>
              <w:t>：</w:t>
            </w:r>
            <w:r>
              <w:rPr>
                <w:bCs/>
                <w:color w:val="0000FF"/>
              </w:rPr>
              <w:t>负责事故现场、受事故影响的临近区域人员及公众对相关污染物应急剂量控制规定，撤离组织计划及救护。积极抢救受伤和被困人员，限制燃烧范围毒害物、火灾易造成人员伤亡，灭火人员在采取防护措施后，应立即投入寻找和抢救受伤、被困人员的工作。</w:t>
            </w:r>
          </w:p>
          <w:p w14:paraId="2C30576F">
            <w:pPr>
              <w:pStyle w:val="6"/>
              <w:rPr>
                <w:bCs/>
                <w:color w:val="0000FF"/>
              </w:rPr>
            </w:pPr>
            <w:r>
              <w:rPr>
                <w:bCs/>
                <w:color w:val="0000FF"/>
              </w:rPr>
              <w:t>应急环境监测及事故后评估</w:t>
            </w:r>
            <w:r>
              <w:rPr>
                <w:rFonts w:hint="eastAsia"/>
                <w:bCs/>
                <w:color w:val="0000FF"/>
              </w:rPr>
              <w:t>：</w:t>
            </w:r>
            <w:r>
              <w:rPr>
                <w:bCs/>
                <w:color w:val="0000FF"/>
              </w:rPr>
              <w:t>配备专业队伍负责对事故现场进行侦察监测，配备定现场事故监测设备，及时准确发现事故灾害，对事故性质、参数预测后果进行评估，为指挥部门提供决策依据。</w:t>
            </w:r>
          </w:p>
          <w:p w14:paraId="559712BE">
            <w:pPr>
              <w:pStyle w:val="6"/>
              <w:rPr>
                <w:bCs/>
                <w:color w:val="0000FF"/>
              </w:rPr>
            </w:pPr>
            <w:r>
              <w:rPr>
                <w:bCs/>
                <w:color w:val="0000FF"/>
              </w:rPr>
              <w:t>应急状态终止与恢复措施</w:t>
            </w:r>
            <w:r>
              <w:rPr>
                <w:rFonts w:hint="eastAsia"/>
                <w:bCs/>
                <w:color w:val="0000FF"/>
              </w:rPr>
              <w:t>：</w:t>
            </w:r>
            <w:r>
              <w:rPr>
                <w:bCs/>
                <w:color w:val="0000FF"/>
              </w:rPr>
              <w:t>规定应急状态终止程序，事故现场善后处理，恢复措施邻近区域解除事故警戒及善后恢复措施。现场善后处理是应急预案的重要组成部分。善后计划关系到防止污染的扩大和防止事故的进一步引发，应予以重视。善后计划应包括对事故现场作进一步的安全检查，尤其是由于事故或抢救过程中留下的隐患，是否可能进一步引起新的事故。善后计划包括对事故原因分析、教训的吸取，改进措施及总结，写事故报告，报告有关部门。</w:t>
            </w:r>
          </w:p>
          <w:p w14:paraId="1FB6DF90">
            <w:pPr>
              <w:pStyle w:val="6"/>
              <w:rPr>
                <w:bCs/>
                <w:color w:val="0000FF"/>
              </w:rPr>
            </w:pPr>
            <w:r>
              <w:rPr>
                <w:bCs/>
                <w:color w:val="0000FF"/>
              </w:rPr>
              <w:t>厂内每年至少组织一次预案演练，演练内容包括泄漏的发生</w:t>
            </w:r>
            <w:r>
              <w:rPr>
                <w:rFonts w:hint="eastAsia"/>
                <w:bCs/>
                <w:color w:val="0000FF"/>
              </w:rPr>
              <w:t>，</w:t>
            </w:r>
            <w:r>
              <w:rPr>
                <w:bCs/>
                <w:color w:val="0000FF"/>
              </w:rPr>
              <w:t>火灾</w:t>
            </w:r>
            <w:r>
              <w:rPr>
                <w:rFonts w:hint="eastAsia"/>
                <w:bCs/>
                <w:color w:val="0000FF"/>
              </w:rPr>
              <w:t>，</w:t>
            </w:r>
            <w:r>
              <w:rPr>
                <w:bCs/>
                <w:color w:val="0000FF"/>
              </w:rPr>
              <w:t>应急救援系统的启动，第一时间地处理，各专业救援组如何联系和赶赴现场，现场的抢救和维护，受伤救护，对外联系，与专业消防部门配合等情景。事后对应急演练做出评价、总结与追踪。可采用不同规模的应急演练方法对应急预案的完整性和周密性进行评估，如桌面演练、功能演练和全面演练等。演练科目主要为</w:t>
            </w:r>
            <w:r>
              <w:rPr>
                <w:rFonts w:hint="eastAsia"/>
                <w:bCs/>
                <w:color w:val="0000FF"/>
              </w:rPr>
              <w:t>：</w:t>
            </w:r>
            <w:r>
              <w:rPr>
                <w:bCs/>
                <w:color w:val="0000FF"/>
              </w:rPr>
              <w:t>泄漏报警、人员疏散、泄漏物收集防扩散、物资抢运、安全警戒、医疗救护和清理现场等。</w:t>
            </w:r>
          </w:p>
          <w:p w14:paraId="45AB574D">
            <w:pPr>
              <w:pStyle w:val="6"/>
              <w:rPr>
                <w:bCs/>
                <w:color w:val="0000FF"/>
              </w:rPr>
            </w:pPr>
            <w:r>
              <w:rPr>
                <w:bCs/>
                <w:color w:val="0000FF"/>
              </w:rPr>
              <w:t>（五）环境风险结论</w:t>
            </w:r>
          </w:p>
          <w:p w14:paraId="59410375">
            <w:pPr>
              <w:pStyle w:val="6"/>
              <w:rPr>
                <w:bCs/>
                <w:color w:val="0000FF"/>
              </w:rPr>
            </w:pPr>
            <w:r>
              <w:rPr>
                <w:bCs/>
                <w:color w:val="0000FF"/>
              </w:rPr>
              <w:t>本项目的环境风险事故类型为泄漏、废气事故性排放</w:t>
            </w:r>
            <w:r>
              <w:rPr>
                <w:rFonts w:hint="eastAsia"/>
                <w:bCs/>
                <w:color w:val="0000FF"/>
              </w:rPr>
              <w:t>、</w:t>
            </w:r>
            <w:r>
              <w:rPr>
                <w:bCs/>
                <w:color w:val="0000FF"/>
              </w:rPr>
              <w:t>废</w:t>
            </w:r>
            <w:r>
              <w:rPr>
                <w:rFonts w:hint="eastAsia"/>
                <w:bCs/>
                <w:color w:val="0000FF"/>
              </w:rPr>
              <w:t>水</w:t>
            </w:r>
            <w:r>
              <w:rPr>
                <w:bCs/>
                <w:color w:val="0000FF"/>
              </w:rPr>
              <w:t>事故性排放及火灾爆炸事故。通过风险识别，提出了危险防范措施，并以预防为主制定风险应急措施，建立事故应急机制，明确各方职责。</w:t>
            </w:r>
          </w:p>
          <w:p w14:paraId="2E2E7B38">
            <w:pPr>
              <w:pStyle w:val="6"/>
              <w:rPr>
                <w:bCs/>
                <w:color w:val="0000FF"/>
              </w:rPr>
            </w:pPr>
            <w:r>
              <w:rPr>
                <w:bCs/>
                <w:color w:val="0000FF"/>
              </w:rPr>
              <w:t>在认真落实工程拟采取的安全措施及本评价所提出的风险防范措施后，本项目存在的环境风险对周围影响是可以接受的。</w:t>
            </w:r>
          </w:p>
          <w:p w14:paraId="4839D368">
            <w:pPr>
              <w:pStyle w:val="6"/>
              <w:ind w:firstLine="482"/>
              <w:rPr>
                <w:b/>
                <w:color w:val="0000FF"/>
              </w:rPr>
            </w:pPr>
            <w:r>
              <w:rPr>
                <w:rFonts w:hint="eastAsia"/>
                <w:b/>
                <w:color w:val="0000FF"/>
              </w:rPr>
              <w:t>事故应急池设计</w:t>
            </w:r>
          </w:p>
          <w:p w14:paraId="6D70223B">
            <w:pPr>
              <w:pStyle w:val="6"/>
              <w:rPr>
                <w:bCs/>
                <w:color w:val="0000FF"/>
              </w:rPr>
            </w:pPr>
            <w:r>
              <w:rPr>
                <w:bCs/>
                <w:color w:val="0000FF"/>
              </w:rPr>
              <w:t>参照《事故状态下水体污染的预防与控制技术要求》（Q/SY1190-2013）和中国石化建标［2006］43号《关于印发“水体污染防控紧急措施设计导则”的通知》中相关要求，事故缓冲设施总有效容积计算公式如下：</w:t>
            </w:r>
          </w:p>
          <w:p w14:paraId="01DE2F64">
            <w:pPr>
              <w:pStyle w:val="10"/>
              <w:snapToGrid w:val="0"/>
              <w:spacing w:after="0"/>
              <w:ind w:left="0" w:leftChars="0"/>
              <w:jc w:val="center"/>
              <w:rPr>
                <w:color w:val="0000FF"/>
              </w:rPr>
            </w:pPr>
            <w:r>
              <w:rPr>
                <w:color w:val="0000FF"/>
              </w:rPr>
              <w:t>V</w:t>
            </w:r>
            <w:r>
              <w:rPr>
                <w:color w:val="0000FF"/>
                <w:vertAlign w:val="subscript"/>
              </w:rPr>
              <w:t>总</w:t>
            </w:r>
            <w:r>
              <w:rPr>
                <w:color w:val="0000FF"/>
              </w:rPr>
              <w:t>=(V</w:t>
            </w:r>
            <w:r>
              <w:rPr>
                <w:color w:val="0000FF"/>
                <w:vertAlign w:val="subscript"/>
              </w:rPr>
              <w:t>1</w:t>
            </w:r>
            <w:r>
              <w:rPr>
                <w:color w:val="0000FF"/>
              </w:rPr>
              <w:t>+V</w:t>
            </w:r>
            <w:r>
              <w:rPr>
                <w:color w:val="0000FF"/>
                <w:vertAlign w:val="subscript"/>
              </w:rPr>
              <w:t>2</w:t>
            </w:r>
            <w:r>
              <w:rPr>
                <w:color w:val="0000FF"/>
              </w:rPr>
              <w:t>-V</w:t>
            </w:r>
            <w:r>
              <w:rPr>
                <w:color w:val="0000FF"/>
                <w:vertAlign w:val="subscript"/>
              </w:rPr>
              <w:t>3</w:t>
            </w:r>
            <w:r>
              <w:rPr>
                <w:color w:val="0000FF"/>
              </w:rPr>
              <w:t>)</w:t>
            </w:r>
            <w:r>
              <w:rPr>
                <w:color w:val="0000FF"/>
                <w:vertAlign w:val="subscript"/>
              </w:rPr>
              <w:t>max</w:t>
            </w:r>
            <w:r>
              <w:rPr>
                <w:color w:val="0000FF"/>
              </w:rPr>
              <w:t>+V</w:t>
            </w:r>
            <w:r>
              <w:rPr>
                <w:color w:val="0000FF"/>
                <w:vertAlign w:val="subscript"/>
              </w:rPr>
              <w:t>4</w:t>
            </w:r>
            <w:r>
              <w:rPr>
                <w:color w:val="0000FF"/>
              </w:rPr>
              <w:t>+V</w:t>
            </w:r>
            <w:r>
              <w:rPr>
                <w:color w:val="0000FF"/>
                <w:vertAlign w:val="subscript"/>
              </w:rPr>
              <w:t>5</w:t>
            </w:r>
          </w:p>
          <w:p w14:paraId="43CCCFD7">
            <w:pPr>
              <w:pStyle w:val="10"/>
              <w:snapToGrid w:val="0"/>
              <w:spacing w:after="0"/>
              <w:ind w:left="0" w:leftChars="0"/>
              <w:rPr>
                <w:color w:val="0000FF"/>
              </w:rPr>
            </w:pPr>
            <w:r>
              <w:rPr>
                <w:color w:val="0000FF"/>
              </w:rPr>
              <w:t>注：(V</w:t>
            </w:r>
            <w:r>
              <w:rPr>
                <w:color w:val="0000FF"/>
                <w:vertAlign w:val="subscript"/>
              </w:rPr>
              <w:t>1</w:t>
            </w:r>
            <w:r>
              <w:rPr>
                <w:color w:val="0000FF"/>
              </w:rPr>
              <w:t>+V</w:t>
            </w:r>
            <w:r>
              <w:rPr>
                <w:color w:val="0000FF"/>
                <w:vertAlign w:val="subscript"/>
              </w:rPr>
              <w:t>2</w:t>
            </w:r>
            <w:r>
              <w:rPr>
                <w:color w:val="0000FF"/>
              </w:rPr>
              <w:t>-V</w:t>
            </w:r>
            <w:r>
              <w:rPr>
                <w:color w:val="0000FF"/>
                <w:vertAlign w:val="subscript"/>
              </w:rPr>
              <w:t>3</w:t>
            </w:r>
            <w:r>
              <w:rPr>
                <w:color w:val="0000FF"/>
              </w:rPr>
              <w:t>)</w:t>
            </w:r>
            <w:r>
              <w:rPr>
                <w:color w:val="0000FF"/>
                <w:vertAlign w:val="subscript"/>
              </w:rPr>
              <w:t>max</w:t>
            </w:r>
            <w:r>
              <w:rPr>
                <w:color w:val="0000FF"/>
              </w:rPr>
              <w:t>是指对收集系统范围内不同罐组或装置分别计算V</w:t>
            </w:r>
            <w:r>
              <w:rPr>
                <w:color w:val="0000FF"/>
                <w:vertAlign w:val="subscript"/>
              </w:rPr>
              <w:t>1</w:t>
            </w:r>
            <w:r>
              <w:rPr>
                <w:color w:val="0000FF"/>
              </w:rPr>
              <w:t>+V</w:t>
            </w:r>
            <w:r>
              <w:rPr>
                <w:color w:val="0000FF"/>
                <w:vertAlign w:val="subscript"/>
              </w:rPr>
              <w:t>2</w:t>
            </w:r>
            <w:r>
              <w:rPr>
                <w:color w:val="0000FF"/>
              </w:rPr>
              <w:t>-V</w:t>
            </w:r>
            <w:r>
              <w:rPr>
                <w:color w:val="0000FF"/>
                <w:vertAlign w:val="subscript"/>
              </w:rPr>
              <w:t>3</w:t>
            </w:r>
            <w:r>
              <w:rPr>
                <w:color w:val="0000FF"/>
              </w:rPr>
              <w:t>，取其中最大值。</w:t>
            </w:r>
          </w:p>
          <w:p w14:paraId="234E5402">
            <w:pPr>
              <w:pStyle w:val="10"/>
              <w:snapToGrid w:val="0"/>
              <w:spacing w:after="0"/>
              <w:ind w:left="0" w:leftChars="0"/>
              <w:rPr>
                <w:color w:val="0000FF"/>
              </w:rPr>
            </w:pPr>
            <w:r>
              <w:rPr>
                <w:color w:val="0000FF"/>
              </w:rPr>
              <w:t>V</w:t>
            </w:r>
            <w:r>
              <w:rPr>
                <w:color w:val="0000FF"/>
                <w:vertAlign w:val="subscript"/>
              </w:rPr>
              <w:t>1</w:t>
            </w:r>
            <w:r>
              <w:rPr>
                <w:color w:val="0000FF"/>
              </w:rPr>
              <w:t>——收集系统范围内发生事故的一个罐组或一套装置物料量，m</w:t>
            </w:r>
            <w:r>
              <w:rPr>
                <w:color w:val="0000FF"/>
                <w:vertAlign w:val="superscript"/>
              </w:rPr>
              <w:t>3</w:t>
            </w:r>
            <w:r>
              <w:rPr>
                <w:color w:val="0000FF"/>
              </w:rPr>
              <w:t>；</w:t>
            </w:r>
          </w:p>
          <w:p w14:paraId="0EF9A699">
            <w:pPr>
              <w:pStyle w:val="10"/>
              <w:snapToGrid w:val="0"/>
              <w:spacing w:after="0"/>
              <w:ind w:left="0" w:leftChars="0"/>
              <w:rPr>
                <w:color w:val="0000FF"/>
                <w:vertAlign w:val="subscript"/>
              </w:rPr>
            </w:pPr>
            <w:r>
              <w:rPr>
                <w:color w:val="0000FF"/>
              </w:rPr>
              <w:t>V</w:t>
            </w:r>
            <w:r>
              <w:rPr>
                <w:color w:val="0000FF"/>
                <w:vertAlign w:val="subscript"/>
              </w:rPr>
              <w:t>2</w:t>
            </w:r>
            <w:r>
              <w:rPr>
                <w:color w:val="0000FF"/>
              </w:rPr>
              <w:t>——发生事故的储罐或装置的消防水量，m</w:t>
            </w:r>
            <w:r>
              <w:rPr>
                <w:color w:val="0000FF"/>
                <w:vertAlign w:val="superscript"/>
              </w:rPr>
              <w:t>3</w:t>
            </w:r>
            <w:r>
              <w:rPr>
                <w:color w:val="0000FF"/>
              </w:rPr>
              <w:t>；V</w:t>
            </w:r>
            <w:r>
              <w:rPr>
                <w:color w:val="0000FF"/>
                <w:vertAlign w:val="subscript"/>
              </w:rPr>
              <w:t>2</w:t>
            </w:r>
            <w:r>
              <w:rPr>
                <w:color w:val="0000FF"/>
              </w:rPr>
              <w:t>=ΣQ</w:t>
            </w:r>
            <w:r>
              <w:rPr>
                <w:color w:val="0000FF"/>
                <w:vertAlign w:val="subscript"/>
              </w:rPr>
              <w:t>消</w:t>
            </w:r>
            <w:r>
              <w:rPr>
                <w:color w:val="0000FF"/>
              </w:rPr>
              <w:t>t</w:t>
            </w:r>
            <w:r>
              <w:rPr>
                <w:color w:val="0000FF"/>
                <w:vertAlign w:val="subscript"/>
              </w:rPr>
              <w:t>消</w:t>
            </w:r>
          </w:p>
          <w:p w14:paraId="1A78F534">
            <w:pPr>
              <w:pStyle w:val="10"/>
              <w:snapToGrid w:val="0"/>
              <w:spacing w:after="0"/>
              <w:ind w:left="0" w:leftChars="0"/>
              <w:rPr>
                <w:color w:val="0000FF"/>
              </w:rPr>
            </w:pPr>
            <w:r>
              <w:rPr>
                <w:color w:val="0000FF"/>
              </w:rPr>
              <w:t>注：</w:t>
            </w:r>
          </w:p>
          <w:p w14:paraId="2D639985">
            <w:pPr>
              <w:pStyle w:val="10"/>
              <w:snapToGrid w:val="0"/>
              <w:spacing w:after="0"/>
              <w:ind w:left="0" w:leftChars="0"/>
              <w:rPr>
                <w:color w:val="0000FF"/>
              </w:rPr>
            </w:pPr>
            <w:r>
              <w:rPr>
                <w:color w:val="0000FF"/>
              </w:rPr>
              <w:t>Q</w:t>
            </w:r>
            <w:r>
              <w:rPr>
                <w:color w:val="0000FF"/>
                <w:vertAlign w:val="subscript"/>
              </w:rPr>
              <w:t>消</w:t>
            </w:r>
            <w:r>
              <w:rPr>
                <w:color w:val="0000FF"/>
              </w:rPr>
              <w:t>——发生事故的储罐或装置的同时使用的消防设施给水流量，m</w:t>
            </w:r>
            <w:r>
              <w:rPr>
                <w:color w:val="0000FF"/>
                <w:vertAlign w:val="superscript"/>
              </w:rPr>
              <w:t>3</w:t>
            </w:r>
            <w:r>
              <w:rPr>
                <w:color w:val="0000FF"/>
              </w:rPr>
              <w:t>/h；</w:t>
            </w:r>
          </w:p>
          <w:p w14:paraId="61053DAF">
            <w:pPr>
              <w:pStyle w:val="10"/>
              <w:snapToGrid w:val="0"/>
              <w:spacing w:after="0"/>
              <w:ind w:left="0" w:leftChars="0"/>
              <w:rPr>
                <w:color w:val="0000FF"/>
              </w:rPr>
            </w:pPr>
            <w:r>
              <w:rPr>
                <w:color w:val="0000FF"/>
              </w:rPr>
              <w:t>t</w:t>
            </w:r>
            <w:r>
              <w:rPr>
                <w:color w:val="0000FF"/>
                <w:vertAlign w:val="subscript"/>
              </w:rPr>
              <w:t>消</w:t>
            </w:r>
            <w:r>
              <w:rPr>
                <w:color w:val="0000FF"/>
              </w:rPr>
              <w:t>——消防设施对应的设计消防历时，h；</w:t>
            </w:r>
          </w:p>
          <w:p w14:paraId="211C4F86">
            <w:pPr>
              <w:pStyle w:val="10"/>
              <w:snapToGrid w:val="0"/>
              <w:spacing w:after="0"/>
              <w:ind w:left="0" w:leftChars="0"/>
              <w:rPr>
                <w:color w:val="0000FF"/>
              </w:rPr>
            </w:pPr>
            <w:r>
              <w:rPr>
                <w:color w:val="0000FF"/>
              </w:rPr>
              <w:t>V</w:t>
            </w:r>
            <w:r>
              <w:rPr>
                <w:color w:val="0000FF"/>
                <w:vertAlign w:val="subscript"/>
              </w:rPr>
              <w:t>3</w:t>
            </w:r>
            <w:r>
              <w:rPr>
                <w:color w:val="0000FF"/>
              </w:rPr>
              <w:t>——发生事故时可以转输到其他储存或处理设施的物料量，m</w:t>
            </w:r>
            <w:r>
              <w:rPr>
                <w:color w:val="0000FF"/>
                <w:vertAlign w:val="superscript"/>
              </w:rPr>
              <w:t>3</w:t>
            </w:r>
            <w:r>
              <w:rPr>
                <w:color w:val="0000FF"/>
              </w:rPr>
              <w:t>；</w:t>
            </w:r>
          </w:p>
          <w:p w14:paraId="56237F33">
            <w:pPr>
              <w:pStyle w:val="10"/>
              <w:snapToGrid w:val="0"/>
              <w:spacing w:after="0"/>
              <w:ind w:left="0" w:leftChars="0"/>
              <w:rPr>
                <w:color w:val="0000FF"/>
              </w:rPr>
            </w:pPr>
            <w:r>
              <w:rPr>
                <w:color w:val="0000FF"/>
              </w:rPr>
              <w:t>V</w:t>
            </w:r>
            <w:r>
              <w:rPr>
                <w:color w:val="0000FF"/>
                <w:vertAlign w:val="subscript"/>
              </w:rPr>
              <w:t>4</w:t>
            </w:r>
            <w:r>
              <w:rPr>
                <w:color w:val="0000FF"/>
              </w:rPr>
              <w:t>——发生事故时仍必须进入该收集系统的生产废水量，m</w:t>
            </w:r>
            <w:r>
              <w:rPr>
                <w:color w:val="0000FF"/>
                <w:vertAlign w:val="superscript"/>
              </w:rPr>
              <w:t>3</w:t>
            </w:r>
            <w:r>
              <w:rPr>
                <w:color w:val="0000FF"/>
              </w:rPr>
              <w:t>；</w:t>
            </w:r>
          </w:p>
          <w:p w14:paraId="2AD3B839">
            <w:pPr>
              <w:pStyle w:val="10"/>
              <w:snapToGrid w:val="0"/>
              <w:spacing w:after="0"/>
              <w:ind w:left="0" w:leftChars="0"/>
              <w:rPr>
                <w:color w:val="0000FF"/>
              </w:rPr>
            </w:pPr>
            <w:r>
              <w:rPr>
                <w:color w:val="0000FF"/>
              </w:rPr>
              <w:t>V</w:t>
            </w:r>
            <w:r>
              <w:rPr>
                <w:color w:val="0000FF"/>
                <w:vertAlign w:val="subscript"/>
              </w:rPr>
              <w:t>5</w:t>
            </w:r>
            <w:r>
              <w:rPr>
                <w:color w:val="0000FF"/>
              </w:rPr>
              <w:t>——发生事故时可能进入该收集系统的降雨量，m</w:t>
            </w:r>
            <w:r>
              <w:rPr>
                <w:color w:val="0000FF"/>
                <w:vertAlign w:val="superscript"/>
              </w:rPr>
              <w:t>3</w:t>
            </w:r>
            <w:r>
              <w:rPr>
                <w:color w:val="0000FF"/>
              </w:rPr>
              <w:t>；</w:t>
            </w:r>
          </w:p>
          <w:p w14:paraId="174F1D61">
            <w:pPr>
              <w:pStyle w:val="10"/>
              <w:snapToGrid w:val="0"/>
              <w:spacing w:after="0"/>
              <w:ind w:left="0" w:leftChars="0"/>
              <w:rPr>
                <w:color w:val="0000FF"/>
              </w:rPr>
            </w:pPr>
            <w:r>
              <w:rPr>
                <w:color w:val="0000FF"/>
              </w:rPr>
              <w:t>根据项目实际情况分析如下：</w:t>
            </w:r>
          </w:p>
          <w:p w14:paraId="5126CE54">
            <w:pPr>
              <w:pStyle w:val="10"/>
              <w:snapToGrid w:val="0"/>
              <w:spacing w:after="0"/>
              <w:ind w:left="0" w:leftChars="0"/>
              <w:rPr>
                <w:color w:val="0000FF"/>
              </w:rPr>
            </w:pPr>
            <w:r>
              <w:rPr>
                <w:color w:val="0000FF"/>
              </w:rPr>
              <w:t>本项目发生事故的一个罐组或一套装置的物料量，本项目V</w:t>
            </w:r>
            <w:r>
              <w:rPr>
                <w:color w:val="0000FF"/>
                <w:vertAlign w:val="subscript"/>
              </w:rPr>
              <w:t>1</w:t>
            </w:r>
            <w:r>
              <w:rPr>
                <w:color w:val="0000FF"/>
              </w:rPr>
              <w:t>=0；</w:t>
            </w:r>
          </w:p>
          <w:p w14:paraId="58C66047">
            <w:pPr>
              <w:pStyle w:val="10"/>
              <w:snapToGrid w:val="0"/>
              <w:spacing w:after="0"/>
              <w:ind w:left="0" w:leftChars="0"/>
              <w:rPr>
                <w:color w:val="0000FF"/>
              </w:rPr>
            </w:pPr>
            <w:r>
              <w:rPr>
                <w:color w:val="0000FF"/>
              </w:rPr>
              <w:t>V</w:t>
            </w:r>
            <w:r>
              <w:rPr>
                <w:color w:val="0000FF"/>
                <w:vertAlign w:val="subscript"/>
              </w:rPr>
              <w:t>2</w:t>
            </w:r>
            <w:r>
              <w:rPr>
                <w:color w:val="0000FF"/>
              </w:rPr>
              <w:t>按（GB50016-2014）的规定计算，根据《建筑设计防火规范》（GB50016-20</w:t>
            </w:r>
            <w:r>
              <w:rPr>
                <w:rFonts w:hint="eastAsia"/>
                <w:color w:val="0000FF"/>
              </w:rPr>
              <w:t>14</w:t>
            </w:r>
            <w:r>
              <w:rPr>
                <w:color w:val="0000FF"/>
              </w:rPr>
              <w:t>）计算本企业消防尾水量，生产车间同时发生火灾次数为1次，火灾持续时间为</w:t>
            </w:r>
            <w:r>
              <w:rPr>
                <w:rFonts w:hint="eastAsia"/>
                <w:color w:val="0000FF"/>
              </w:rPr>
              <w:t>1</w:t>
            </w:r>
            <w:r>
              <w:rPr>
                <w:color w:val="0000FF"/>
              </w:rPr>
              <w:t>h，根据厂区消防给水设计流量，一次灭火用水量</w:t>
            </w:r>
            <w:r>
              <w:rPr>
                <w:rFonts w:hint="eastAsia"/>
                <w:color w:val="0000FF"/>
              </w:rPr>
              <w:t>15</w:t>
            </w:r>
            <w:r>
              <w:rPr>
                <w:color w:val="0000FF"/>
              </w:rPr>
              <w:t>L/S。经计算消防用水量为</w:t>
            </w:r>
            <w:r>
              <w:rPr>
                <w:rFonts w:hint="eastAsia"/>
                <w:color w:val="0000FF"/>
              </w:rPr>
              <w:t>54</w:t>
            </w:r>
            <w:r>
              <w:rPr>
                <w:color w:val="0000FF"/>
              </w:rPr>
              <w:t>m</w:t>
            </w:r>
            <w:r>
              <w:rPr>
                <w:color w:val="0000FF"/>
                <w:vertAlign w:val="superscript"/>
              </w:rPr>
              <w:t>3</w:t>
            </w:r>
            <w:r>
              <w:rPr>
                <w:color w:val="0000FF"/>
              </w:rPr>
              <w:t>/次，故产生消防尾水量经计算得出V</w:t>
            </w:r>
            <w:r>
              <w:rPr>
                <w:color w:val="0000FF"/>
                <w:vertAlign w:val="subscript"/>
              </w:rPr>
              <w:t>2</w:t>
            </w:r>
            <w:r>
              <w:rPr>
                <w:color w:val="0000FF"/>
              </w:rPr>
              <w:t>=</w:t>
            </w:r>
            <w:r>
              <w:rPr>
                <w:rFonts w:hint="eastAsia"/>
                <w:color w:val="0000FF"/>
              </w:rPr>
              <w:t>54</w:t>
            </w:r>
            <w:r>
              <w:rPr>
                <w:color w:val="0000FF"/>
              </w:rPr>
              <w:t>m</w:t>
            </w:r>
            <w:r>
              <w:rPr>
                <w:color w:val="0000FF"/>
                <w:vertAlign w:val="superscript"/>
              </w:rPr>
              <w:t>3</w:t>
            </w:r>
            <w:r>
              <w:rPr>
                <w:color w:val="0000FF"/>
              </w:rPr>
              <w:t>；</w:t>
            </w:r>
          </w:p>
          <w:p w14:paraId="4D6875FC">
            <w:pPr>
              <w:pStyle w:val="10"/>
              <w:snapToGrid w:val="0"/>
              <w:spacing w:after="0"/>
              <w:ind w:left="0" w:leftChars="0"/>
              <w:rPr>
                <w:color w:val="0000FF"/>
              </w:rPr>
            </w:pPr>
            <w:r>
              <w:rPr>
                <w:rFonts w:hint="eastAsia"/>
                <w:color w:val="0000FF"/>
              </w:rPr>
              <w:t>厂区</w:t>
            </w:r>
            <w:r>
              <w:rPr>
                <w:color w:val="0000FF"/>
              </w:rPr>
              <w:t>的雨水管沟和管网系统可作为消防尾水缓冲设施，按照厂区雨水管网的布局，故V</w:t>
            </w:r>
            <w:r>
              <w:rPr>
                <w:color w:val="0000FF"/>
                <w:vertAlign w:val="subscript"/>
              </w:rPr>
              <w:t>3</w:t>
            </w:r>
            <w:r>
              <w:rPr>
                <w:color w:val="0000FF"/>
              </w:rPr>
              <w:t>取值为50m</w:t>
            </w:r>
            <w:r>
              <w:rPr>
                <w:color w:val="0000FF"/>
                <w:vertAlign w:val="superscript"/>
              </w:rPr>
              <w:t>3</w:t>
            </w:r>
            <w:r>
              <w:rPr>
                <w:color w:val="0000FF"/>
              </w:rPr>
              <w:t>；</w:t>
            </w:r>
          </w:p>
          <w:p w14:paraId="3B83177E">
            <w:pPr>
              <w:widowControl/>
              <w:jc w:val="left"/>
              <w:rPr>
                <w:color w:val="0000FF"/>
              </w:rPr>
            </w:pPr>
            <w:r>
              <w:rPr>
                <w:rFonts w:hint="eastAsia" w:ascii="宋体" w:hAnsi="宋体" w:cs="宋体"/>
                <w:color w:val="0000FF"/>
                <w:lang w:bidi="ar"/>
              </w:rPr>
              <w:t>企业生产过程中有生产废水，但是厂内已设置污水处理站，故</w:t>
            </w:r>
            <w:r>
              <w:rPr>
                <w:rFonts w:ascii="TimesNewRomanPSMT" w:hAnsi="TimesNewRomanPSMT" w:eastAsia="TimesNewRomanPSMT" w:cs="TimesNewRomanPSMT"/>
                <w:color w:val="0000FF"/>
                <w:lang w:bidi="ar"/>
              </w:rPr>
              <w:t>V</w:t>
            </w:r>
            <w:r>
              <w:rPr>
                <w:rFonts w:ascii="TimesNewRomanPSMT" w:hAnsi="TimesNewRomanPSMT" w:eastAsia="TimesNewRomanPSMT" w:cs="TimesNewRomanPSMT"/>
                <w:color w:val="0000FF"/>
                <w:sz w:val="16"/>
                <w:szCs w:val="16"/>
                <w:lang w:bidi="ar"/>
              </w:rPr>
              <w:t>4</w:t>
            </w:r>
            <w:r>
              <w:rPr>
                <w:rFonts w:ascii="TimesNewRomanPSMT" w:hAnsi="TimesNewRomanPSMT" w:eastAsia="TimesNewRomanPSMT" w:cs="TimesNewRomanPSMT"/>
                <w:color w:val="0000FF"/>
                <w:lang w:bidi="ar"/>
              </w:rPr>
              <w:t>=0</w:t>
            </w:r>
            <w:r>
              <w:rPr>
                <w:rFonts w:hint="eastAsia" w:ascii="TimesNewRomanPSMT" w:hAnsi="TimesNewRomanPSMT" w:eastAsia="TimesNewRomanPSMT" w:cs="TimesNewRomanPSMT"/>
                <w:color w:val="0000FF"/>
                <w:lang w:bidi="ar"/>
              </w:rPr>
              <w:t>。</w:t>
            </w:r>
          </w:p>
          <w:p w14:paraId="2F291989">
            <w:pPr>
              <w:pStyle w:val="10"/>
              <w:snapToGrid w:val="0"/>
              <w:spacing w:after="0"/>
              <w:ind w:left="0" w:leftChars="0"/>
              <w:rPr>
                <w:color w:val="0000FF"/>
              </w:rPr>
            </w:pPr>
            <w:r>
              <w:rPr>
                <w:color w:val="0000FF"/>
              </w:rPr>
              <w:t>V</w:t>
            </w:r>
            <w:r>
              <w:rPr>
                <w:color w:val="0000FF"/>
                <w:vertAlign w:val="subscript"/>
              </w:rPr>
              <w:t>5</w:t>
            </w:r>
            <w:r>
              <w:rPr>
                <w:color w:val="0000FF"/>
              </w:rPr>
              <w:t>——发生事故时可能进入该收集系统的降雨量；</w:t>
            </w:r>
          </w:p>
          <w:p w14:paraId="56C571AA">
            <w:pPr>
              <w:pStyle w:val="10"/>
              <w:snapToGrid w:val="0"/>
              <w:spacing w:after="0"/>
              <w:ind w:left="0" w:leftChars="0"/>
              <w:rPr>
                <w:color w:val="0000FF"/>
              </w:rPr>
            </w:pPr>
            <w:r>
              <w:rPr>
                <w:color w:val="0000FF"/>
              </w:rPr>
              <w:t>初期雨水量根据《室外排水设计规范》进行计算，雨水流量公</w:t>
            </w:r>
            <w:r>
              <w:rPr>
                <w:rFonts w:hint="eastAsia"/>
                <w:color w:val="0000FF"/>
              </w:rPr>
              <w:t>式</w:t>
            </w:r>
            <w:r>
              <w:rPr>
                <w:color w:val="0000FF"/>
              </w:rPr>
              <w:t>为：</w:t>
            </w:r>
          </w:p>
          <w:p w14:paraId="6FA658E0">
            <w:pPr>
              <w:pStyle w:val="10"/>
              <w:snapToGrid w:val="0"/>
              <w:spacing w:after="0"/>
              <w:ind w:left="0" w:leftChars="0"/>
              <w:jc w:val="center"/>
              <w:rPr>
                <w:color w:val="0000FF"/>
              </w:rPr>
            </w:pPr>
            <w:r>
              <w:rPr>
                <w:color w:val="0000FF"/>
              </w:rPr>
              <w:t>Q=q×ψ×F</w:t>
            </w:r>
          </w:p>
          <w:p w14:paraId="5BAC8C93">
            <w:pPr>
              <w:pStyle w:val="10"/>
              <w:snapToGrid w:val="0"/>
              <w:spacing w:after="0"/>
              <w:ind w:left="0" w:leftChars="0"/>
              <w:rPr>
                <w:color w:val="0000FF"/>
              </w:rPr>
            </w:pPr>
            <w:r>
              <w:rPr>
                <w:color w:val="0000FF"/>
              </w:rPr>
              <w:t>式中：</w:t>
            </w:r>
          </w:p>
          <w:p w14:paraId="0599BF58">
            <w:pPr>
              <w:pStyle w:val="10"/>
              <w:snapToGrid w:val="0"/>
              <w:spacing w:after="0"/>
              <w:ind w:left="0" w:leftChars="0"/>
              <w:rPr>
                <w:color w:val="0000FF"/>
              </w:rPr>
            </w:pPr>
            <w:r>
              <w:rPr>
                <w:color w:val="0000FF"/>
              </w:rPr>
              <w:t>Q——雨水设计流量（L/S）；</w:t>
            </w:r>
          </w:p>
          <w:p w14:paraId="764E4192">
            <w:pPr>
              <w:pStyle w:val="10"/>
              <w:snapToGrid w:val="0"/>
              <w:spacing w:after="0"/>
              <w:ind w:left="0" w:leftChars="0"/>
              <w:rPr>
                <w:color w:val="0000FF"/>
              </w:rPr>
            </w:pPr>
            <w:r>
              <w:rPr>
                <w:color w:val="0000FF"/>
              </w:rPr>
              <w:t>q——设计暴雨强度（L/S*hm</w:t>
            </w:r>
            <w:r>
              <w:rPr>
                <w:color w:val="0000FF"/>
                <w:vertAlign w:val="superscript"/>
              </w:rPr>
              <w:t>2</w:t>
            </w:r>
            <w:r>
              <w:rPr>
                <w:color w:val="0000FF"/>
              </w:rPr>
              <w:t>，hm</w:t>
            </w:r>
            <w:r>
              <w:rPr>
                <w:color w:val="0000FF"/>
                <w:vertAlign w:val="superscript"/>
              </w:rPr>
              <w:t>2</w:t>
            </w:r>
            <w:r>
              <w:rPr>
                <w:color w:val="0000FF"/>
              </w:rPr>
              <w:t>为1万m</w:t>
            </w:r>
            <w:r>
              <w:rPr>
                <w:color w:val="0000FF"/>
                <w:vertAlign w:val="superscript"/>
              </w:rPr>
              <w:t>2</w:t>
            </w:r>
            <w:r>
              <w:rPr>
                <w:color w:val="0000FF"/>
              </w:rPr>
              <w:t>）；</w:t>
            </w:r>
          </w:p>
          <w:p w14:paraId="33367D7E">
            <w:pPr>
              <w:pStyle w:val="10"/>
              <w:snapToGrid w:val="0"/>
              <w:spacing w:after="0"/>
              <w:ind w:left="0" w:leftChars="0"/>
              <w:rPr>
                <w:color w:val="0000FF"/>
              </w:rPr>
            </w:pPr>
            <w:r>
              <w:rPr>
                <w:color w:val="0000FF"/>
              </w:rPr>
              <w:t>ψ——径流系数，取0.8；</w:t>
            </w:r>
          </w:p>
          <w:p w14:paraId="4C792390">
            <w:pPr>
              <w:pStyle w:val="10"/>
              <w:snapToGrid w:val="0"/>
              <w:spacing w:after="0"/>
              <w:ind w:left="0" w:leftChars="0"/>
              <w:rPr>
                <w:color w:val="0000FF"/>
              </w:rPr>
            </w:pPr>
            <w:r>
              <w:rPr>
                <w:color w:val="0000FF"/>
              </w:rPr>
              <w:t>F——汇水面积（hm</w:t>
            </w:r>
            <w:r>
              <w:rPr>
                <w:color w:val="0000FF"/>
                <w:vertAlign w:val="superscript"/>
              </w:rPr>
              <w:t>2</w:t>
            </w:r>
            <w:r>
              <w:rPr>
                <w:color w:val="0000FF"/>
              </w:rPr>
              <w:t>），本项目汇水面积按单个装置或区域的最大面积计，为</w:t>
            </w:r>
            <w:r>
              <w:rPr>
                <w:rFonts w:hint="eastAsia"/>
                <w:color w:val="0000FF"/>
              </w:rPr>
              <w:t>0.13</w:t>
            </w:r>
            <w:r>
              <w:rPr>
                <w:color w:val="0000FF"/>
              </w:rPr>
              <w:t>hm</w:t>
            </w:r>
            <w:r>
              <w:rPr>
                <w:color w:val="0000FF"/>
                <w:vertAlign w:val="superscript"/>
              </w:rPr>
              <w:t>2</w:t>
            </w:r>
            <w:r>
              <w:rPr>
                <w:color w:val="0000FF"/>
              </w:rPr>
              <w:t>；</w:t>
            </w:r>
          </w:p>
          <w:p w14:paraId="5E562E84">
            <w:pPr>
              <w:pStyle w:val="10"/>
              <w:snapToGrid w:val="0"/>
              <w:spacing w:after="0"/>
              <w:ind w:left="0" w:leftChars="0"/>
              <w:rPr>
                <w:color w:val="0000FF"/>
              </w:rPr>
            </w:pPr>
            <w:r>
              <w:rPr>
                <w:color w:val="0000FF"/>
              </w:rPr>
              <w:t>根据《</w:t>
            </w:r>
            <w:r>
              <w:rPr>
                <w:rFonts w:hint="eastAsia"/>
                <w:color w:val="0000FF"/>
              </w:rPr>
              <w:t>淮北市人民政府市气象局</w:t>
            </w:r>
            <w:r>
              <w:rPr>
                <w:color w:val="0000FF"/>
              </w:rPr>
              <w:t>关于公布淮北市暴雨强度公式的通知》，本次评价采用的暴雨强度公式如下：</w:t>
            </w:r>
          </w:p>
          <w:p w14:paraId="2B436AAD">
            <w:pPr>
              <w:pStyle w:val="10"/>
              <w:snapToGrid w:val="0"/>
              <w:spacing w:after="0"/>
              <w:ind w:left="0" w:leftChars="0"/>
              <w:jc w:val="center"/>
              <w:rPr>
                <w:color w:val="0000FF"/>
              </w:rPr>
            </w:pPr>
            <w:r>
              <w:drawing>
                <wp:inline distT="0" distB="0" distL="114300" distR="114300">
                  <wp:extent cx="2228850" cy="522605"/>
                  <wp:effectExtent l="0" t="0" r="0" b="1079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50"/>
                          <a:stretch>
                            <a:fillRect/>
                          </a:stretch>
                        </pic:blipFill>
                        <pic:spPr>
                          <a:xfrm>
                            <a:off x="0" y="0"/>
                            <a:ext cx="2228850" cy="522605"/>
                          </a:xfrm>
                          <a:prstGeom prst="rect">
                            <a:avLst/>
                          </a:prstGeom>
                          <a:noFill/>
                          <a:ln>
                            <a:noFill/>
                          </a:ln>
                        </pic:spPr>
                      </pic:pic>
                    </a:graphicData>
                  </a:graphic>
                </wp:inline>
              </w:drawing>
            </w:r>
          </w:p>
          <w:p w14:paraId="546037D4">
            <w:pPr>
              <w:pStyle w:val="10"/>
              <w:snapToGrid w:val="0"/>
              <w:spacing w:after="0"/>
              <w:ind w:left="0" w:leftChars="0"/>
              <w:rPr>
                <w:color w:val="0000FF"/>
              </w:rPr>
            </w:pPr>
            <w:r>
              <w:rPr>
                <w:color w:val="0000FF"/>
              </w:rPr>
              <w:t>式中：</w:t>
            </w:r>
          </w:p>
          <w:p w14:paraId="0A4A96B6">
            <w:pPr>
              <w:pStyle w:val="10"/>
              <w:snapToGrid w:val="0"/>
              <w:spacing w:after="0"/>
              <w:ind w:left="0" w:leftChars="0"/>
              <w:rPr>
                <w:color w:val="0000FF"/>
              </w:rPr>
            </w:pPr>
            <w:r>
              <w:rPr>
                <w:i/>
                <w:iCs/>
                <w:color w:val="0000FF"/>
              </w:rPr>
              <w:t>q</w:t>
            </w:r>
            <w:r>
              <w:rPr>
                <w:color w:val="0000FF"/>
              </w:rPr>
              <w:t>—暴雨强度(L/(s·h</w:t>
            </w:r>
            <w:r>
              <w:rPr>
                <w:rFonts w:hint="eastAsia"/>
                <w:color w:val="0000FF"/>
              </w:rPr>
              <w:t>m</w:t>
            </w:r>
            <w:r>
              <w:rPr>
                <w:rFonts w:hint="eastAsia"/>
                <w:color w:val="0000FF"/>
                <w:vertAlign w:val="superscript"/>
              </w:rPr>
              <w:t>2</w:t>
            </w:r>
            <w:r>
              <w:rPr>
                <w:color w:val="0000FF"/>
              </w:rPr>
              <w:t>))；</w:t>
            </w:r>
          </w:p>
          <w:p w14:paraId="6A847DA9">
            <w:pPr>
              <w:pStyle w:val="10"/>
              <w:snapToGrid w:val="0"/>
              <w:spacing w:after="0"/>
              <w:ind w:left="0" w:leftChars="0"/>
              <w:rPr>
                <w:color w:val="0000FF"/>
              </w:rPr>
            </w:pPr>
            <w:r>
              <w:rPr>
                <w:i/>
                <w:iCs/>
                <w:color w:val="0000FF"/>
              </w:rPr>
              <w:t>P</w:t>
            </w:r>
            <w:r>
              <w:rPr>
                <w:color w:val="0000FF"/>
              </w:rPr>
              <w:t>——重现期(a)，取</w:t>
            </w:r>
            <w:r>
              <w:rPr>
                <w:i/>
                <w:iCs/>
                <w:color w:val="0000FF"/>
              </w:rPr>
              <w:t>P</w:t>
            </w:r>
            <w:r>
              <w:rPr>
                <w:color w:val="0000FF"/>
              </w:rPr>
              <w:t>=10a；</w:t>
            </w:r>
          </w:p>
          <w:p w14:paraId="77D5A96A">
            <w:pPr>
              <w:pStyle w:val="10"/>
              <w:snapToGrid w:val="0"/>
              <w:spacing w:after="0"/>
              <w:ind w:left="0" w:leftChars="0"/>
              <w:rPr>
                <w:color w:val="0000FF"/>
              </w:rPr>
            </w:pPr>
            <w:r>
              <w:rPr>
                <w:i/>
                <w:iCs/>
                <w:color w:val="0000FF"/>
              </w:rPr>
              <w:t>t</w:t>
            </w:r>
            <w:r>
              <w:rPr>
                <w:color w:val="0000FF"/>
              </w:rPr>
              <w:t>——降雨历时（min），取</w:t>
            </w:r>
            <w:r>
              <w:rPr>
                <w:i/>
                <w:iCs/>
                <w:color w:val="0000FF"/>
              </w:rPr>
              <w:t>t</w:t>
            </w:r>
            <w:r>
              <w:rPr>
                <w:color w:val="0000FF"/>
              </w:rPr>
              <w:t>=100min。</w:t>
            </w:r>
          </w:p>
          <w:p w14:paraId="5AD12C5C">
            <w:pPr>
              <w:pStyle w:val="10"/>
              <w:snapToGrid w:val="0"/>
              <w:spacing w:after="0"/>
              <w:ind w:left="0" w:leftChars="0"/>
              <w:rPr>
                <w:color w:val="0000FF"/>
              </w:rPr>
            </w:pPr>
            <w:r>
              <w:rPr>
                <w:color w:val="0000FF"/>
              </w:rPr>
              <w:t>根据上式可计算得到暴雨强度q=</w:t>
            </w:r>
            <w:r>
              <w:rPr>
                <w:rFonts w:hint="eastAsia"/>
                <w:color w:val="0000FF"/>
              </w:rPr>
              <w:t>144.27</w:t>
            </w:r>
            <w:r>
              <w:rPr>
                <w:color w:val="0000FF"/>
              </w:rPr>
              <w:t>L/(s·h</w:t>
            </w:r>
            <w:r>
              <w:rPr>
                <w:rFonts w:hint="eastAsia"/>
                <w:color w:val="0000FF"/>
              </w:rPr>
              <w:t>m</w:t>
            </w:r>
            <w:r>
              <w:rPr>
                <w:rFonts w:hint="eastAsia"/>
                <w:color w:val="0000FF"/>
                <w:vertAlign w:val="superscript"/>
              </w:rPr>
              <w:t>2</w:t>
            </w:r>
            <w:r>
              <w:rPr>
                <w:color w:val="0000FF"/>
              </w:rPr>
              <w:t>)。</w:t>
            </w:r>
          </w:p>
          <w:p w14:paraId="259FB225">
            <w:pPr>
              <w:pStyle w:val="10"/>
              <w:snapToGrid w:val="0"/>
              <w:spacing w:after="0"/>
              <w:ind w:left="0" w:leftChars="0"/>
              <w:rPr>
                <w:color w:val="0000FF"/>
              </w:rPr>
            </w:pPr>
            <w:r>
              <w:rPr>
                <w:color w:val="0000FF"/>
              </w:rPr>
              <w:t>因此15min初期雨水产生量为</w:t>
            </w:r>
            <w:r>
              <w:rPr>
                <w:rFonts w:hint="eastAsia"/>
                <w:color w:val="0000FF"/>
              </w:rPr>
              <w:t>13.5</w:t>
            </w:r>
            <w:r>
              <w:rPr>
                <w:color w:val="0000FF"/>
              </w:rPr>
              <w:t>m</w:t>
            </w:r>
            <w:r>
              <w:rPr>
                <w:color w:val="0000FF"/>
                <w:vertAlign w:val="superscript"/>
              </w:rPr>
              <w:t>3</w:t>
            </w:r>
            <w:r>
              <w:rPr>
                <w:color w:val="0000FF"/>
              </w:rPr>
              <w:t>/次，因此V</w:t>
            </w:r>
            <w:r>
              <w:rPr>
                <w:color w:val="0000FF"/>
                <w:vertAlign w:val="subscript"/>
              </w:rPr>
              <w:t>5</w:t>
            </w:r>
            <w:r>
              <w:rPr>
                <w:color w:val="0000FF"/>
              </w:rPr>
              <w:t>=</w:t>
            </w:r>
            <w:r>
              <w:rPr>
                <w:rFonts w:hint="eastAsia"/>
                <w:color w:val="0000FF"/>
              </w:rPr>
              <w:t>13.5</w:t>
            </w:r>
            <w:r>
              <w:rPr>
                <w:color w:val="0000FF"/>
              </w:rPr>
              <w:t>m</w:t>
            </w:r>
            <w:r>
              <w:rPr>
                <w:color w:val="0000FF"/>
                <w:vertAlign w:val="superscript"/>
              </w:rPr>
              <w:t>3</w:t>
            </w:r>
            <w:r>
              <w:rPr>
                <w:color w:val="0000FF"/>
              </w:rPr>
              <w:t>。</w:t>
            </w:r>
          </w:p>
          <w:p w14:paraId="7A81FE6B">
            <w:pPr>
              <w:pStyle w:val="10"/>
              <w:snapToGrid w:val="0"/>
              <w:spacing w:after="0"/>
              <w:ind w:left="0" w:leftChars="0"/>
              <w:rPr>
                <w:color w:val="0000FF"/>
              </w:rPr>
            </w:pPr>
            <w:r>
              <w:rPr>
                <w:color w:val="0000FF"/>
              </w:rPr>
              <w:t>故V总=0+</w:t>
            </w:r>
            <w:r>
              <w:rPr>
                <w:rFonts w:hint="eastAsia"/>
                <w:color w:val="0000FF"/>
              </w:rPr>
              <w:t>54</w:t>
            </w:r>
            <w:r>
              <w:rPr>
                <w:color w:val="0000FF"/>
              </w:rPr>
              <w:t>-</w:t>
            </w:r>
            <w:r>
              <w:rPr>
                <w:rFonts w:hint="eastAsia"/>
                <w:color w:val="0000FF"/>
              </w:rPr>
              <w:t>50</w:t>
            </w:r>
            <w:r>
              <w:rPr>
                <w:color w:val="0000FF"/>
              </w:rPr>
              <w:t>+0+</w:t>
            </w:r>
            <w:r>
              <w:rPr>
                <w:rFonts w:hint="eastAsia"/>
                <w:color w:val="0000FF"/>
              </w:rPr>
              <w:t>13.5</w:t>
            </w:r>
            <w:r>
              <w:rPr>
                <w:color w:val="0000FF"/>
              </w:rPr>
              <w:t>=</w:t>
            </w:r>
            <w:r>
              <w:rPr>
                <w:rFonts w:hint="eastAsia"/>
                <w:color w:val="0000FF"/>
              </w:rPr>
              <w:t>17.5</w:t>
            </w:r>
            <w:r>
              <w:rPr>
                <w:color w:val="0000FF"/>
              </w:rPr>
              <w:t>m</w:t>
            </w:r>
            <w:r>
              <w:rPr>
                <w:color w:val="0000FF"/>
                <w:vertAlign w:val="superscript"/>
              </w:rPr>
              <w:t>3</w:t>
            </w:r>
          </w:p>
          <w:p w14:paraId="680A4BED">
            <w:pPr>
              <w:pStyle w:val="10"/>
              <w:snapToGrid w:val="0"/>
              <w:spacing w:after="0"/>
              <w:ind w:left="0" w:leftChars="0"/>
              <w:rPr>
                <w:b/>
                <w:bCs/>
                <w:color w:val="0000FF"/>
                <w:kern w:val="2"/>
              </w:rPr>
            </w:pPr>
            <w:r>
              <w:rPr>
                <w:color w:val="0000FF"/>
              </w:rPr>
              <w:t>综上所述，发生事故后需收集的废水量为</w:t>
            </w:r>
            <w:r>
              <w:rPr>
                <w:rFonts w:hint="eastAsia"/>
                <w:color w:val="0000FF"/>
              </w:rPr>
              <w:t>17.5</w:t>
            </w:r>
            <w:r>
              <w:rPr>
                <w:color w:val="0000FF"/>
              </w:rPr>
              <w:t>m</w:t>
            </w:r>
            <w:r>
              <w:rPr>
                <w:color w:val="0000FF"/>
                <w:vertAlign w:val="superscript"/>
              </w:rPr>
              <w:t>3</w:t>
            </w:r>
            <w:r>
              <w:rPr>
                <w:color w:val="0000FF"/>
              </w:rPr>
              <w:t>，因此</w:t>
            </w:r>
            <w:r>
              <w:rPr>
                <w:rFonts w:hint="eastAsia"/>
                <w:color w:val="0000FF"/>
              </w:rPr>
              <w:t>需</w:t>
            </w:r>
            <w:r>
              <w:rPr>
                <w:color w:val="0000FF"/>
              </w:rPr>
              <w:t>建设1个有效容积约为</w:t>
            </w:r>
            <w:r>
              <w:rPr>
                <w:rFonts w:hint="eastAsia"/>
                <w:color w:val="0000FF"/>
              </w:rPr>
              <w:t>25</w:t>
            </w:r>
            <w:r>
              <w:rPr>
                <w:color w:val="0000FF"/>
              </w:rPr>
              <w:t>m</w:t>
            </w:r>
            <w:r>
              <w:rPr>
                <w:color w:val="0000FF"/>
                <w:vertAlign w:val="superscript"/>
              </w:rPr>
              <w:t>3</w:t>
            </w:r>
            <w:r>
              <w:rPr>
                <w:color w:val="0000FF"/>
              </w:rPr>
              <w:t>的应急事故池，从而保证事故废水不会进入项目附近周边水体。</w:t>
            </w:r>
          </w:p>
          <w:p w14:paraId="6E0FA314">
            <w:pPr>
              <w:pStyle w:val="39"/>
              <w:adjustRightInd/>
              <w:spacing w:before="0" w:line="360" w:lineRule="auto"/>
              <w:ind w:firstLine="480"/>
              <w:jc w:val="center"/>
              <w:rPr>
                <w:rFonts w:ascii="Times New Roman" w:hAnsi="Times New Roman"/>
                <w:b/>
                <w:bCs/>
                <w:color w:val="0000FF"/>
                <w:kern w:val="2"/>
              </w:rPr>
            </w:pPr>
            <w:r>
              <w:rPr>
                <w:rFonts w:ascii="Times New Roman" w:hAnsi="Times New Roman"/>
                <w:color w:val="0000FF"/>
              </w:rPr>
              <w:drawing>
                <wp:inline distT="0" distB="0" distL="114300" distR="114300">
                  <wp:extent cx="2749550" cy="2169795"/>
                  <wp:effectExtent l="0" t="0" r="12700" b="190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51"/>
                          <a:stretch>
                            <a:fillRect/>
                          </a:stretch>
                        </pic:blipFill>
                        <pic:spPr>
                          <a:xfrm>
                            <a:off x="0" y="0"/>
                            <a:ext cx="2749550" cy="2169795"/>
                          </a:xfrm>
                          <a:prstGeom prst="rect">
                            <a:avLst/>
                          </a:prstGeom>
                          <a:noFill/>
                          <a:ln>
                            <a:noFill/>
                          </a:ln>
                        </pic:spPr>
                      </pic:pic>
                    </a:graphicData>
                  </a:graphic>
                </wp:inline>
              </w:drawing>
            </w:r>
          </w:p>
          <w:p w14:paraId="68F02A41">
            <w:pPr>
              <w:pStyle w:val="10"/>
              <w:snapToGrid w:val="0"/>
              <w:spacing w:after="0"/>
              <w:ind w:left="0" w:leftChars="0" w:firstLine="482"/>
              <w:jc w:val="center"/>
              <w:rPr>
                <w:b/>
                <w:bCs/>
                <w:color w:val="0000FF"/>
              </w:rPr>
            </w:pPr>
            <w:r>
              <w:rPr>
                <w:b/>
                <w:bCs/>
                <w:color w:val="0000FF"/>
              </w:rPr>
              <w:t>图4-</w:t>
            </w:r>
            <w:r>
              <w:rPr>
                <w:rFonts w:hint="eastAsia"/>
                <w:b/>
                <w:bCs/>
                <w:color w:val="0000FF"/>
              </w:rPr>
              <w:t xml:space="preserve">3  </w:t>
            </w:r>
            <w:r>
              <w:rPr>
                <w:b/>
                <w:bCs/>
                <w:color w:val="0000FF"/>
              </w:rPr>
              <w:t>事故废水防范和处理措施图</w:t>
            </w:r>
          </w:p>
          <w:p w14:paraId="6091E058">
            <w:pPr>
              <w:pStyle w:val="10"/>
              <w:snapToGrid w:val="0"/>
              <w:spacing w:after="0"/>
              <w:ind w:left="0" w:leftChars="0"/>
              <w:rPr>
                <w:color w:val="0000FF"/>
              </w:rPr>
            </w:pPr>
            <w:r>
              <w:rPr>
                <w:color w:val="0000FF"/>
              </w:rPr>
              <w:t>废水收集流程说明：</w:t>
            </w:r>
          </w:p>
          <w:p w14:paraId="57587CEA">
            <w:pPr>
              <w:pStyle w:val="10"/>
              <w:snapToGrid w:val="0"/>
              <w:spacing w:after="0"/>
              <w:ind w:left="0" w:leftChars="0"/>
              <w:rPr>
                <w:b/>
                <w:color w:val="0000FF"/>
              </w:rPr>
            </w:pPr>
            <w:r>
              <w:rPr>
                <w:color w:val="0000FF"/>
              </w:rPr>
              <w:t>全厂实施清污分流和雨污分流。雨水经雨水管网进入市政雨水管内，污水系统收集厂内产生的污水。正常生产情况下，阀门1开启，阀门2、3关闭，对于初期雨水的收集可通过关闭阀门1，开启阀门2进行收集。初期雨水收集结束后，开启阀门1，关闭阀门2。事故状况下，阀门1关闭，阀门2、3开启，对消防污水和事故废水进行收集，收集的污水委托</w:t>
            </w:r>
            <w:r>
              <w:rPr>
                <w:rFonts w:hint="eastAsia"/>
                <w:color w:val="0000FF"/>
              </w:rPr>
              <w:t>污水处理厂</w:t>
            </w:r>
            <w:r>
              <w:rPr>
                <w:color w:val="0000FF"/>
              </w:rPr>
              <w:t>处理。</w:t>
            </w:r>
          </w:p>
          <w:p w14:paraId="78BCFAE4">
            <w:pPr>
              <w:tabs>
                <w:tab w:val="left" w:pos="1215"/>
              </w:tabs>
              <w:adjustRightInd w:val="0"/>
              <w:snapToGrid w:val="0"/>
              <w:ind w:firstLine="482"/>
              <w:jc w:val="left"/>
              <w:rPr>
                <w:b/>
              </w:rPr>
            </w:pPr>
            <w:r>
              <w:rPr>
                <w:rFonts w:hint="eastAsia"/>
                <w:b/>
              </w:rPr>
              <w:t>7、</w:t>
            </w:r>
            <w:r>
              <w:rPr>
                <w:b/>
              </w:rPr>
              <w:t>环保投资估算</w:t>
            </w:r>
          </w:p>
          <w:p w14:paraId="04F1ED86">
            <w:pPr>
              <w:tabs>
                <w:tab w:val="left" w:pos="1215"/>
              </w:tabs>
              <w:adjustRightInd w:val="0"/>
              <w:snapToGrid w:val="0"/>
              <w:jc w:val="left"/>
              <w:rPr>
                <w:bCs/>
                <w:color w:val="0000FF"/>
              </w:rPr>
            </w:pPr>
            <w:r>
              <w:rPr>
                <w:bCs/>
                <w:color w:val="0000FF"/>
              </w:rPr>
              <w:t>本项目总投资</w:t>
            </w:r>
            <w:r>
              <w:rPr>
                <w:rFonts w:hint="eastAsia"/>
                <w:bCs/>
                <w:color w:val="0000FF"/>
              </w:rPr>
              <w:t>1000</w:t>
            </w:r>
            <w:r>
              <w:rPr>
                <w:bCs/>
                <w:color w:val="0000FF"/>
              </w:rPr>
              <w:t>万元，其中环保投资</w:t>
            </w:r>
            <w:r>
              <w:rPr>
                <w:rFonts w:hint="eastAsia"/>
                <w:bCs/>
                <w:color w:val="0000FF"/>
              </w:rPr>
              <w:t>53</w:t>
            </w:r>
            <w:r>
              <w:rPr>
                <w:bCs/>
                <w:color w:val="0000FF"/>
              </w:rPr>
              <w:t>万元，占总投资的</w:t>
            </w:r>
            <w:r>
              <w:rPr>
                <w:rFonts w:hint="eastAsia"/>
                <w:bCs/>
                <w:color w:val="0000FF"/>
              </w:rPr>
              <w:t>5.3</w:t>
            </w:r>
            <w:r>
              <w:rPr>
                <w:bCs/>
                <w:color w:val="0000FF"/>
              </w:rPr>
              <w:t>%，环保设施投资概算见下表所示。</w:t>
            </w:r>
          </w:p>
          <w:p w14:paraId="5031E859">
            <w:pPr>
              <w:pStyle w:val="32"/>
              <w:rPr>
                <w:rFonts w:hint="default"/>
              </w:rPr>
            </w:pPr>
            <w:r>
              <w:t>表4-21  环保投资估算表</w:t>
            </w:r>
          </w:p>
          <w:tbl>
            <w:tblPr>
              <w:tblStyle w:val="22"/>
              <w:tblW w:w="78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0"/>
              <w:gridCol w:w="1065"/>
              <w:gridCol w:w="4980"/>
              <w:gridCol w:w="1093"/>
            </w:tblGrid>
            <w:tr w14:paraId="09329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tcBorders>
                    <w:tl2br w:val="nil"/>
                    <w:tr2bl w:val="nil"/>
                  </w:tcBorders>
                  <w:vAlign w:val="center"/>
                </w:tcPr>
                <w:p w14:paraId="25AB80CA">
                  <w:pPr>
                    <w:pStyle w:val="29"/>
                    <w:rPr>
                      <w:color w:val="0000FF"/>
                    </w:rPr>
                  </w:pPr>
                  <w:r>
                    <w:rPr>
                      <w:color w:val="0000FF"/>
                    </w:rPr>
                    <w:t>序号</w:t>
                  </w:r>
                </w:p>
              </w:tc>
              <w:tc>
                <w:tcPr>
                  <w:tcW w:w="1065" w:type="dxa"/>
                  <w:tcBorders>
                    <w:tl2br w:val="nil"/>
                    <w:tr2bl w:val="nil"/>
                  </w:tcBorders>
                  <w:vAlign w:val="center"/>
                </w:tcPr>
                <w:p w14:paraId="3F7892C9">
                  <w:pPr>
                    <w:pStyle w:val="29"/>
                    <w:rPr>
                      <w:color w:val="0000FF"/>
                    </w:rPr>
                  </w:pPr>
                  <w:r>
                    <w:rPr>
                      <w:color w:val="0000FF"/>
                    </w:rPr>
                    <w:t>类别</w:t>
                  </w:r>
                </w:p>
              </w:tc>
              <w:tc>
                <w:tcPr>
                  <w:tcW w:w="4980" w:type="dxa"/>
                  <w:tcBorders>
                    <w:tl2br w:val="nil"/>
                    <w:tr2bl w:val="nil"/>
                  </w:tcBorders>
                  <w:vAlign w:val="center"/>
                </w:tcPr>
                <w:p w14:paraId="0FA3F4DA">
                  <w:pPr>
                    <w:pStyle w:val="29"/>
                    <w:rPr>
                      <w:color w:val="0000FF"/>
                    </w:rPr>
                  </w:pPr>
                  <w:r>
                    <w:rPr>
                      <w:color w:val="0000FF"/>
                    </w:rPr>
                    <w:t>治理对象</w:t>
                  </w:r>
                  <w:r>
                    <w:rPr>
                      <w:rFonts w:hint="eastAsia"/>
                      <w:color w:val="0000FF"/>
                    </w:rPr>
                    <w:t>及设施</w:t>
                  </w:r>
                </w:p>
              </w:tc>
              <w:tc>
                <w:tcPr>
                  <w:tcW w:w="1093" w:type="dxa"/>
                  <w:tcBorders>
                    <w:tl2br w:val="nil"/>
                    <w:tr2bl w:val="nil"/>
                  </w:tcBorders>
                  <w:vAlign w:val="center"/>
                </w:tcPr>
                <w:p w14:paraId="1FF4FBC8">
                  <w:pPr>
                    <w:pStyle w:val="29"/>
                    <w:rPr>
                      <w:color w:val="0000FF"/>
                    </w:rPr>
                  </w:pPr>
                  <w:r>
                    <w:rPr>
                      <w:color w:val="0000FF"/>
                    </w:rPr>
                    <w:t>投资</w:t>
                  </w:r>
                </w:p>
                <w:p w14:paraId="146BDE0F">
                  <w:pPr>
                    <w:pStyle w:val="29"/>
                    <w:rPr>
                      <w:color w:val="0000FF"/>
                    </w:rPr>
                  </w:pPr>
                  <w:r>
                    <w:rPr>
                      <w:rFonts w:hint="eastAsia"/>
                      <w:color w:val="0000FF"/>
                    </w:rPr>
                    <w:t>（</w:t>
                  </w:r>
                  <w:r>
                    <w:rPr>
                      <w:color w:val="0000FF"/>
                    </w:rPr>
                    <w:t>万元</w:t>
                  </w:r>
                  <w:r>
                    <w:rPr>
                      <w:rFonts w:hint="eastAsia"/>
                      <w:color w:val="0000FF"/>
                    </w:rPr>
                    <w:t>）</w:t>
                  </w:r>
                </w:p>
              </w:tc>
            </w:tr>
            <w:tr w14:paraId="6B80BE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tcBorders>
                    <w:tl2br w:val="nil"/>
                    <w:tr2bl w:val="nil"/>
                  </w:tcBorders>
                  <w:vAlign w:val="center"/>
                </w:tcPr>
                <w:p w14:paraId="7463D64D">
                  <w:pPr>
                    <w:pStyle w:val="29"/>
                    <w:rPr>
                      <w:color w:val="0000FF"/>
                    </w:rPr>
                  </w:pPr>
                  <w:r>
                    <w:rPr>
                      <w:color w:val="0000FF"/>
                    </w:rPr>
                    <w:t>1</w:t>
                  </w:r>
                </w:p>
              </w:tc>
              <w:tc>
                <w:tcPr>
                  <w:tcW w:w="1065" w:type="dxa"/>
                  <w:tcBorders>
                    <w:tl2br w:val="nil"/>
                    <w:tr2bl w:val="nil"/>
                  </w:tcBorders>
                  <w:vAlign w:val="center"/>
                </w:tcPr>
                <w:p w14:paraId="35214B2C">
                  <w:pPr>
                    <w:pStyle w:val="29"/>
                    <w:rPr>
                      <w:color w:val="0000FF"/>
                    </w:rPr>
                  </w:pPr>
                  <w:r>
                    <w:rPr>
                      <w:color w:val="0000FF"/>
                    </w:rPr>
                    <w:t>废水</w:t>
                  </w:r>
                </w:p>
              </w:tc>
              <w:tc>
                <w:tcPr>
                  <w:tcW w:w="4980" w:type="dxa"/>
                  <w:tcBorders>
                    <w:tl2br w:val="nil"/>
                    <w:tr2bl w:val="nil"/>
                  </w:tcBorders>
                  <w:vAlign w:val="center"/>
                </w:tcPr>
                <w:p w14:paraId="594DB2EC">
                  <w:pPr>
                    <w:pStyle w:val="29"/>
                    <w:rPr>
                      <w:color w:val="0000FF"/>
                    </w:rPr>
                  </w:pPr>
                  <w:r>
                    <w:rPr>
                      <w:rFonts w:hint="eastAsia"/>
                      <w:color w:val="0000FF"/>
                    </w:rPr>
                    <w:t>生活污水经化粪池预处理，生产废水经污水处理站。</w:t>
                  </w:r>
                </w:p>
              </w:tc>
              <w:tc>
                <w:tcPr>
                  <w:tcW w:w="1093" w:type="dxa"/>
                  <w:tcBorders>
                    <w:tl2br w:val="nil"/>
                    <w:tr2bl w:val="nil"/>
                  </w:tcBorders>
                  <w:vAlign w:val="center"/>
                </w:tcPr>
                <w:p w14:paraId="14D5DCB5">
                  <w:pPr>
                    <w:pStyle w:val="29"/>
                    <w:rPr>
                      <w:color w:val="0000FF"/>
                    </w:rPr>
                  </w:pPr>
                  <w:r>
                    <w:rPr>
                      <w:rFonts w:hint="eastAsia"/>
                      <w:color w:val="0000FF"/>
                    </w:rPr>
                    <w:t>8</w:t>
                  </w:r>
                </w:p>
              </w:tc>
            </w:tr>
            <w:tr w14:paraId="1117B5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vMerge w:val="restart"/>
                  <w:tcBorders>
                    <w:tl2br w:val="nil"/>
                    <w:tr2bl w:val="nil"/>
                  </w:tcBorders>
                  <w:vAlign w:val="center"/>
                </w:tcPr>
                <w:p w14:paraId="45184D66">
                  <w:pPr>
                    <w:pStyle w:val="29"/>
                    <w:rPr>
                      <w:color w:val="0000FF"/>
                    </w:rPr>
                  </w:pPr>
                  <w:r>
                    <w:rPr>
                      <w:color w:val="0000FF"/>
                    </w:rPr>
                    <w:t>2</w:t>
                  </w:r>
                </w:p>
              </w:tc>
              <w:tc>
                <w:tcPr>
                  <w:tcW w:w="1065" w:type="dxa"/>
                  <w:vMerge w:val="restart"/>
                  <w:tcBorders>
                    <w:tl2br w:val="nil"/>
                    <w:tr2bl w:val="nil"/>
                  </w:tcBorders>
                  <w:vAlign w:val="center"/>
                </w:tcPr>
                <w:p w14:paraId="505E1E4A">
                  <w:pPr>
                    <w:pStyle w:val="29"/>
                    <w:rPr>
                      <w:color w:val="0000FF"/>
                    </w:rPr>
                  </w:pPr>
                  <w:r>
                    <w:rPr>
                      <w:rFonts w:hint="eastAsia"/>
                      <w:color w:val="0000FF"/>
                    </w:rPr>
                    <w:t>废气</w:t>
                  </w:r>
                </w:p>
              </w:tc>
              <w:tc>
                <w:tcPr>
                  <w:tcW w:w="4980" w:type="dxa"/>
                  <w:tcBorders>
                    <w:tl2br w:val="nil"/>
                    <w:tr2bl w:val="nil"/>
                  </w:tcBorders>
                  <w:vAlign w:val="center"/>
                </w:tcPr>
                <w:p w14:paraId="45BCEDBA">
                  <w:pPr>
                    <w:pStyle w:val="29"/>
                    <w:rPr>
                      <w:color w:val="0000FF"/>
                    </w:rPr>
                  </w:pPr>
                  <w:r>
                    <w:rPr>
                      <w:rFonts w:hint="eastAsia"/>
                      <w:color w:val="0000FF"/>
                    </w:rPr>
                    <w:t>炒制油烟：静电油烟处理器处理后15m高排气筒（DA001）排放。</w:t>
                  </w:r>
                </w:p>
              </w:tc>
              <w:tc>
                <w:tcPr>
                  <w:tcW w:w="1093" w:type="dxa"/>
                  <w:tcBorders>
                    <w:tl2br w:val="nil"/>
                    <w:tr2bl w:val="nil"/>
                  </w:tcBorders>
                  <w:vAlign w:val="center"/>
                </w:tcPr>
                <w:p w14:paraId="7BF8C12C">
                  <w:pPr>
                    <w:pStyle w:val="29"/>
                    <w:rPr>
                      <w:color w:val="0000FF"/>
                    </w:rPr>
                  </w:pPr>
                  <w:r>
                    <w:rPr>
                      <w:rFonts w:hint="eastAsia"/>
                      <w:color w:val="0000FF"/>
                    </w:rPr>
                    <w:t>8</w:t>
                  </w:r>
                </w:p>
              </w:tc>
            </w:tr>
            <w:tr w14:paraId="59FD4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vMerge w:val="continue"/>
                  <w:tcBorders>
                    <w:tl2br w:val="nil"/>
                    <w:tr2bl w:val="nil"/>
                  </w:tcBorders>
                  <w:vAlign w:val="center"/>
                </w:tcPr>
                <w:p w14:paraId="559D2376">
                  <w:pPr>
                    <w:pStyle w:val="29"/>
                    <w:rPr>
                      <w:color w:val="0000FF"/>
                    </w:rPr>
                  </w:pPr>
                </w:p>
              </w:tc>
              <w:tc>
                <w:tcPr>
                  <w:tcW w:w="1065" w:type="dxa"/>
                  <w:vMerge w:val="continue"/>
                  <w:tcBorders>
                    <w:tl2br w:val="nil"/>
                    <w:tr2bl w:val="nil"/>
                  </w:tcBorders>
                  <w:vAlign w:val="center"/>
                </w:tcPr>
                <w:p w14:paraId="08665105">
                  <w:pPr>
                    <w:pStyle w:val="29"/>
                    <w:rPr>
                      <w:color w:val="0000FF"/>
                    </w:rPr>
                  </w:pPr>
                </w:p>
              </w:tc>
              <w:tc>
                <w:tcPr>
                  <w:tcW w:w="4980" w:type="dxa"/>
                  <w:tcBorders>
                    <w:tl2br w:val="nil"/>
                    <w:tr2bl w:val="nil"/>
                  </w:tcBorders>
                  <w:vAlign w:val="center"/>
                </w:tcPr>
                <w:p w14:paraId="583ED68D">
                  <w:pPr>
                    <w:pStyle w:val="29"/>
                    <w:rPr>
                      <w:color w:val="0000FF"/>
                    </w:rPr>
                  </w:pPr>
                  <w:r>
                    <w:rPr>
                      <w:color w:val="0000FF"/>
                    </w:rPr>
                    <w:t>蒸汽发生器安装低氮燃烧器，烟气通过15</w:t>
                  </w:r>
                  <w:r>
                    <w:rPr>
                      <w:rFonts w:hint="eastAsia"/>
                      <w:color w:val="0000FF"/>
                    </w:rPr>
                    <w:t>m</w:t>
                  </w:r>
                  <w:r>
                    <w:rPr>
                      <w:color w:val="0000FF"/>
                    </w:rPr>
                    <w:t>高排气筒（DA002）排放</w:t>
                  </w:r>
                  <w:r>
                    <w:rPr>
                      <w:rFonts w:hint="eastAsia"/>
                      <w:color w:val="0000FF"/>
                    </w:rPr>
                    <w:t>。</w:t>
                  </w:r>
                </w:p>
              </w:tc>
              <w:tc>
                <w:tcPr>
                  <w:tcW w:w="1093" w:type="dxa"/>
                  <w:tcBorders>
                    <w:tl2br w:val="nil"/>
                    <w:tr2bl w:val="nil"/>
                  </w:tcBorders>
                  <w:vAlign w:val="center"/>
                </w:tcPr>
                <w:p w14:paraId="7DB9BFBA">
                  <w:pPr>
                    <w:pStyle w:val="29"/>
                    <w:rPr>
                      <w:color w:val="0000FF"/>
                    </w:rPr>
                  </w:pPr>
                  <w:r>
                    <w:rPr>
                      <w:rFonts w:hint="eastAsia"/>
                      <w:color w:val="0000FF"/>
                    </w:rPr>
                    <w:t>10</w:t>
                  </w:r>
                </w:p>
              </w:tc>
            </w:tr>
            <w:tr w14:paraId="0F7AB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tcBorders>
                    <w:tl2br w:val="nil"/>
                    <w:tr2bl w:val="nil"/>
                  </w:tcBorders>
                  <w:vAlign w:val="center"/>
                </w:tcPr>
                <w:p w14:paraId="63B27AC7">
                  <w:pPr>
                    <w:pStyle w:val="29"/>
                    <w:rPr>
                      <w:color w:val="0000FF"/>
                    </w:rPr>
                  </w:pPr>
                  <w:r>
                    <w:rPr>
                      <w:color w:val="0000FF"/>
                    </w:rPr>
                    <w:t>3</w:t>
                  </w:r>
                </w:p>
              </w:tc>
              <w:tc>
                <w:tcPr>
                  <w:tcW w:w="1065" w:type="dxa"/>
                  <w:tcBorders>
                    <w:tl2br w:val="nil"/>
                    <w:tr2bl w:val="nil"/>
                  </w:tcBorders>
                  <w:vAlign w:val="center"/>
                </w:tcPr>
                <w:p w14:paraId="511D1AD4">
                  <w:pPr>
                    <w:pStyle w:val="29"/>
                    <w:rPr>
                      <w:color w:val="0000FF"/>
                    </w:rPr>
                  </w:pPr>
                  <w:r>
                    <w:rPr>
                      <w:color w:val="0000FF"/>
                    </w:rPr>
                    <w:t>噪声</w:t>
                  </w:r>
                </w:p>
              </w:tc>
              <w:tc>
                <w:tcPr>
                  <w:tcW w:w="4980" w:type="dxa"/>
                  <w:tcBorders>
                    <w:tl2br w:val="nil"/>
                    <w:tr2bl w:val="nil"/>
                  </w:tcBorders>
                  <w:vAlign w:val="center"/>
                </w:tcPr>
                <w:p w14:paraId="649B1E7D">
                  <w:pPr>
                    <w:pStyle w:val="29"/>
                    <w:rPr>
                      <w:color w:val="0000FF"/>
                    </w:rPr>
                  </w:pPr>
                  <w:r>
                    <w:rPr>
                      <w:color w:val="0000FF"/>
                    </w:rPr>
                    <w:t>设备</w:t>
                  </w:r>
                  <w:r>
                    <w:rPr>
                      <w:rFonts w:hint="eastAsia"/>
                      <w:color w:val="0000FF"/>
                    </w:rPr>
                    <w:t>：隔声、减震垫，消声器等。</w:t>
                  </w:r>
                </w:p>
              </w:tc>
              <w:tc>
                <w:tcPr>
                  <w:tcW w:w="1093" w:type="dxa"/>
                  <w:tcBorders>
                    <w:tl2br w:val="nil"/>
                    <w:tr2bl w:val="nil"/>
                  </w:tcBorders>
                  <w:vAlign w:val="center"/>
                </w:tcPr>
                <w:p w14:paraId="2DED9BB2">
                  <w:pPr>
                    <w:pStyle w:val="29"/>
                    <w:rPr>
                      <w:color w:val="0000FF"/>
                    </w:rPr>
                  </w:pPr>
                  <w:r>
                    <w:rPr>
                      <w:rFonts w:hint="eastAsia"/>
                      <w:color w:val="0000FF"/>
                    </w:rPr>
                    <w:t>5</w:t>
                  </w:r>
                </w:p>
              </w:tc>
            </w:tr>
            <w:tr w14:paraId="40CA5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tcBorders>
                    <w:tl2br w:val="nil"/>
                    <w:tr2bl w:val="nil"/>
                  </w:tcBorders>
                  <w:vAlign w:val="center"/>
                </w:tcPr>
                <w:p w14:paraId="7321ACC7">
                  <w:pPr>
                    <w:pStyle w:val="29"/>
                    <w:rPr>
                      <w:color w:val="0000FF"/>
                    </w:rPr>
                  </w:pPr>
                  <w:r>
                    <w:rPr>
                      <w:color w:val="0000FF"/>
                    </w:rPr>
                    <w:t>4</w:t>
                  </w:r>
                </w:p>
              </w:tc>
              <w:tc>
                <w:tcPr>
                  <w:tcW w:w="1065" w:type="dxa"/>
                  <w:tcBorders>
                    <w:tl2br w:val="nil"/>
                    <w:tr2bl w:val="nil"/>
                  </w:tcBorders>
                  <w:vAlign w:val="center"/>
                </w:tcPr>
                <w:p w14:paraId="6DEE4BA5">
                  <w:pPr>
                    <w:pStyle w:val="29"/>
                    <w:rPr>
                      <w:color w:val="0000FF"/>
                    </w:rPr>
                  </w:pPr>
                  <w:r>
                    <w:rPr>
                      <w:color w:val="0000FF"/>
                    </w:rPr>
                    <w:t>固废</w:t>
                  </w:r>
                </w:p>
              </w:tc>
              <w:tc>
                <w:tcPr>
                  <w:tcW w:w="4980" w:type="dxa"/>
                  <w:tcBorders>
                    <w:tl2br w:val="nil"/>
                    <w:tr2bl w:val="nil"/>
                  </w:tcBorders>
                  <w:vAlign w:val="center"/>
                </w:tcPr>
                <w:p w14:paraId="69D8F4CC">
                  <w:pPr>
                    <w:pStyle w:val="29"/>
                    <w:rPr>
                      <w:color w:val="0000FF"/>
                    </w:rPr>
                  </w:pPr>
                  <w:r>
                    <w:rPr>
                      <w:rFonts w:hint="eastAsia"/>
                      <w:color w:val="0000FF"/>
                    </w:rPr>
                    <w:t>设置一般固废间。</w:t>
                  </w:r>
                </w:p>
              </w:tc>
              <w:tc>
                <w:tcPr>
                  <w:tcW w:w="1093" w:type="dxa"/>
                  <w:tcBorders>
                    <w:tl2br w:val="nil"/>
                    <w:tr2bl w:val="nil"/>
                  </w:tcBorders>
                  <w:vAlign w:val="center"/>
                </w:tcPr>
                <w:p w14:paraId="433419B0">
                  <w:pPr>
                    <w:pStyle w:val="29"/>
                    <w:rPr>
                      <w:color w:val="0000FF"/>
                    </w:rPr>
                  </w:pPr>
                  <w:r>
                    <w:rPr>
                      <w:rFonts w:hint="eastAsia"/>
                      <w:color w:val="0000FF"/>
                    </w:rPr>
                    <w:t>6</w:t>
                  </w:r>
                </w:p>
              </w:tc>
            </w:tr>
            <w:tr w14:paraId="76A69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tcBorders>
                    <w:tl2br w:val="nil"/>
                    <w:tr2bl w:val="nil"/>
                  </w:tcBorders>
                  <w:vAlign w:val="center"/>
                </w:tcPr>
                <w:p w14:paraId="2E8A3F74">
                  <w:pPr>
                    <w:pStyle w:val="29"/>
                    <w:rPr>
                      <w:color w:val="0000FF"/>
                    </w:rPr>
                  </w:pPr>
                  <w:r>
                    <w:rPr>
                      <w:rFonts w:hint="eastAsia"/>
                      <w:color w:val="0000FF"/>
                    </w:rPr>
                    <w:t>5</w:t>
                  </w:r>
                </w:p>
              </w:tc>
              <w:tc>
                <w:tcPr>
                  <w:tcW w:w="1065" w:type="dxa"/>
                  <w:tcBorders>
                    <w:tl2br w:val="nil"/>
                    <w:tr2bl w:val="nil"/>
                  </w:tcBorders>
                  <w:vAlign w:val="center"/>
                </w:tcPr>
                <w:p w14:paraId="08B11DB6">
                  <w:pPr>
                    <w:pStyle w:val="29"/>
                    <w:rPr>
                      <w:color w:val="0000FF"/>
                    </w:rPr>
                  </w:pPr>
                  <w:r>
                    <w:rPr>
                      <w:rFonts w:hint="eastAsia"/>
                      <w:color w:val="0000FF"/>
                    </w:rPr>
                    <w:t>地下水、土壤</w:t>
                  </w:r>
                </w:p>
              </w:tc>
              <w:tc>
                <w:tcPr>
                  <w:tcW w:w="4980" w:type="dxa"/>
                  <w:tcBorders>
                    <w:tl2br w:val="nil"/>
                    <w:tr2bl w:val="nil"/>
                  </w:tcBorders>
                  <w:vAlign w:val="center"/>
                </w:tcPr>
                <w:p w14:paraId="0DCD770F">
                  <w:pPr>
                    <w:pStyle w:val="29"/>
                    <w:rPr>
                      <w:color w:val="0000FF"/>
                    </w:rPr>
                  </w:pPr>
                  <w:r>
                    <w:rPr>
                      <w:rFonts w:hint="eastAsia"/>
                      <w:color w:val="0000FF"/>
                    </w:rPr>
                    <w:t>分区防渗。</w:t>
                  </w:r>
                </w:p>
              </w:tc>
              <w:tc>
                <w:tcPr>
                  <w:tcW w:w="1093" w:type="dxa"/>
                  <w:tcBorders>
                    <w:tl2br w:val="nil"/>
                    <w:tr2bl w:val="nil"/>
                  </w:tcBorders>
                  <w:vAlign w:val="center"/>
                </w:tcPr>
                <w:p w14:paraId="1E5D26CF">
                  <w:pPr>
                    <w:pStyle w:val="29"/>
                    <w:rPr>
                      <w:color w:val="0000FF"/>
                    </w:rPr>
                  </w:pPr>
                  <w:r>
                    <w:rPr>
                      <w:rFonts w:hint="eastAsia"/>
                      <w:color w:val="0000FF"/>
                    </w:rPr>
                    <w:t>8</w:t>
                  </w:r>
                </w:p>
              </w:tc>
            </w:tr>
            <w:tr w14:paraId="588CA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80" w:type="dxa"/>
                  <w:tcBorders>
                    <w:tl2br w:val="nil"/>
                    <w:tr2bl w:val="nil"/>
                  </w:tcBorders>
                  <w:vAlign w:val="center"/>
                </w:tcPr>
                <w:p w14:paraId="70974957">
                  <w:pPr>
                    <w:pStyle w:val="29"/>
                    <w:rPr>
                      <w:color w:val="0000FF"/>
                    </w:rPr>
                  </w:pPr>
                  <w:r>
                    <w:rPr>
                      <w:rFonts w:hint="eastAsia"/>
                      <w:color w:val="0000FF"/>
                    </w:rPr>
                    <w:t>6</w:t>
                  </w:r>
                </w:p>
              </w:tc>
              <w:tc>
                <w:tcPr>
                  <w:tcW w:w="1065" w:type="dxa"/>
                  <w:tcBorders>
                    <w:tl2br w:val="nil"/>
                    <w:tr2bl w:val="nil"/>
                  </w:tcBorders>
                  <w:vAlign w:val="center"/>
                </w:tcPr>
                <w:p w14:paraId="76E5861D">
                  <w:pPr>
                    <w:pStyle w:val="29"/>
                    <w:rPr>
                      <w:color w:val="0000FF"/>
                    </w:rPr>
                  </w:pPr>
                  <w:r>
                    <w:rPr>
                      <w:rFonts w:hint="eastAsia"/>
                      <w:color w:val="0000FF"/>
                    </w:rPr>
                    <w:t>环境风险</w:t>
                  </w:r>
                </w:p>
              </w:tc>
              <w:tc>
                <w:tcPr>
                  <w:tcW w:w="4980" w:type="dxa"/>
                  <w:tcBorders>
                    <w:tl2br w:val="nil"/>
                    <w:tr2bl w:val="nil"/>
                  </w:tcBorders>
                  <w:vAlign w:val="center"/>
                </w:tcPr>
                <w:p w14:paraId="5E56FBF2">
                  <w:pPr>
                    <w:pStyle w:val="29"/>
                    <w:rPr>
                      <w:color w:val="0000FF"/>
                    </w:rPr>
                  </w:pPr>
                  <w:r>
                    <w:rPr>
                      <w:rFonts w:hint="eastAsia"/>
                      <w:color w:val="0000FF"/>
                    </w:rPr>
                    <w:t>制定应急预案、组织应急演练、事故应急池。</w:t>
                  </w:r>
                </w:p>
              </w:tc>
              <w:tc>
                <w:tcPr>
                  <w:tcW w:w="1093" w:type="dxa"/>
                  <w:tcBorders>
                    <w:tl2br w:val="nil"/>
                    <w:tr2bl w:val="nil"/>
                  </w:tcBorders>
                  <w:vAlign w:val="center"/>
                </w:tcPr>
                <w:p w14:paraId="4A0C6508">
                  <w:pPr>
                    <w:pStyle w:val="29"/>
                    <w:rPr>
                      <w:color w:val="0000FF"/>
                    </w:rPr>
                  </w:pPr>
                  <w:r>
                    <w:rPr>
                      <w:rFonts w:hint="eastAsia"/>
                      <w:color w:val="0000FF"/>
                    </w:rPr>
                    <w:t>8</w:t>
                  </w:r>
                </w:p>
              </w:tc>
            </w:tr>
            <w:tr w14:paraId="7B713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725" w:type="dxa"/>
                  <w:gridSpan w:val="3"/>
                  <w:tcBorders>
                    <w:tl2br w:val="nil"/>
                    <w:tr2bl w:val="nil"/>
                  </w:tcBorders>
                  <w:vAlign w:val="center"/>
                </w:tcPr>
                <w:p w14:paraId="284451FC">
                  <w:pPr>
                    <w:pStyle w:val="29"/>
                    <w:rPr>
                      <w:color w:val="0000FF"/>
                    </w:rPr>
                  </w:pPr>
                  <w:r>
                    <w:rPr>
                      <w:rFonts w:hint="eastAsia"/>
                      <w:color w:val="0000FF"/>
                    </w:rPr>
                    <w:t>合计</w:t>
                  </w:r>
                </w:p>
              </w:tc>
              <w:tc>
                <w:tcPr>
                  <w:tcW w:w="1093" w:type="dxa"/>
                  <w:tcBorders>
                    <w:tl2br w:val="nil"/>
                    <w:tr2bl w:val="nil"/>
                  </w:tcBorders>
                  <w:vAlign w:val="center"/>
                </w:tcPr>
                <w:p w14:paraId="600A0510">
                  <w:pPr>
                    <w:pStyle w:val="29"/>
                    <w:rPr>
                      <w:color w:val="0000FF"/>
                    </w:rPr>
                  </w:pPr>
                  <w:r>
                    <w:rPr>
                      <w:rFonts w:hint="eastAsia"/>
                      <w:color w:val="0000FF"/>
                    </w:rPr>
                    <w:t>53</w:t>
                  </w:r>
                </w:p>
              </w:tc>
            </w:tr>
          </w:tbl>
          <w:p w14:paraId="40B76D5E">
            <w:pPr>
              <w:ind w:firstLine="0" w:firstLineChars="0"/>
            </w:pPr>
          </w:p>
          <w:p w14:paraId="57EB8949">
            <w:pPr>
              <w:pStyle w:val="28"/>
              <w:ind w:firstLine="480"/>
              <w:rPr>
                <w:rFonts w:eastAsia="宋体"/>
              </w:rPr>
            </w:pPr>
          </w:p>
          <w:p w14:paraId="01FEA312">
            <w:pPr>
              <w:pStyle w:val="28"/>
              <w:ind w:firstLine="480"/>
              <w:rPr>
                <w:rFonts w:eastAsia="宋体"/>
              </w:rPr>
            </w:pPr>
          </w:p>
          <w:p w14:paraId="20C28C15">
            <w:pPr>
              <w:pStyle w:val="28"/>
              <w:ind w:firstLine="480"/>
              <w:rPr>
                <w:rFonts w:eastAsia="宋体"/>
              </w:rPr>
            </w:pPr>
          </w:p>
          <w:p w14:paraId="6284D15A">
            <w:pPr>
              <w:pStyle w:val="28"/>
              <w:ind w:firstLine="0" w:firstLineChars="0"/>
              <w:rPr>
                <w:rFonts w:eastAsia="宋体"/>
              </w:rPr>
            </w:pPr>
          </w:p>
          <w:p w14:paraId="1C6064BB">
            <w:pPr>
              <w:pStyle w:val="28"/>
              <w:ind w:firstLine="0" w:firstLineChars="0"/>
              <w:rPr>
                <w:rFonts w:eastAsia="宋体"/>
              </w:rPr>
            </w:pPr>
          </w:p>
          <w:p w14:paraId="39051727">
            <w:pPr>
              <w:pStyle w:val="28"/>
              <w:ind w:firstLine="0" w:firstLineChars="0"/>
              <w:rPr>
                <w:rFonts w:eastAsia="宋体"/>
              </w:rPr>
            </w:pPr>
          </w:p>
          <w:p w14:paraId="1355F602">
            <w:pPr>
              <w:pStyle w:val="28"/>
              <w:ind w:firstLine="0" w:firstLineChars="0"/>
              <w:rPr>
                <w:rFonts w:eastAsia="宋体"/>
              </w:rPr>
            </w:pPr>
          </w:p>
          <w:p w14:paraId="63CB5F19">
            <w:pPr>
              <w:pStyle w:val="28"/>
              <w:ind w:firstLine="0" w:firstLineChars="0"/>
              <w:rPr>
                <w:rFonts w:eastAsia="宋体"/>
              </w:rPr>
            </w:pPr>
          </w:p>
          <w:p w14:paraId="0C0C4104">
            <w:pPr>
              <w:pStyle w:val="28"/>
              <w:ind w:firstLine="0" w:firstLineChars="0"/>
              <w:rPr>
                <w:rFonts w:eastAsia="宋体"/>
              </w:rPr>
            </w:pPr>
          </w:p>
          <w:p w14:paraId="4D26DE64">
            <w:pPr>
              <w:pStyle w:val="28"/>
              <w:ind w:firstLine="0" w:firstLineChars="0"/>
              <w:rPr>
                <w:rFonts w:eastAsia="宋体"/>
              </w:rPr>
            </w:pPr>
          </w:p>
          <w:p w14:paraId="672E750C">
            <w:pPr>
              <w:pStyle w:val="28"/>
              <w:ind w:firstLine="0" w:firstLineChars="0"/>
              <w:rPr>
                <w:rFonts w:eastAsia="宋体"/>
              </w:rPr>
            </w:pPr>
          </w:p>
        </w:tc>
      </w:tr>
    </w:tbl>
    <w:p w14:paraId="39F37E06">
      <w:r>
        <w:br w:type="page"/>
      </w:r>
    </w:p>
    <w:p w14:paraId="4D367D54">
      <w:pPr>
        <w:ind w:firstLine="0" w:firstLineChars="0"/>
        <w:jc w:val="center"/>
        <w:outlineLvl w:val="0"/>
        <w:rPr>
          <w:rFonts w:hint="eastAsia" w:ascii="黑体" w:hAnsi="黑体" w:eastAsia="黑体"/>
          <w:snapToGrid w:val="0"/>
          <w:color w:val="0000FF"/>
          <w:sz w:val="30"/>
          <w:szCs w:val="30"/>
          <w:highlight w:val="yellow"/>
        </w:rPr>
      </w:pPr>
      <w:bookmarkStart w:id="28" w:name="_Toc12108"/>
      <w:bookmarkStart w:id="29" w:name="_Toc379"/>
      <w:bookmarkStart w:id="30" w:name="_Toc27737"/>
      <w:bookmarkStart w:id="31" w:name="_Toc29719"/>
      <w:r>
        <w:rPr>
          <w:rFonts w:hint="eastAsia" w:ascii="黑体" w:hAnsi="黑体" w:eastAsia="黑体"/>
          <w:snapToGrid w:val="0"/>
          <w:color w:val="0000FF"/>
          <w:sz w:val="30"/>
          <w:szCs w:val="30"/>
        </w:rPr>
        <w:t>五、</w:t>
      </w:r>
      <w:bookmarkStart w:id="32" w:name="_Hlk54167917"/>
      <w:r>
        <w:rPr>
          <w:rFonts w:hint="eastAsia" w:ascii="黑体" w:hAnsi="黑体" w:eastAsia="黑体"/>
          <w:snapToGrid w:val="0"/>
          <w:color w:val="0000FF"/>
          <w:sz w:val="30"/>
          <w:szCs w:val="30"/>
        </w:rPr>
        <w:t>环境保护措施监督检查清单</w:t>
      </w:r>
      <w:bookmarkEnd w:id="28"/>
      <w:bookmarkEnd w:id="29"/>
      <w:bookmarkEnd w:id="30"/>
      <w:bookmarkEnd w:id="31"/>
      <w:bookmarkEnd w:id="32"/>
    </w:p>
    <w:tbl>
      <w:tblPr>
        <w:tblStyle w:val="22"/>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12"/>
        <w:gridCol w:w="1489"/>
        <w:gridCol w:w="1905"/>
        <w:gridCol w:w="2606"/>
      </w:tblGrid>
      <w:tr w14:paraId="4F2A5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tcBorders>
              <w:tl2br w:val="single" w:color="auto" w:sz="4" w:space="0"/>
            </w:tcBorders>
            <w:vAlign w:val="center"/>
          </w:tcPr>
          <w:p w14:paraId="3E72CE7E">
            <w:pPr>
              <w:adjustRightInd w:val="0"/>
              <w:snapToGrid w:val="0"/>
              <w:spacing w:line="240" w:lineRule="auto"/>
              <w:jc w:val="center"/>
              <w:rPr>
                <w:color w:val="0000FF"/>
              </w:rPr>
            </w:pPr>
            <w:r>
              <w:rPr>
                <w:color w:val="0000FF"/>
              </w:rPr>
              <w:t>内容</w:t>
            </w:r>
          </w:p>
          <w:p w14:paraId="55687C7B">
            <w:pPr>
              <w:adjustRightInd w:val="0"/>
              <w:snapToGrid w:val="0"/>
              <w:spacing w:line="240" w:lineRule="auto"/>
              <w:ind w:firstLine="0" w:firstLineChars="0"/>
              <w:jc w:val="center"/>
              <w:rPr>
                <w:color w:val="0000FF"/>
              </w:rPr>
            </w:pPr>
            <w:r>
              <w:rPr>
                <w:color w:val="0000FF"/>
              </w:rPr>
              <w:t>要素</w:t>
            </w:r>
          </w:p>
        </w:tc>
        <w:tc>
          <w:tcPr>
            <w:tcW w:w="1512" w:type="dxa"/>
            <w:vAlign w:val="center"/>
          </w:tcPr>
          <w:p w14:paraId="247C6A2E">
            <w:pPr>
              <w:adjustRightInd w:val="0"/>
              <w:snapToGrid w:val="0"/>
              <w:spacing w:line="240" w:lineRule="auto"/>
              <w:ind w:firstLine="0" w:firstLineChars="0"/>
              <w:jc w:val="center"/>
              <w:rPr>
                <w:color w:val="0000FF"/>
              </w:rPr>
            </w:pPr>
            <w:r>
              <w:rPr>
                <w:color w:val="0000FF"/>
              </w:rPr>
              <w:t>排放口（编号、名称）/污染源</w:t>
            </w:r>
          </w:p>
        </w:tc>
        <w:tc>
          <w:tcPr>
            <w:tcW w:w="1489" w:type="dxa"/>
            <w:vAlign w:val="center"/>
          </w:tcPr>
          <w:p w14:paraId="540224FA">
            <w:pPr>
              <w:adjustRightInd w:val="0"/>
              <w:snapToGrid w:val="0"/>
              <w:spacing w:line="240" w:lineRule="auto"/>
              <w:ind w:firstLine="0" w:firstLineChars="0"/>
              <w:jc w:val="center"/>
              <w:rPr>
                <w:color w:val="0000FF"/>
              </w:rPr>
            </w:pPr>
            <w:r>
              <w:rPr>
                <w:color w:val="0000FF"/>
              </w:rPr>
              <w:t>污染物项目</w:t>
            </w:r>
          </w:p>
        </w:tc>
        <w:tc>
          <w:tcPr>
            <w:tcW w:w="1905" w:type="dxa"/>
            <w:vAlign w:val="center"/>
          </w:tcPr>
          <w:p w14:paraId="7151627C">
            <w:pPr>
              <w:adjustRightInd w:val="0"/>
              <w:snapToGrid w:val="0"/>
              <w:spacing w:line="240" w:lineRule="auto"/>
              <w:ind w:firstLine="0" w:firstLineChars="0"/>
              <w:jc w:val="center"/>
              <w:rPr>
                <w:color w:val="0000FF"/>
              </w:rPr>
            </w:pPr>
            <w:r>
              <w:rPr>
                <w:color w:val="0000FF"/>
              </w:rPr>
              <w:t>环境保护措施</w:t>
            </w:r>
          </w:p>
        </w:tc>
        <w:tc>
          <w:tcPr>
            <w:tcW w:w="2606" w:type="dxa"/>
            <w:vAlign w:val="center"/>
          </w:tcPr>
          <w:p w14:paraId="5A3C1CD1">
            <w:pPr>
              <w:adjustRightInd w:val="0"/>
              <w:snapToGrid w:val="0"/>
              <w:spacing w:line="240" w:lineRule="auto"/>
              <w:ind w:firstLine="0" w:firstLineChars="0"/>
              <w:jc w:val="center"/>
              <w:rPr>
                <w:color w:val="0000FF"/>
              </w:rPr>
            </w:pPr>
            <w:r>
              <w:rPr>
                <w:color w:val="0000FF"/>
              </w:rPr>
              <w:t>执行标准</w:t>
            </w:r>
          </w:p>
        </w:tc>
      </w:tr>
      <w:tr w14:paraId="0D796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Merge w:val="restart"/>
            <w:vAlign w:val="center"/>
          </w:tcPr>
          <w:p w14:paraId="271104E5">
            <w:pPr>
              <w:adjustRightInd w:val="0"/>
              <w:snapToGrid w:val="0"/>
              <w:spacing w:line="288" w:lineRule="auto"/>
              <w:ind w:firstLine="0" w:firstLineChars="0"/>
              <w:jc w:val="center"/>
              <w:rPr>
                <w:color w:val="0000FF"/>
              </w:rPr>
            </w:pPr>
            <w:r>
              <w:rPr>
                <w:color w:val="0000FF"/>
              </w:rPr>
              <w:t>大气环境</w:t>
            </w:r>
          </w:p>
        </w:tc>
        <w:tc>
          <w:tcPr>
            <w:tcW w:w="1512" w:type="dxa"/>
            <w:vAlign w:val="center"/>
          </w:tcPr>
          <w:p w14:paraId="52F57FDC">
            <w:pPr>
              <w:adjustRightInd w:val="0"/>
              <w:snapToGrid w:val="0"/>
              <w:spacing w:line="288" w:lineRule="auto"/>
              <w:ind w:firstLine="0" w:firstLineChars="0"/>
              <w:jc w:val="center"/>
              <w:rPr>
                <w:color w:val="0000FF"/>
              </w:rPr>
            </w:pPr>
            <w:r>
              <w:rPr>
                <w:bCs/>
                <w:color w:val="0000FF"/>
              </w:rPr>
              <w:t>炒制废气排放口（DA001）</w:t>
            </w:r>
          </w:p>
        </w:tc>
        <w:tc>
          <w:tcPr>
            <w:tcW w:w="1489" w:type="dxa"/>
            <w:vAlign w:val="center"/>
          </w:tcPr>
          <w:p w14:paraId="2F36FD61">
            <w:pPr>
              <w:adjustRightInd w:val="0"/>
              <w:snapToGrid w:val="0"/>
              <w:spacing w:line="288" w:lineRule="auto"/>
              <w:ind w:firstLine="0" w:firstLineChars="0"/>
              <w:jc w:val="center"/>
              <w:rPr>
                <w:color w:val="0000FF"/>
              </w:rPr>
            </w:pPr>
            <w:r>
              <w:rPr>
                <w:color w:val="0000FF"/>
              </w:rPr>
              <w:t>油烟废气</w:t>
            </w:r>
          </w:p>
        </w:tc>
        <w:tc>
          <w:tcPr>
            <w:tcW w:w="1905" w:type="dxa"/>
            <w:vAlign w:val="center"/>
          </w:tcPr>
          <w:p w14:paraId="6BA33FA3">
            <w:pPr>
              <w:adjustRightInd w:val="0"/>
              <w:snapToGrid w:val="0"/>
              <w:spacing w:line="288" w:lineRule="auto"/>
              <w:ind w:firstLine="0" w:firstLineChars="0"/>
              <w:jc w:val="center"/>
              <w:rPr>
                <w:snapToGrid w:val="0"/>
                <w:color w:val="0000FF"/>
              </w:rPr>
            </w:pPr>
            <w:r>
              <w:rPr>
                <w:bCs/>
                <w:color w:val="0000FF"/>
              </w:rPr>
              <w:t>静电油烟处理器+</w:t>
            </w:r>
            <w:r>
              <w:rPr>
                <w:snapToGrid w:val="0"/>
                <w:color w:val="0000FF"/>
              </w:rPr>
              <w:t>15m高排气筒</w:t>
            </w:r>
            <w:r>
              <w:rPr>
                <w:bCs/>
                <w:color w:val="0000FF"/>
              </w:rPr>
              <w:t>排放</w:t>
            </w:r>
          </w:p>
        </w:tc>
        <w:tc>
          <w:tcPr>
            <w:tcW w:w="2606" w:type="dxa"/>
            <w:vAlign w:val="center"/>
          </w:tcPr>
          <w:p w14:paraId="70CD4267">
            <w:pPr>
              <w:adjustRightInd w:val="0"/>
              <w:snapToGrid w:val="0"/>
              <w:spacing w:line="288" w:lineRule="auto"/>
              <w:ind w:firstLine="0" w:firstLineChars="0"/>
              <w:jc w:val="center"/>
              <w:rPr>
                <w:color w:val="0000FF"/>
              </w:rPr>
            </w:pPr>
            <w:r>
              <w:rPr>
                <w:color w:val="0000FF"/>
              </w:rPr>
              <w:t>《饮食业油烟排放标准（试行）》（GB18483-2001）表2中排放标准限值</w:t>
            </w:r>
          </w:p>
        </w:tc>
      </w:tr>
      <w:tr w14:paraId="430BB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Merge w:val="continue"/>
            <w:vAlign w:val="center"/>
          </w:tcPr>
          <w:p w14:paraId="04CD5669">
            <w:pPr>
              <w:adjustRightInd w:val="0"/>
              <w:snapToGrid w:val="0"/>
              <w:spacing w:line="288" w:lineRule="auto"/>
              <w:ind w:firstLine="0" w:firstLineChars="0"/>
              <w:jc w:val="center"/>
              <w:rPr>
                <w:color w:val="0000FF"/>
              </w:rPr>
            </w:pPr>
          </w:p>
        </w:tc>
        <w:tc>
          <w:tcPr>
            <w:tcW w:w="1512" w:type="dxa"/>
            <w:vAlign w:val="center"/>
          </w:tcPr>
          <w:p w14:paraId="5478AFA4">
            <w:pPr>
              <w:adjustRightInd w:val="0"/>
              <w:snapToGrid w:val="0"/>
              <w:spacing w:line="288" w:lineRule="auto"/>
              <w:ind w:firstLine="0" w:firstLineChars="0"/>
              <w:jc w:val="center"/>
              <w:rPr>
                <w:bCs/>
                <w:color w:val="0000FF"/>
              </w:rPr>
            </w:pPr>
            <w:r>
              <w:rPr>
                <w:bCs/>
                <w:color w:val="0000FF"/>
              </w:rPr>
              <w:t>蒸汽发生器燃烧废气排放口（DA002）</w:t>
            </w:r>
          </w:p>
        </w:tc>
        <w:tc>
          <w:tcPr>
            <w:tcW w:w="1489" w:type="dxa"/>
            <w:vAlign w:val="center"/>
          </w:tcPr>
          <w:p w14:paraId="34F71AF1">
            <w:pPr>
              <w:adjustRightInd w:val="0"/>
              <w:snapToGrid w:val="0"/>
              <w:spacing w:line="288" w:lineRule="auto"/>
              <w:ind w:firstLine="0" w:firstLineChars="0"/>
              <w:jc w:val="center"/>
              <w:rPr>
                <w:color w:val="0000FF"/>
              </w:rPr>
            </w:pPr>
            <w:r>
              <w:rPr>
                <w:color w:val="0000FF"/>
              </w:rPr>
              <w:t>颗粒物、氮氧化物、二氧化硫</w:t>
            </w:r>
          </w:p>
        </w:tc>
        <w:tc>
          <w:tcPr>
            <w:tcW w:w="1905" w:type="dxa"/>
            <w:vAlign w:val="center"/>
          </w:tcPr>
          <w:p w14:paraId="06D16CC4">
            <w:pPr>
              <w:adjustRightInd w:val="0"/>
              <w:snapToGrid w:val="0"/>
              <w:spacing w:line="288" w:lineRule="auto"/>
              <w:ind w:firstLine="0" w:firstLineChars="0"/>
              <w:jc w:val="center"/>
              <w:rPr>
                <w:bCs/>
                <w:color w:val="0000FF"/>
              </w:rPr>
            </w:pPr>
            <w:r>
              <w:rPr>
                <w:bCs/>
                <w:color w:val="0000FF"/>
              </w:rPr>
              <w:t>蒸汽发生器安装低氮燃烧器，烟气通过15m高排气筒（DA002）排放</w:t>
            </w:r>
          </w:p>
        </w:tc>
        <w:tc>
          <w:tcPr>
            <w:tcW w:w="2606" w:type="dxa"/>
            <w:vAlign w:val="center"/>
          </w:tcPr>
          <w:p w14:paraId="2B464D2F">
            <w:pPr>
              <w:adjustRightInd w:val="0"/>
              <w:snapToGrid w:val="0"/>
              <w:spacing w:line="288" w:lineRule="auto"/>
              <w:ind w:firstLine="0" w:firstLineChars="0"/>
              <w:jc w:val="center"/>
              <w:rPr>
                <w:color w:val="0000FF"/>
              </w:rPr>
            </w:pPr>
            <w:r>
              <w:rPr>
                <w:color w:val="0000FF"/>
              </w:rPr>
              <w:t>《锅炉大气污染物排放标准》（GB13271-2014）表3中大气污染物特别排放限值及氮氧化物执行安徽省大气办关于印发《安徽省 2020年大气污染防治重点工作任务》的通知皖大气办〔2020〕2号中浓度限值要求</w:t>
            </w:r>
          </w:p>
        </w:tc>
      </w:tr>
      <w:tr w14:paraId="70C2D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Merge w:val="continue"/>
            <w:vAlign w:val="center"/>
          </w:tcPr>
          <w:p w14:paraId="347083AE">
            <w:pPr>
              <w:adjustRightInd w:val="0"/>
              <w:snapToGrid w:val="0"/>
              <w:spacing w:line="288" w:lineRule="auto"/>
              <w:ind w:firstLine="0" w:firstLineChars="0"/>
              <w:jc w:val="center"/>
              <w:rPr>
                <w:color w:val="0000FF"/>
              </w:rPr>
            </w:pPr>
          </w:p>
        </w:tc>
        <w:tc>
          <w:tcPr>
            <w:tcW w:w="1512" w:type="dxa"/>
            <w:vAlign w:val="center"/>
          </w:tcPr>
          <w:p w14:paraId="5B7870F1">
            <w:pPr>
              <w:adjustRightInd w:val="0"/>
              <w:snapToGrid w:val="0"/>
              <w:spacing w:line="288" w:lineRule="auto"/>
              <w:ind w:firstLine="0" w:firstLineChars="0"/>
              <w:jc w:val="center"/>
              <w:rPr>
                <w:bCs/>
                <w:color w:val="0000FF"/>
              </w:rPr>
            </w:pPr>
            <w:r>
              <w:rPr>
                <w:bCs/>
                <w:color w:val="0000FF"/>
              </w:rPr>
              <w:t>污水处理站周边</w:t>
            </w:r>
          </w:p>
        </w:tc>
        <w:tc>
          <w:tcPr>
            <w:tcW w:w="1489" w:type="dxa"/>
            <w:vAlign w:val="center"/>
          </w:tcPr>
          <w:p w14:paraId="3691B960">
            <w:pPr>
              <w:adjustRightInd w:val="0"/>
              <w:snapToGrid w:val="0"/>
              <w:spacing w:line="288" w:lineRule="auto"/>
              <w:ind w:firstLine="0" w:firstLineChars="0"/>
              <w:jc w:val="center"/>
              <w:rPr>
                <w:color w:val="0000FF"/>
              </w:rPr>
            </w:pPr>
            <w:r>
              <w:rPr>
                <w:color w:val="0000FF"/>
              </w:rPr>
              <w:t>氨、硫化氢、臭气浓度</w:t>
            </w:r>
          </w:p>
        </w:tc>
        <w:tc>
          <w:tcPr>
            <w:tcW w:w="1905" w:type="dxa"/>
            <w:vAlign w:val="center"/>
          </w:tcPr>
          <w:p w14:paraId="0F8159F7">
            <w:pPr>
              <w:adjustRightInd w:val="0"/>
              <w:snapToGrid w:val="0"/>
              <w:spacing w:line="288" w:lineRule="auto"/>
              <w:ind w:firstLine="0" w:firstLineChars="0"/>
              <w:jc w:val="center"/>
              <w:rPr>
                <w:bCs/>
                <w:color w:val="0000FF"/>
              </w:rPr>
            </w:pPr>
            <w:r>
              <w:rPr>
                <w:bCs/>
                <w:color w:val="0000FF"/>
              </w:rPr>
              <w:t>通过加盖密闭、加强通风、定期除臭等措施后无组织排放</w:t>
            </w:r>
          </w:p>
        </w:tc>
        <w:tc>
          <w:tcPr>
            <w:tcW w:w="2606" w:type="dxa"/>
            <w:vAlign w:val="center"/>
          </w:tcPr>
          <w:p w14:paraId="70651425">
            <w:pPr>
              <w:adjustRightInd w:val="0"/>
              <w:snapToGrid w:val="0"/>
              <w:spacing w:line="288" w:lineRule="auto"/>
              <w:ind w:firstLine="0" w:firstLineChars="0"/>
              <w:jc w:val="center"/>
              <w:rPr>
                <w:color w:val="0000FF"/>
              </w:rPr>
            </w:pPr>
            <w:r>
              <w:rPr>
                <w:bCs/>
                <w:color w:val="0000FF"/>
              </w:rPr>
              <w:t>恶臭污染物执行《恶臭污染物排放标准》（GB14554-93）表2中二级标准</w:t>
            </w:r>
          </w:p>
        </w:tc>
      </w:tr>
      <w:tr w14:paraId="76E94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Merge w:val="restart"/>
            <w:vAlign w:val="center"/>
          </w:tcPr>
          <w:p w14:paraId="7CE11BE5">
            <w:pPr>
              <w:adjustRightInd w:val="0"/>
              <w:snapToGrid w:val="0"/>
              <w:spacing w:line="288" w:lineRule="auto"/>
              <w:ind w:firstLine="0" w:firstLineChars="0"/>
              <w:jc w:val="center"/>
              <w:rPr>
                <w:color w:val="0000FF"/>
              </w:rPr>
            </w:pPr>
            <w:r>
              <w:rPr>
                <w:color w:val="0000FF"/>
              </w:rPr>
              <w:t>地表水环境</w:t>
            </w:r>
          </w:p>
        </w:tc>
        <w:tc>
          <w:tcPr>
            <w:tcW w:w="1512" w:type="dxa"/>
            <w:vAlign w:val="center"/>
          </w:tcPr>
          <w:p w14:paraId="62F81634">
            <w:pPr>
              <w:adjustRightInd w:val="0"/>
              <w:snapToGrid w:val="0"/>
              <w:spacing w:line="288" w:lineRule="auto"/>
              <w:ind w:firstLine="0" w:firstLineChars="0"/>
              <w:jc w:val="center"/>
              <w:rPr>
                <w:color w:val="0000FF"/>
              </w:rPr>
            </w:pPr>
            <w:r>
              <w:rPr>
                <w:color w:val="0000FF"/>
              </w:rPr>
              <w:t>生产废水</w:t>
            </w:r>
          </w:p>
        </w:tc>
        <w:tc>
          <w:tcPr>
            <w:tcW w:w="1489" w:type="dxa"/>
            <w:vAlign w:val="center"/>
          </w:tcPr>
          <w:p w14:paraId="6278A606">
            <w:pPr>
              <w:adjustRightInd w:val="0"/>
              <w:snapToGrid w:val="0"/>
              <w:spacing w:line="288" w:lineRule="auto"/>
              <w:ind w:firstLine="0" w:firstLineChars="0"/>
              <w:jc w:val="center"/>
              <w:rPr>
                <w:color w:val="0000FF"/>
              </w:rPr>
            </w:pPr>
            <w:r>
              <w:rPr>
                <w:color w:val="0000FF"/>
              </w:rPr>
              <w:t>pH、COD、SS、动植物油、BOD</w:t>
            </w:r>
            <w:r>
              <w:rPr>
                <w:color w:val="0000FF"/>
                <w:vertAlign w:val="subscript"/>
              </w:rPr>
              <w:t>5</w:t>
            </w:r>
            <w:r>
              <w:rPr>
                <w:color w:val="0000FF"/>
              </w:rPr>
              <w:t>、氨氮、TP、LAS</w:t>
            </w:r>
          </w:p>
        </w:tc>
        <w:tc>
          <w:tcPr>
            <w:tcW w:w="1905" w:type="dxa"/>
            <w:vAlign w:val="center"/>
          </w:tcPr>
          <w:p w14:paraId="49862BEA">
            <w:pPr>
              <w:adjustRightInd w:val="0"/>
              <w:snapToGrid w:val="0"/>
              <w:spacing w:line="288" w:lineRule="auto"/>
              <w:ind w:firstLine="0" w:firstLineChars="0"/>
              <w:jc w:val="center"/>
              <w:rPr>
                <w:color w:val="0000FF"/>
              </w:rPr>
            </w:pPr>
            <w:r>
              <w:rPr>
                <w:color w:val="0000FF"/>
              </w:rPr>
              <w:t>生产废水经污水处理站排入园区污水管网，纳入安徽淮相科技发展有限公司第二污水处理厂</w:t>
            </w:r>
          </w:p>
        </w:tc>
        <w:tc>
          <w:tcPr>
            <w:tcW w:w="2606" w:type="dxa"/>
            <w:vMerge w:val="restart"/>
            <w:vAlign w:val="center"/>
          </w:tcPr>
          <w:p w14:paraId="3B4F93E3">
            <w:pPr>
              <w:adjustRightInd w:val="0"/>
              <w:snapToGrid w:val="0"/>
              <w:spacing w:line="288" w:lineRule="auto"/>
              <w:ind w:firstLine="0" w:firstLineChars="0"/>
              <w:jc w:val="center"/>
              <w:rPr>
                <w:color w:val="0000FF"/>
              </w:rPr>
            </w:pPr>
            <w:r>
              <w:rPr>
                <w:color w:val="0000FF"/>
              </w:rPr>
              <w:t>达到《污水综合排放标准》（GB8978-1996）三级标准，并满足安徽淮相科技发展有限公司第二污水处理厂接管限值要求</w:t>
            </w:r>
          </w:p>
        </w:tc>
      </w:tr>
      <w:tr w14:paraId="44A21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Merge w:val="continue"/>
            <w:vAlign w:val="center"/>
          </w:tcPr>
          <w:p w14:paraId="6ECF6A99">
            <w:pPr>
              <w:adjustRightInd w:val="0"/>
              <w:snapToGrid w:val="0"/>
              <w:spacing w:line="288" w:lineRule="auto"/>
              <w:ind w:firstLine="0" w:firstLineChars="0"/>
              <w:jc w:val="center"/>
              <w:rPr>
                <w:color w:val="0000FF"/>
              </w:rPr>
            </w:pPr>
          </w:p>
        </w:tc>
        <w:tc>
          <w:tcPr>
            <w:tcW w:w="1512" w:type="dxa"/>
            <w:vAlign w:val="center"/>
          </w:tcPr>
          <w:p w14:paraId="26397016">
            <w:pPr>
              <w:adjustRightInd w:val="0"/>
              <w:snapToGrid w:val="0"/>
              <w:spacing w:line="288" w:lineRule="auto"/>
              <w:ind w:firstLine="0" w:firstLineChars="0"/>
              <w:jc w:val="center"/>
              <w:rPr>
                <w:color w:val="0000FF"/>
              </w:rPr>
            </w:pPr>
            <w:r>
              <w:rPr>
                <w:color w:val="0000FF"/>
              </w:rPr>
              <w:t>生活污水</w:t>
            </w:r>
          </w:p>
        </w:tc>
        <w:tc>
          <w:tcPr>
            <w:tcW w:w="1489" w:type="dxa"/>
            <w:vAlign w:val="center"/>
          </w:tcPr>
          <w:p w14:paraId="048DC341">
            <w:pPr>
              <w:adjustRightInd w:val="0"/>
              <w:snapToGrid w:val="0"/>
              <w:spacing w:line="288" w:lineRule="auto"/>
              <w:ind w:firstLine="0" w:firstLineChars="0"/>
              <w:jc w:val="center"/>
              <w:rPr>
                <w:color w:val="0000FF"/>
              </w:rPr>
            </w:pPr>
            <w:r>
              <w:rPr>
                <w:color w:val="0000FF"/>
              </w:rPr>
              <w:t>pH、COD、SS、BOD</w:t>
            </w:r>
            <w:r>
              <w:rPr>
                <w:color w:val="0000FF"/>
                <w:vertAlign w:val="subscript"/>
              </w:rPr>
              <w:t>5</w:t>
            </w:r>
            <w:r>
              <w:rPr>
                <w:color w:val="0000FF"/>
              </w:rPr>
              <w:t>、氨氮、TP</w:t>
            </w:r>
          </w:p>
        </w:tc>
        <w:tc>
          <w:tcPr>
            <w:tcW w:w="1905" w:type="dxa"/>
            <w:vAlign w:val="center"/>
          </w:tcPr>
          <w:p w14:paraId="4D883E20">
            <w:pPr>
              <w:adjustRightInd w:val="0"/>
              <w:snapToGrid w:val="0"/>
              <w:spacing w:line="288" w:lineRule="auto"/>
              <w:ind w:firstLine="0" w:firstLineChars="0"/>
              <w:jc w:val="center"/>
              <w:rPr>
                <w:color w:val="0000FF"/>
              </w:rPr>
            </w:pPr>
            <w:r>
              <w:rPr>
                <w:color w:val="0000FF"/>
              </w:rPr>
              <w:t>生活污水经化粪池预处理后排入园区污水管网，接入安徽淮相科技发展有限公司第二污水处理厂</w:t>
            </w:r>
          </w:p>
        </w:tc>
        <w:tc>
          <w:tcPr>
            <w:tcW w:w="2606" w:type="dxa"/>
            <w:vMerge w:val="continue"/>
            <w:vAlign w:val="center"/>
          </w:tcPr>
          <w:p w14:paraId="7EC41D39">
            <w:pPr>
              <w:adjustRightInd w:val="0"/>
              <w:snapToGrid w:val="0"/>
              <w:spacing w:line="288" w:lineRule="auto"/>
              <w:ind w:firstLine="0" w:firstLineChars="0"/>
              <w:jc w:val="center"/>
              <w:rPr>
                <w:color w:val="0000FF"/>
              </w:rPr>
            </w:pPr>
          </w:p>
        </w:tc>
      </w:tr>
      <w:tr w14:paraId="5E4F1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1A77F116">
            <w:pPr>
              <w:adjustRightInd w:val="0"/>
              <w:snapToGrid w:val="0"/>
              <w:spacing w:line="288" w:lineRule="auto"/>
              <w:ind w:firstLine="0" w:firstLineChars="0"/>
              <w:jc w:val="center"/>
              <w:rPr>
                <w:color w:val="0000FF"/>
              </w:rPr>
            </w:pPr>
            <w:r>
              <w:rPr>
                <w:color w:val="0000FF"/>
              </w:rPr>
              <w:t>声环境</w:t>
            </w:r>
          </w:p>
        </w:tc>
        <w:tc>
          <w:tcPr>
            <w:tcW w:w="1512" w:type="dxa"/>
            <w:vAlign w:val="center"/>
          </w:tcPr>
          <w:p w14:paraId="06688667">
            <w:pPr>
              <w:adjustRightInd w:val="0"/>
              <w:snapToGrid w:val="0"/>
              <w:spacing w:line="288" w:lineRule="auto"/>
              <w:ind w:firstLine="0" w:firstLineChars="0"/>
              <w:jc w:val="center"/>
              <w:rPr>
                <w:color w:val="0000FF"/>
              </w:rPr>
            </w:pPr>
            <w:r>
              <w:rPr>
                <w:color w:val="0000FF"/>
              </w:rPr>
              <w:t>运营期</w:t>
            </w:r>
          </w:p>
        </w:tc>
        <w:tc>
          <w:tcPr>
            <w:tcW w:w="1489" w:type="dxa"/>
            <w:vAlign w:val="center"/>
          </w:tcPr>
          <w:p w14:paraId="72F8D3BD">
            <w:pPr>
              <w:adjustRightInd w:val="0"/>
              <w:snapToGrid w:val="0"/>
              <w:spacing w:line="288" w:lineRule="auto"/>
              <w:ind w:firstLine="0" w:firstLineChars="0"/>
              <w:jc w:val="center"/>
              <w:rPr>
                <w:color w:val="0000FF"/>
              </w:rPr>
            </w:pPr>
            <w:r>
              <w:rPr>
                <w:color w:val="0000FF"/>
              </w:rPr>
              <w:t>等效A声级</w:t>
            </w:r>
          </w:p>
        </w:tc>
        <w:tc>
          <w:tcPr>
            <w:tcW w:w="1905" w:type="dxa"/>
            <w:vAlign w:val="center"/>
          </w:tcPr>
          <w:p w14:paraId="4EDFEDF3">
            <w:pPr>
              <w:adjustRightInd w:val="0"/>
              <w:snapToGrid w:val="0"/>
              <w:spacing w:line="288" w:lineRule="auto"/>
              <w:ind w:firstLine="0" w:firstLineChars="0"/>
              <w:jc w:val="center"/>
              <w:rPr>
                <w:color w:val="0000FF"/>
              </w:rPr>
            </w:pPr>
            <w:r>
              <w:rPr>
                <w:bCs/>
                <w:color w:val="0000FF"/>
              </w:rPr>
              <w:t>优先选用低噪声设备、产噪设备安装减振基座；设置隔声屏或隔声罩；风机出口处进行消声处理，同时对管道采用柔性连接和减振措施；墙体隔声等措施。</w:t>
            </w:r>
          </w:p>
        </w:tc>
        <w:tc>
          <w:tcPr>
            <w:tcW w:w="2606" w:type="dxa"/>
            <w:vAlign w:val="center"/>
          </w:tcPr>
          <w:p w14:paraId="7FB85984">
            <w:pPr>
              <w:adjustRightInd w:val="0"/>
              <w:snapToGrid w:val="0"/>
              <w:spacing w:line="288" w:lineRule="auto"/>
              <w:ind w:firstLine="0" w:firstLineChars="0"/>
              <w:jc w:val="center"/>
              <w:rPr>
                <w:color w:val="0000FF"/>
              </w:rPr>
            </w:pPr>
            <w:r>
              <w:rPr>
                <w:color w:val="0000FF"/>
              </w:rPr>
              <w:t>《工业企业厂界环境噪声排放标准》（GB12348-2008）中的3类标准限值要求</w:t>
            </w:r>
          </w:p>
        </w:tc>
      </w:tr>
      <w:tr w14:paraId="3473D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1C82F4D4">
            <w:pPr>
              <w:adjustRightInd w:val="0"/>
              <w:snapToGrid w:val="0"/>
              <w:spacing w:line="288" w:lineRule="auto"/>
              <w:ind w:firstLine="0" w:firstLineChars="0"/>
              <w:jc w:val="center"/>
              <w:rPr>
                <w:color w:val="0000FF"/>
              </w:rPr>
            </w:pPr>
            <w:r>
              <w:rPr>
                <w:color w:val="0000FF"/>
              </w:rPr>
              <w:t>电磁辐射</w:t>
            </w:r>
          </w:p>
        </w:tc>
        <w:tc>
          <w:tcPr>
            <w:tcW w:w="7512" w:type="dxa"/>
            <w:gridSpan w:val="4"/>
            <w:vAlign w:val="center"/>
          </w:tcPr>
          <w:p w14:paraId="66F73331">
            <w:pPr>
              <w:adjustRightInd w:val="0"/>
              <w:snapToGrid w:val="0"/>
              <w:spacing w:line="288" w:lineRule="auto"/>
              <w:ind w:firstLine="0" w:firstLineChars="0"/>
              <w:jc w:val="center"/>
              <w:rPr>
                <w:color w:val="0000FF"/>
              </w:rPr>
            </w:pPr>
            <w:r>
              <w:rPr>
                <w:color w:val="0000FF"/>
              </w:rPr>
              <w:t>/</w:t>
            </w:r>
          </w:p>
        </w:tc>
      </w:tr>
      <w:tr w14:paraId="13A82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5B3C46AC">
            <w:pPr>
              <w:adjustRightInd w:val="0"/>
              <w:snapToGrid w:val="0"/>
              <w:spacing w:line="288" w:lineRule="auto"/>
              <w:ind w:firstLine="0" w:firstLineChars="0"/>
              <w:jc w:val="center"/>
              <w:rPr>
                <w:color w:val="0000FF"/>
              </w:rPr>
            </w:pPr>
            <w:r>
              <w:rPr>
                <w:color w:val="0000FF"/>
              </w:rPr>
              <w:t>固体废物</w:t>
            </w:r>
          </w:p>
        </w:tc>
        <w:tc>
          <w:tcPr>
            <w:tcW w:w="7512" w:type="dxa"/>
            <w:gridSpan w:val="4"/>
            <w:vAlign w:val="center"/>
          </w:tcPr>
          <w:p w14:paraId="32702780">
            <w:pPr>
              <w:adjustRightInd w:val="0"/>
              <w:snapToGrid w:val="0"/>
              <w:spacing w:line="288" w:lineRule="auto"/>
              <w:ind w:firstLine="0" w:firstLineChars="0"/>
              <w:jc w:val="center"/>
              <w:rPr>
                <w:color w:val="0000FF"/>
              </w:rPr>
            </w:pPr>
            <w:r>
              <w:rPr>
                <w:color w:val="0000FF"/>
              </w:rPr>
              <w:t>一般固废间位于东北角10m</w:t>
            </w:r>
            <w:r>
              <w:rPr>
                <w:color w:val="0000FF"/>
                <w:vertAlign w:val="superscript"/>
              </w:rPr>
              <w:t>2</w:t>
            </w:r>
            <w:r>
              <w:rPr>
                <w:color w:val="0000FF"/>
              </w:rPr>
              <w:t>，废包装物交由资源回收部门利用；废油脂、厨余垃圾、不合格品委托餐厨垃圾处理厂处置；污泥交由有资质单位清运；废砂滤器、废活性炭过滤器、废软化器、废RO膜</w:t>
            </w:r>
            <w:r>
              <w:rPr>
                <w:rFonts w:hint="eastAsia"/>
                <w:color w:val="0000FF"/>
              </w:rPr>
              <w:t>交由原厂家回收处置，</w:t>
            </w:r>
            <w:r>
              <w:rPr>
                <w:color w:val="0000FF"/>
              </w:rPr>
              <w:t>生活垃圾委托环卫部门定期清运。</w:t>
            </w:r>
          </w:p>
        </w:tc>
      </w:tr>
      <w:tr w14:paraId="528E1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35BB0E4E">
            <w:pPr>
              <w:adjustRightInd w:val="0"/>
              <w:snapToGrid w:val="0"/>
              <w:spacing w:line="288" w:lineRule="auto"/>
              <w:ind w:firstLine="0" w:firstLineChars="0"/>
              <w:jc w:val="center"/>
              <w:rPr>
                <w:color w:val="0000FF"/>
              </w:rPr>
            </w:pPr>
            <w:r>
              <w:rPr>
                <w:color w:val="0000FF"/>
              </w:rPr>
              <w:t>土壤及地下水污染防治措施</w:t>
            </w:r>
          </w:p>
        </w:tc>
        <w:tc>
          <w:tcPr>
            <w:tcW w:w="7512" w:type="dxa"/>
            <w:gridSpan w:val="4"/>
            <w:vAlign w:val="center"/>
          </w:tcPr>
          <w:p w14:paraId="64209F59">
            <w:pPr>
              <w:adjustRightInd w:val="0"/>
              <w:snapToGrid w:val="0"/>
              <w:spacing w:line="288" w:lineRule="auto"/>
              <w:ind w:firstLine="0" w:firstLineChars="0"/>
              <w:jc w:val="center"/>
              <w:rPr>
                <w:color w:val="0000FF"/>
              </w:rPr>
            </w:pPr>
            <w:r>
              <w:rPr>
                <w:color w:val="0000FF"/>
              </w:rPr>
              <w:t>分为重点防渗区和一般防渗区，重点防渗区为污水处理站</w:t>
            </w:r>
            <w:r>
              <w:rPr>
                <w:rFonts w:hint="eastAsia"/>
                <w:color w:val="0000FF"/>
              </w:rPr>
              <w:t>、事故应急池</w:t>
            </w:r>
            <w:r>
              <w:rPr>
                <w:color w:val="0000FF"/>
              </w:rPr>
              <w:t>，其他区域进行一般防渗。重点防渗要求等效黏土防渗层Mb≥6.0m，K≤1*10</w:t>
            </w:r>
            <w:r>
              <w:rPr>
                <w:color w:val="0000FF"/>
                <w:vertAlign w:val="superscript"/>
              </w:rPr>
              <w:t>-7</w:t>
            </w:r>
            <w:r>
              <w:rPr>
                <w:color w:val="0000FF"/>
              </w:rPr>
              <w:t>cm/s；一般防渗区包括生产区等，等效黏土防渗层Mb≥1.5m，K≤1*10</w:t>
            </w:r>
            <w:r>
              <w:rPr>
                <w:color w:val="0000FF"/>
                <w:vertAlign w:val="superscript"/>
              </w:rPr>
              <w:t>-7</w:t>
            </w:r>
            <w:r>
              <w:rPr>
                <w:color w:val="0000FF"/>
              </w:rPr>
              <w:t>cm/s。</w:t>
            </w:r>
          </w:p>
        </w:tc>
      </w:tr>
      <w:tr w14:paraId="0A9FE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2F3FFC69">
            <w:pPr>
              <w:adjustRightInd w:val="0"/>
              <w:snapToGrid w:val="0"/>
              <w:spacing w:line="288" w:lineRule="auto"/>
              <w:ind w:firstLine="0" w:firstLineChars="0"/>
              <w:jc w:val="center"/>
              <w:rPr>
                <w:color w:val="0000FF"/>
              </w:rPr>
            </w:pPr>
            <w:r>
              <w:rPr>
                <w:color w:val="0000FF"/>
              </w:rPr>
              <w:t>生态保护措施</w:t>
            </w:r>
          </w:p>
        </w:tc>
        <w:tc>
          <w:tcPr>
            <w:tcW w:w="7512" w:type="dxa"/>
            <w:gridSpan w:val="4"/>
            <w:vAlign w:val="center"/>
          </w:tcPr>
          <w:p w14:paraId="44C31240">
            <w:pPr>
              <w:adjustRightInd w:val="0"/>
              <w:snapToGrid w:val="0"/>
              <w:spacing w:line="288" w:lineRule="auto"/>
              <w:ind w:firstLine="0" w:firstLineChars="0"/>
              <w:jc w:val="center"/>
              <w:rPr>
                <w:color w:val="0000FF"/>
              </w:rPr>
            </w:pPr>
            <w:r>
              <w:rPr>
                <w:color w:val="0000FF"/>
              </w:rPr>
              <w:t>绿化</w:t>
            </w:r>
          </w:p>
        </w:tc>
      </w:tr>
      <w:tr w14:paraId="65B4A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34626AB2">
            <w:pPr>
              <w:adjustRightInd w:val="0"/>
              <w:snapToGrid w:val="0"/>
              <w:spacing w:line="288" w:lineRule="auto"/>
              <w:ind w:firstLine="0" w:firstLineChars="0"/>
              <w:jc w:val="center"/>
              <w:rPr>
                <w:color w:val="0000FF"/>
                <w:spacing w:val="-8"/>
              </w:rPr>
            </w:pPr>
            <w:r>
              <w:rPr>
                <w:color w:val="0000FF"/>
                <w:spacing w:val="-8"/>
              </w:rPr>
              <w:t>环境风险防范措施</w:t>
            </w:r>
          </w:p>
        </w:tc>
        <w:tc>
          <w:tcPr>
            <w:tcW w:w="7512" w:type="dxa"/>
            <w:gridSpan w:val="4"/>
            <w:vAlign w:val="center"/>
          </w:tcPr>
          <w:p w14:paraId="3EA3FAF1">
            <w:pPr>
              <w:pStyle w:val="6"/>
              <w:jc w:val="both"/>
              <w:rPr>
                <w:bCs/>
                <w:color w:val="0000FF"/>
              </w:rPr>
            </w:pPr>
            <w:r>
              <w:rPr>
                <w:bCs/>
                <w:color w:val="0000FF"/>
              </w:rPr>
              <w:t>为使环境风险减少到最低限度，必须加强劳动、安全、卫生和环境的管理。可以从人、物、环境和管理四个方面寻找影响事故的原因，制定完备、有效的安全防范措施，尽可能降低本项目环境风险事故发生的概率，减少事故的损失和危害。</w:t>
            </w:r>
          </w:p>
          <w:p w14:paraId="33DEC5F2">
            <w:pPr>
              <w:pStyle w:val="6"/>
              <w:jc w:val="both"/>
              <w:rPr>
                <w:bCs/>
                <w:color w:val="0000FF"/>
              </w:rPr>
            </w:pPr>
            <w:r>
              <w:rPr>
                <w:bCs/>
                <w:color w:val="0000FF"/>
              </w:rPr>
              <w:t>（1）物料泄漏防范措施</w:t>
            </w:r>
          </w:p>
          <w:p w14:paraId="045C98F4">
            <w:pPr>
              <w:pStyle w:val="6"/>
              <w:jc w:val="both"/>
              <w:rPr>
                <w:bCs/>
                <w:color w:val="0000FF"/>
              </w:rPr>
            </w:pPr>
            <w:r>
              <w:rPr>
                <w:bCs/>
                <w:color w:val="0000FF"/>
              </w:rPr>
              <w:t>主要泄漏源为辅料库的油、酒精、液化石油气等。作业人员须了解其接触的物料的性质、危害特性，液化石油气储罐阀门设置防漏装置，应设置空桶作为备用收容设施；辅料库定期检查并清扫，并配置吸附棉、消防沙等应急物资。</w:t>
            </w:r>
          </w:p>
          <w:p w14:paraId="6F64796B">
            <w:pPr>
              <w:pStyle w:val="6"/>
              <w:jc w:val="both"/>
              <w:rPr>
                <w:bCs/>
                <w:color w:val="0000FF"/>
              </w:rPr>
            </w:pPr>
            <w:r>
              <w:rPr>
                <w:bCs/>
                <w:color w:val="0000FF"/>
              </w:rPr>
              <w:t>出现泄漏后，应立刻查明泄漏源，尽快对发生泄漏、扩散的现场进行处理；若油为少量泄漏，则可以在安全范围内引燃；若为大面积泄漏，应急人员应消除所有火种，立即在警戒区内停电、停火，灭绝，用砂土围挡，掩盖后收集，同时将泄漏部分转移至安全容器内封存。面粉泄漏后及时清扫即可。</w:t>
            </w:r>
          </w:p>
          <w:p w14:paraId="7C92E139">
            <w:pPr>
              <w:pStyle w:val="6"/>
              <w:jc w:val="both"/>
              <w:rPr>
                <w:bCs/>
                <w:color w:val="0000FF"/>
              </w:rPr>
            </w:pPr>
            <w:r>
              <w:rPr>
                <w:bCs/>
                <w:color w:val="0000FF"/>
              </w:rPr>
              <w:t>（2）废气事故性排放防范措施</w:t>
            </w:r>
          </w:p>
          <w:p w14:paraId="29D74284">
            <w:pPr>
              <w:pStyle w:val="6"/>
              <w:jc w:val="both"/>
              <w:rPr>
                <w:bCs/>
                <w:color w:val="0000FF"/>
              </w:rPr>
            </w:pPr>
            <w:r>
              <w:rPr>
                <w:bCs/>
                <w:color w:val="0000FF"/>
              </w:rPr>
              <w:t>①定期检查环保设备；建设单位定期清洗油烟净化器，定期检查废气收集设施的收集情况，避免因集气故障而引起废气事故排放；</w:t>
            </w:r>
          </w:p>
          <w:p w14:paraId="421F90B4">
            <w:pPr>
              <w:pStyle w:val="6"/>
              <w:jc w:val="both"/>
              <w:rPr>
                <w:bCs/>
                <w:color w:val="0000FF"/>
              </w:rPr>
            </w:pPr>
            <w:r>
              <w:rPr>
                <w:bCs/>
                <w:color w:val="0000FF"/>
              </w:rPr>
              <w:t>②一旦出现相应废气未经处理排放，立即停止产生废气的工序，迅速调查清楚故障原因，并对故障废气设备进行维修；</w:t>
            </w:r>
          </w:p>
          <w:p w14:paraId="4FFF1F8F">
            <w:pPr>
              <w:pStyle w:val="6"/>
              <w:jc w:val="both"/>
              <w:rPr>
                <w:bCs/>
                <w:color w:val="0000FF"/>
              </w:rPr>
            </w:pPr>
            <w:r>
              <w:rPr>
                <w:bCs/>
                <w:color w:val="0000FF"/>
              </w:rPr>
              <w:t>③维修结束并确保废气治理设施正常运行后，才能进行生产。</w:t>
            </w:r>
          </w:p>
          <w:p w14:paraId="096A8672">
            <w:pPr>
              <w:pStyle w:val="6"/>
              <w:jc w:val="both"/>
              <w:rPr>
                <w:bCs/>
                <w:color w:val="0000FF"/>
              </w:rPr>
            </w:pPr>
            <w:r>
              <w:rPr>
                <w:bCs/>
                <w:color w:val="0000FF"/>
              </w:rPr>
              <w:t>（3）火灾爆炸事故防范措施</w:t>
            </w:r>
          </w:p>
          <w:p w14:paraId="56B4808E">
            <w:pPr>
              <w:rPr>
                <w:color w:val="0000FF"/>
              </w:rPr>
            </w:pPr>
            <w:r>
              <w:rPr>
                <w:bCs/>
                <w:color w:val="0000FF"/>
              </w:rPr>
              <w:t>项目生产车间采用钢混结构，可防止因生产车间引发火灾导致的蔓延事故:泄漏物质接触明火或遇到静电发生火灾爆炸，建设单位应采取以下风险防范措施：安排专人定期检查原辅料仓库内原辅料使用及贮存情况，检查人员对使用、贮存情况应记录在册；加强火源的管理，严禁烟火带入，车间内应设有明显的禁止烟火安全标志。制定防火规范及要求，对员工进行消防安全知识培训，重点培训岗位防火技术、操作规程、灭火器和消防栓使用办法、疏散逃生知识等，加强员工防火意识，加强防火管理。一旦发生火灾，应立即关掉电源，轻微着火，应立即组织人员灭火；若火势稍大，立即拨打119，迅速撤离人员至安全区，并进行隔离、就医，严格限制出入，同时通知周边企业及工业园管委会。项目若火险严重，势必会对周边标准厂房内企业产生影响。因此，厂区周边企业均应做好自身消防、安全措施，若发生火灾，尽可能将暂存易燃易爆物质尽快撤离火场或对其进行隔离，同时喷水和泡沫使其冷却同时应在雨水排口设置相关截流措施，在雨水排口设置截止阀及转换阀，发生事故时，打开截止阀，将事故废水引入污水管网然后进入园区污水处理厂处理，防止事故废水通过雨水管网排出厂区外进入地表水体。</w:t>
            </w:r>
          </w:p>
        </w:tc>
      </w:tr>
      <w:tr w14:paraId="7FA92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dxa"/>
            <w:vAlign w:val="center"/>
          </w:tcPr>
          <w:p w14:paraId="5EE395C9">
            <w:pPr>
              <w:adjustRightInd w:val="0"/>
              <w:snapToGrid w:val="0"/>
              <w:spacing w:line="240" w:lineRule="auto"/>
              <w:ind w:firstLine="0" w:firstLineChars="0"/>
              <w:jc w:val="center"/>
              <w:rPr>
                <w:color w:val="0000FF"/>
                <w:spacing w:val="-8"/>
              </w:rPr>
            </w:pPr>
            <w:r>
              <w:rPr>
                <w:color w:val="0000FF"/>
                <w:spacing w:val="-8"/>
              </w:rPr>
              <w:t>其他环境管理要求</w:t>
            </w:r>
          </w:p>
        </w:tc>
        <w:tc>
          <w:tcPr>
            <w:tcW w:w="7512" w:type="dxa"/>
            <w:gridSpan w:val="4"/>
            <w:vAlign w:val="center"/>
          </w:tcPr>
          <w:p w14:paraId="5BF61835">
            <w:pPr>
              <w:ind w:firstLine="482"/>
              <w:rPr>
                <w:b/>
                <w:bCs/>
                <w:color w:val="0000FF"/>
                <w:lang w:bidi="ar"/>
              </w:rPr>
            </w:pPr>
            <w:r>
              <w:rPr>
                <w:b/>
                <w:bCs/>
                <w:color w:val="0000FF"/>
                <w:lang w:bidi="ar"/>
              </w:rPr>
              <w:t>1、排放口规范化及信息公开化</w:t>
            </w:r>
          </w:p>
          <w:p w14:paraId="0B0BA171">
            <w:pPr>
              <w:rPr>
                <w:color w:val="0000FF"/>
                <w:lang w:bidi="ar"/>
              </w:rPr>
            </w:pPr>
            <w:r>
              <w:rPr>
                <w:color w:val="0000FF"/>
                <w:lang w:bidi="ar"/>
              </w:rPr>
              <w:t>根据《关于开展排放口规范化整治工作的通知》（环发〔1999〕24号）、《排污口规范化整治技术要求》（环监〔1996〕470号）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14:paraId="583D2D03">
            <w:pPr>
              <w:ind w:firstLine="482"/>
              <w:rPr>
                <w:b/>
                <w:bCs/>
                <w:color w:val="0000FF"/>
                <w:lang w:bidi="ar"/>
              </w:rPr>
            </w:pPr>
            <w:r>
              <w:rPr>
                <w:b/>
                <w:bCs/>
                <w:color w:val="0000FF"/>
                <w:lang w:bidi="ar"/>
              </w:rPr>
              <w:t>2、排污许可衔接</w:t>
            </w:r>
          </w:p>
          <w:p w14:paraId="3DF4B870">
            <w:pPr>
              <w:rPr>
                <w:color w:val="0000FF"/>
                <w:lang w:bidi="ar"/>
              </w:rPr>
            </w:pPr>
            <w:r>
              <w:rPr>
                <w:color w:val="0000FF"/>
                <w:lang w:bidi="ar"/>
              </w:rPr>
              <w:t>根据安徽省生态环境厅于2021年1月30日发布的《安徽省生态环境厅关于统筹做好固定污染源排污许可日常监管工作的通知》（皖环发〔2021〕7号），属于现行《固定污染源排污许可分类管理名录》内重点管理和简化管理的行业，在环评文件中应明确“建设项目环境影响评价与排污许可联动内容”和《建设项目排污许可申请与填发信息表》。</w:t>
            </w:r>
          </w:p>
          <w:p w14:paraId="70546D30">
            <w:pPr>
              <w:rPr>
                <w:color w:val="0000FF"/>
                <w:lang w:bidi="ar"/>
              </w:rPr>
            </w:pPr>
            <w:r>
              <w:rPr>
                <w:color w:val="0000FF"/>
                <w:lang w:bidi="ar"/>
              </w:rPr>
              <w:t>根据《固定污染源排污许可分类管理名录》（2019版）可知，根据《国民经济行业分类》（GB 4754-2017），本项目行业类别为：C1432速冻食品制造；对照《固定污染源排污许可分类管理名录》（2019年版），本项目属于：九、食品制造业14-17方便食品制造 143* 速冻食品制造 1432*，本项目为简化管理，项目运营前应办理排污许可。相关排污许可管理要求内容如下：</w:t>
            </w:r>
          </w:p>
          <w:p w14:paraId="71EDB5BB">
            <w:pPr>
              <w:spacing w:line="240" w:lineRule="auto"/>
              <w:ind w:firstLine="0" w:firstLineChars="0"/>
              <w:jc w:val="center"/>
              <w:rPr>
                <w:b/>
                <w:bCs/>
                <w:color w:val="0000FF"/>
                <w:lang w:bidi="ar"/>
              </w:rPr>
            </w:pPr>
            <w:r>
              <w:rPr>
                <w:b/>
                <w:bCs/>
                <w:color w:val="0000FF"/>
                <w:lang w:bidi="ar"/>
              </w:rPr>
              <w:t>表5-1  排污许可管理工作等级分类一览表</w:t>
            </w:r>
          </w:p>
          <w:tbl>
            <w:tblPr>
              <w:tblStyle w:val="22"/>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3"/>
              <w:gridCol w:w="1014"/>
              <w:gridCol w:w="1207"/>
              <w:gridCol w:w="3202"/>
              <w:gridCol w:w="1243"/>
            </w:tblGrid>
            <w:tr w14:paraId="5AEB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tcBorders>
                    <w:tl2br w:val="nil"/>
                    <w:tr2bl w:val="nil"/>
                  </w:tcBorders>
                  <w:vAlign w:val="center"/>
                </w:tcPr>
                <w:p w14:paraId="4761CB55">
                  <w:pPr>
                    <w:spacing w:line="240" w:lineRule="auto"/>
                    <w:ind w:firstLine="0" w:firstLineChars="0"/>
                    <w:jc w:val="center"/>
                    <w:rPr>
                      <w:color w:val="0000FF"/>
                      <w:sz w:val="21"/>
                      <w:szCs w:val="21"/>
                    </w:rPr>
                  </w:pPr>
                  <w:r>
                    <w:rPr>
                      <w:color w:val="0000FF"/>
                      <w:sz w:val="21"/>
                      <w:szCs w:val="21"/>
                    </w:rPr>
                    <w:t>序号</w:t>
                  </w:r>
                </w:p>
              </w:tc>
              <w:tc>
                <w:tcPr>
                  <w:tcW w:w="703" w:type="pct"/>
                  <w:tcBorders>
                    <w:tl2br w:val="nil"/>
                    <w:tr2bl w:val="nil"/>
                  </w:tcBorders>
                  <w:vAlign w:val="center"/>
                </w:tcPr>
                <w:p w14:paraId="0DC25439">
                  <w:pPr>
                    <w:spacing w:line="240" w:lineRule="auto"/>
                    <w:ind w:firstLine="0" w:firstLineChars="0"/>
                    <w:jc w:val="center"/>
                    <w:rPr>
                      <w:color w:val="0000FF"/>
                      <w:sz w:val="21"/>
                      <w:szCs w:val="21"/>
                    </w:rPr>
                  </w:pPr>
                  <w:r>
                    <w:rPr>
                      <w:color w:val="0000FF"/>
                      <w:sz w:val="21"/>
                      <w:szCs w:val="21"/>
                    </w:rPr>
                    <w:t>行业类别</w:t>
                  </w:r>
                </w:p>
              </w:tc>
              <w:tc>
                <w:tcPr>
                  <w:tcW w:w="837" w:type="pct"/>
                  <w:tcBorders>
                    <w:tl2br w:val="nil"/>
                    <w:tr2bl w:val="nil"/>
                  </w:tcBorders>
                  <w:vAlign w:val="center"/>
                </w:tcPr>
                <w:p w14:paraId="7325C819">
                  <w:pPr>
                    <w:spacing w:line="240" w:lineRule="auto"/>
                    <w:ind w:firstLine="0" w:firstLineChars="0"/>
                    <w:jc w:val="center"/>
                    <w:rPr>
                      <w:color w:val="0000FF"/>
                      <w:sz w:val="21"/>
                      <w:szCs w:val="21"/>
                    </w:rPr>
                  </w:pPr>
                  <w:r>
                    <w:rPr>
                      <w:color w:val="0000FF"/>
                      <w:sz w:val="21"/>
                      <w:szCs w:val="21"/>
                    </w:rPr>
                    <w:t>重点管理</w:t>
                  </w:r>
                </w:p>
              </w:tc>
              <w:tc>
                <w:tcPr>
                  <w:tcW w:w="2221" w:type="pct"/>
                  <w:tcBorders>
                    <w:tl2br w:val="nil"/>
                    <w:tr2bl w:val="nil"/>
                  </w:tcBorders>
                  <w:vAlign w:val="center"/>
                </w:tcPr>
                <w:p w14:paraId="0B7A6C88">
                  <w:pPr>
                    <w:spacing w:line="240" w:lineRule="auto"/>
                    <w:ind w:firstLine="0" w:firstLineChars="0"/>
                    <w:jc w:val="center"/>
                    <w:rPr>
                      <w:color w:val="0000FF"/>
                      <w:sz w:val="21"/>
                      <w:szCs w:val="21"/>
                    </w:rPr>
                  </w:pPr>
                  <w:r>
                    <w:rPr>
                      <w:color w:val="0000FF"/>
                      <w:sz w:val="21"/>
                      <w:szCs w:val="21"/>
                    </w:rPr>
                    <w:t>简化管理</w:t>
                  </w:r>
                </w:p>
              </w:tc>
              <w:tc>
                <w:tcPr>
                  <w:tcW w:w="859" w:type="pct"/>
                  <w:tcBorders>
                    <w:tl2br w:val="nil"/>
                    <w:tr2bl w:val="nil"/>
                  </w:tcBorders>
                  <w:vAlign w:val="center"/>
                </w:tcPr>
                <w:p w14:paraId="72A26436">
                  <w:pPr>
                    <w:spacing w:line="240" w:lineRule="auto"/>
                    <w:ind w:firstLine="0" w:firstLineChars="0"/>
                    <w:jc w:val="center"/>
                    <w:rPr>
                      <w:color w:val="0000FF"/>
                      <w:sz w:val="21"/>
                      <w:szCs w:val="21"/>
                    </w:rPr>
                  </w:pPr>
                  <w:r>
                    <w:rPr>
                      <w:color w:val="0000FF"/>
                      <w:sz w:val="21"/>
                      <w:szCs w:val="21"/>
                    </w:rPr>
                    <w:t>登记管理</w:t>
                  </w:r>
                </w:p>
              </w:tc>
            </w:tr>
            <w:tr w14:paraId="77B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0" w:type="pct"/>
                  <w:gridSpan w:val="5"/>
                  <w:tcBorders>
                    <w:tl2br w:val="nil"/>
                    <w:tr2bl w:val="nil"/>
                  </w:tcBorders>
                  <w:vAlign w:val="center"/>
                </w:tcPr>
                <w:p w14:paraId="1291A01D">
                  <w:pPr>
                    <w:spacing w:line="240" w:lineRule="auto"/>
                    <w:ind w:firstLine="0" w:firstLineChars="0"/>
                    <w:jc w:val="center"/>
                    <w:rPr>
                      <w:color w:val="0000FF"/>
                      <w:sz w:val="21"/>
                      <w:szCs w:val="21"/>
                    </w:rPr>
                  </w:pPr>
                  <w:r>
                    <w:rPr>
                      <w:color w:val="0000FF"/>
                      <w:sz w:val="21"/>
                      <w:szCs w:val="21"/>
                    </w:rPr>
                    <w:t>九、食品制造业 14</w:t>
                  </w:r>
                </w:p>
              </w:tc>
            </w:tr>
            <w:tr w14:paraId="1BD4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7" w:type="pct"/>
                  <w:tcBorders>
                    <w:tl2br w:val="nil"/>
                    <w:tr2bl w:val="nil"/>
                  </w:tcBorders>
                  <w:vAlign w:val="center"/>
                </w:tcPr>
                <w:p w14:paraId="70BC5267">
                  <w:pPr>
                    <w:spacing w:line="240" w:lineRule="auto"/>
                    <w:ind w:firstLine="0" w:firstLineChars="0"/>
                    <w:jc w:val="center"/>
                    <w:rPr>
                      <w:color w:val="0000FF"/>
                      <w:sz w:val="21"/>
                      <w:szCs w:val="21"/>
                    </w:rPr>
                  </w:pPr>
                  <w:r>
                    <w:rPr>
                      <w:color w:val="0000FF"/>
                      <w:sz w:val="21"/>
                      <w:szCs w:val="21"/>
                    </w:rPr>
                    <w:t>17</w:t>
                  </w:r>
                </w:p>
              </w:tc>
              <w:tc>
                <w:tcPr>
                  <w:tcW w:w="703" w:type="pct"/>
                  <w:tcBorders>
                    <w:tl2br w:val="nil"/>
                    <w:tr2bl w:val="nil"/>
                  </w:tcBorders>
                  <w:vAlign w:val="center"/>
                </w:tcPr>
                <w:p w14:paraId="03B23C2C">
                  <w:pPr>
                    <w:spacing w:line="240" w:lineRule="auto"/>
                    <w:ind w:firstLine="0" w:firstLineChars="0"/>
                    <w:jc w:val="center"/>
                    <w:rPr>
                      <w:color w:val="0000FF"/>
                      <w:sz w:val="21"/>
                      <w:szCs w:val="21"/>
                    </w:rPr>
                  </w:pPr>
                  <w:r>
                    <w:rPr>
                      <w:color w:val="0000FF"/>
                      <w:sz w:val="21"/>
                      <w:szCs w:val="21"/>
                    </w:rPr>
                    <w:t>方便食品制造 143，其他食品制造 149</w:t>
                  </w:r>
                </w:p>
                <w:p w14:paraId="67BB161C">
                  <w:pPr>
                    <w:spacing w:line="240" w:lineRule="auto"/>
                    <w:ind w:firstLine="0" w:firstLineChars="0"/>
                    <w:jc w:val="center"/>
                    <w:rPr>
                      <w:color w:val="0000FF"/>
                      <w:sz w:val="21"/>
                      <w:szCs w:val="21"/>
                    </w:rPr>
                  </w:pPr>
                </w:p>
              </w:tc>
              <w:tc>
                <w:tcPr>
                  <w:tcW w:w="837" w:type="pct"/>
                  <w:tcBorders>
                    <w:tl2br w:val="nil"/>
                    <w:tr2bl w:val="nil"/>
                  </w:tcBorders>
                  <w:vAlign w:val="center"/>
                </w:tcPr>
                <w:p w14:paraId="0F4C1DDF">
                  <w:pPr>
                    <w:spacing w:line="240" w:lineRule="auto"/>
                    <w:ind w:firstLine="0" w:firstLineChars="0"/>
                    <w:jc w:val="center"/>
                    <w:rPr>
                      <w:color w:val="0000FF"/>
                      <w:sz w:val="21"/>
                      <w:szCs w:val="21"/>
                    </w:rPr>
                  </w:pPr>
                  <w:r>
                    <w:rPr>
                      <w:color w:val="0000FF"/>
                      <w:sz w:val="21"/>
                      <w:szCs w:val="21"/>
                    </w:rPr>
                    <w:t>/</w:t>
                  </w:r>
                </w:p>
                <w:p w14:paraId="7622A47D">
                  <w:pPr>
                    <w:spacing w:line="240" w:lineRule="auto"/>
                    <w:ind w:firstLine="0" w:firstLineChars="0"/>
                    <w:jc w:val="center"/>
                    <w:rPr>
                      <w:color w:val="0000FF"/>
                      <w:sz w:val="21"/>
                      <w:szCs w:val="21"/>
                    </w:rPr>
                  </w:pPr>
                </w:p>
              </w:tc>
              <w:tc>
                <w:tcPr>
                  <w:tcW w:w="2221" w:type="pct"/>
                  <w:tcBorders>
                    <w:tl2br w:val="nil"/>
                    <w:tr2bl w:val="nil"/>
                  </w:tcBorders>
                  <w:vAlign w:val="center"/>
                </w:tcPr>
                <w:p w14:paraId="2A0D3D42">
                  <w:pPr>
                    <w:spacing w:line="240" w:lineRule="auto"/>
                    <w:ind w:firstLine="0" w:firstLineChars="0"/>
                    <w:jc w:val="center"/>
                    <w:rPr>
                      <w:color w:val="0000FF"/>
                      <w:sz w:val="21"/>
                      <w:szCs w:val="21"/>
                    </w:rPr>
                  </w:pPr>
                  <w:r>
                    <w:rPr>
                      <w:color w:val="0000FF"/>
                      <w:sz w:val="21"/>
                      <w:szCs w:val="21"/>
                    </w:rPr>
                    <w:t>米、面制品制造 1431*，速冻食品制造 1432*，方便面制造 1433*，其他方便食品制造 1439*，食品及饲料添加剂制造 1495*，以上均不含手工制作、单纯混合或者分装的</w:t>
                  </w:r>
                </w:p>
              </w:tc>
              <w:tc>
                <w:tcPr>
                  <w:tcW w:w="859" w:type="pct"/>
                  <w:tcBorders>
                    <w:tl2br w:val="nil"/>
                    <w:tr2bl w:val="nil"/>
                  </w:tcBorders>
                  <w:vAlign w:val="center"/>
                </w:tcPr>
                <w:p w14:paraId="58F3CB8A">
                  <w:pPr>
                    <w:spacing w:line="240" w:lineRule="auto"/>
                    <w:ind w:firstLine="0" w:firstLineChars="0"/>
                    <w:jc w:val="center"/>
                    <w:rPr>
                      <w:color w:val="0000FF"/>
                      <w:sz w:val="21"/>
                      <w:szCs w:val="21"/>
                    </w:rPr>
                  </w:pPr>
                  <w:r>
                    <w:rPr>
                      <w:color w:val="0000FF"/>
                      <w:sz w:val="21"/>
                      <w:szCs w:val="21"/>
                    </w:rPr>
                    <w:t>其他*</w:t>
                  </w:r>
                </w:p>
              </w:tc>
            </w:tr>
          </w:tbl>
          <w:p w14:paraId="3D8D83C5">
            <w:pPr>
              <w:ind w:firstLine="482"/>
              <w:rPr>
                <w:b/>
                <w:bCs/>
                <w:color w:val="0000FF"/>
                <w:lang w:bidi="ar"/>
              </w:rPr>
            </w:pPr>
            <w:r>
              <w:rPr>
                <w:b/>
                <w:bCs/>
                <w:color w:val="0000FF"/>
                <w:lang w:bidi="ar"/>
              </w:rPr>
              <w:t>3、竣工环境保护设施验收</w:t>
            </w:r>
          </w:p>
          <w:p w14:paraId="7904FBDF">
            <w:pPr>
              <w:rPr>
                <w:color w:val="0000FF"/>
                <w:lang w:bidi="ar"/>
              </w:rPr>
            </w:pPr>
            <w:r>
              <w:rPr>
                <w:color w:val="0000FF"/>
                <w:lang w:bidi="ar"/>
              </w:rPr>
              <w:t>根据《建设项目竣工环境保护验收暂行办法》的规定，建设项目竣工后，建设单位应当如实查验、监测、记载建设项目环境保护设施的建设和调试情况，编制验收监测报告。</w:t>
            </w:r>
          </w:p>
          <w:p w14:paraId="4F3F9C03">
            <w:pPr>
              <w:spacing w:line="240" w:lineRule="auto"/>
              <w:ind w:firstLine="0" w:firstLineChars="0"/>
              <w:jc w:val="center"/>
              <w:rPr>
                <w:color w:val="0000FF"/>
              </w:rPr>
            </w:pPr>
          </w:p>
          <w:p w14:paraId="5650FE9F">
            <w:pPr>
              <w:spacing w:line="240" w:lineRule="auto"/>
              <w:ind w:firstLine="0" w:firstLineChars="0"/>
              <w:jc w:val="center"/>
              <w:rPr>
                <w:color w:val="0000FF"/>
              </w:rPr>
            </w:pPr>
          </w:p>
          <w:p w14:paraId="7C450A4D">
            <w:pPr>
              <w:adjustRightInd w:val="0"/>
              <w:snapToGrid w:val="0"/>
              <w:spacing w:line="240" w:lineRule="auto"/>
              <w:ind w:firstLine="0" w:firstLineChars="0"/>
              <w:rPr>
                <w:bCs/>
                <w:color w:val="0000FF"/>
              </w:rPr>
            </w:pPr>
          </w:p>
        </w:tc>
      </w:tr>
    </w:tbl>
    <w:p w14:paraId="170DD7BD">
      <w:r>
        <w:br w:type="page"/>
      </w:r>
    </w:p>
    <w:p w14:paraId="091A1AFF">
      <w:pPr>
        <w:ind w:firstLine="0" w:firstLineChars="0"/>
        <w:jc w:val="center"/>
        <w:outlineLvl w:val="0"/>
        <w:rPr>
          <w:rFonts w:hint="eastAsia" w:ascii="黑体" w:hAnsi="黑体" w:eastAsia="黑体"/>
          <w:snapToGrid w:val="0"/>
          <w:sz w:val="30"/>
          <w:szCs w:val="30"/>
        </w:rPr>
      </w:pPr>
      <w:bookmarkStart w:id="33" w:name="_Toc19778"/>
      <w:bookmarkStart w:id="34" w:name="_Toc3074"/>
      <w:bookmarkStart w:id="35" w:name="_Toc2087"/>
      <w:bookmarkStart w:id="36" w:name="_Toc19449"/>
      <w:bookmarkStart w:id="37" w:name="_Toc68109907"/>
      <w:r>
        <w:rPr>
          <w:rFonts w:hint="eastAsia" w:ascii="黑体" w:hAnsi="黑体" w:eastAsia="黑体"/>
          <w:snapToGrid w:val="0"/>
          <w:sz w:val="30"/>
          <w:szCs w:val="30"/>
        </w:rPr>
        <w:t>六、结论</w:t>
      </w:r>
      <w:bookmarkEnd w:id="33"/>
      <w:bookmarkEnd w:id="34"/>
      <w:bookmarkEnd w:id="35"/>
      <w:bookmarkEnd w:id="36"/>
      <w:bookmarkEnd w:id="3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CA58C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865" w:type="dxa"/>
          </w:tcPr>
          <w:p w14:paraId="498A57FE">
            <w:r>
              <w:rPr>
                <w:rFonts w:hint="eastAsia"/>
              </w:rPr>
              <w:t>本项目</w:t>
            </w:r>
            <w:r>
              <w:t>符合国家和当地产业政策，项目选址合理、可行</w:t>
            </w:r>
            <w:r>
              <w:rPr>
                <w:rFonts w:hint="eastAsia"/>
              </w:rPr>
              <w:t>，</w:t>
            </w:r>
            <w:r>
              <w:t>项目运营对周边环境会带来一定的环境影响，但通过落实本评价提出的各项环保措施后，其环境影响能得到有效控制，不会对区域环境质量带来明显影响。因此，在严格执行“三同时”制度、保证各项环保设施和措施正常运行的条件下，从环境影响角度考虑，该项目建设是可行的。</w:t>
            </w:r>
          </w:p>
          <w:p w14:paraId="5B5E7D52"/>
          <w:p w14:paraId="52FA88A8"/>
          <w:p w14:paraId="70597503"/>
          <w:p w14:paraId="32EAE814"/>
          <w:p w14:paraId="78D627FF"/>
          <w:p w14:paraId="4AC94E95"/>
          <w:p w14:paraId="27D8882A"/>
          <w:p w14:paraId="38EC8B86"/>
          <w:p w14:paraId="65B16C78"/>
          <w:p w14:paraId="629B1ACC"/>
          <w:p w14:paraId="735FF0D4">
            <w:pPr>
              <w:pStyle w:val="18"/>
            </w:pPr>
          </w:p>
          <w:p w14:paraId="42A6E45C"/>
          <w:p w14:paraId="17937444">
            <w:pPr>
              <w:pStyle w:val="18"/>
            </w:pPr>
          </w:p>
          <w:p w14:paraId="0EE01C30"/>
          <w:p w14:paraId="46A61BDA">
            <w:pPr>
              <w:ind w:firstLine="0" w:firstLineChars="0"/>
              <w:rPr>
                <w:rFonts w:ascii="宋体" w:cs="宋体"/>
              </w:rPr>
            </w:pPr>
          </w:p>
          <w:p w14:paraId="6D875FCC">
            <w:pPr>
              <w:ind w:firstLine="0" w:firstLineChars="0"/>
              <w:rPr>
                <w:rFonts w:ascii="宋体" w:cs="宋体"/>
              </w:rPr>
            </w:pPr>
          </w:p>
          <w:p w14:paraId="7D72FAA2">
            <w:pPr>
              <w:ind w:firstLine="0" w:firstLineChars="0"/>
              <w:rPr>
                <w:rFonts w:ascii="宋体" w:cs="宋体"/>
              </w:rPr>
            </w:pPr>
          </w:p>
          <w:p w14:paraId="3F061DDA">
            <w:pPr>
              <w:ind w:firstLine="0" w:firstLineChars="0"/>
              <w:rPr>
                <w:rFonts w:ascii="宋体" w:cs="宋体"/>
              </w:rPr>
            </w:pPr>
          </w:p>
          <w:p w14:paraId="68B3F78E">
            <w:pPr>
              <w:ind w:firstLine="0" w:firstLineChars="0"/>
              <w:rPr>
                <w:rFonts w:ascii="宋体" w:cs="宋体"/>
              </w:rPr>
            </w:pPr>
          </w:p>
          <w:p w14:paraId="5B2CE7BD">
            <w:pPr>
              <w:ind w:firstLine="0" w:firstLineChars="0"/>
              <w:rPr>
                <w:rFonts w:ascii="宋体" w:cs="宋体"/>
              </w:rPr>
            </w:pPr>
          </w:p>
          <w:p w14:paraId="64C31FBD">
            <w:pPr>
              <w:ind w:firstLine="0" w:firstLineChars="0"/>
              <w:rPr>
                <w:rFonts w:ascii="宋体" w:cs="宋体"/>
              </w:rPr>
            </w:pPr>
          </w:p>
        </w:tc>
      </w:tr>
    </w:tbl>
    <w:p w14:paraId="0A960C3E">
      <w:pPr>
        <w:ind w:firstLine="0" w:firstLineChars="0"/>
        <w:sectPr>
          <w:footerReference r:id="rId13" w:type="default"/>
          <w:pgSz w:w="11906" w:h="16838"/>
          <w:pgMar w:top="1440" w:right="1800" w:bottom="1440" w:left="1800" w:header="851" w:footer="992" w:gutter="0"/>
          <w:pgNumType w:start="1"/>
          <w:cols w:space="425" w:num="1"/>
          <w:docGrid w:type="lines" w:linePitch="312" w:charSpace="0"/>
        </w:sectPr>
      </w:pPr>
    </w:p>
    <w:p w14:paraId="01A32769">
      <w:pPr>
        <w:adjustRightInd w:val="0"/>
        <w:snapToGrid w:val="0"/>
        <w:ind w:firstLine="640"/>
        <w:outlineLvl w:val="0"/>
        <w:rPr>
          <w:rFonts w:hint="eastAsia" w:ascii="黑体" w:hAnsi="黑体" w:eastAsia="黑体"/>
          <w:snapToGrid w:val="0"/>
          <w:sz w:val="32"/>
          <w:szCs w:val="32"/>
        </w:rPr>
      </w:pPr>
      <w:bookmarkStart w:id="38" w:name="_Toc6903"/>
      <w:bookmarkStart w:id="39" w:name="_Toc15714"/>
      <w:bookmarkStart w:id="40" w:name="_Toc68109908"/>
      <w:bookmarkStart w:id="41" w:name="_Toc18292"/>
      <w:bookmarkStart w:id="42" w:name="_Toc27025"/>
      <w:r>
        <w:rPr>
          <w:rFonts w:hint="eastAsia" w:ascii="黑体" w:hAnsi="黑体" w:eastAsia="黑体"/>
          <w:snapToGrid w:val="0"/>
          <w:sz w:val="32"/>
          <w:szCs w:val="32"/>
        </w:rPr>
        <w:t>附表</w:t>
      </w:r>
      <w:bookmarkEnd w:id="38"/>
      <w:bookmarkEnd w:id="39"/>
      <w:bookmarkEnd w:id="40"/>
      <w:bookmarkEnd w:id="41"/>
      <w:bookmarkEnd w:id="42"/>
    </w:p>
    <w:p w14:paraId="6B2B88C9">
      <w:pPr>
        <w:pStyle w:val="19"/>
        <w:adjustRightInd w:val="0"/>
        <w:snapToGrid w:val="0"/>
        <w:spacing w:before="0" w:beforeAutospacing="0" w:after="0" w:afterAutospacing="0" w:line="240" w:lineRule="auto"/>
        <w:ind w:firstLine="0" w:firstLineChars="0"/>
        <w:jc w:val="center"/>
        <w:outlineLvl w:val="0"/>
        <w:rPr>
          <w:rFonts w:ascii="Times New Roman" w:hAnsi="Times New Roman"/>
          <w:snapToGrid w:val="0"/>
          <w:sz w:val="38"/>
          <w:szCs w:val="38"/>
        </w:rPr>
      </w:pPr>
      <w:bookmarkStart w:id="43" w:name="_Toc68109909"/>
      <w:r>
        <w:rPr>
          <w:rFonts w:ascii="Times New Roman" w:hAnsi="Times New Roman"/>
          <w:snapToGrid w:val="0"/>
          <w:sz w:val="38"/>
          <w:szCs w:val="38"/>
        </w:rPr>
        <w:t>建设项目污染物排放量汇总表</w:t>
      </w:r>
      <w:bookmarkEnd w:id="43"/>
      <w:r>
        <w:rPr>
          <w:rFonts w:ascii="Times New Roman" w:hAnsi="Times New Roman"/>
          <w:snapToGrid w:val="0"/>
          <w:sz w:val="38"/>
          <w:szCs w:val="38"/>
        </w:rPr>
        <w:t xml:space="preserve">  </w:t>
      </w:r>
      <w:r>
        <w:rPr>
          <w:rFonts w:hint="eastAsia" w:ascii="Times New Roman" w:hAnsi="Times New Roman"/>
          <w:snapToGrid w:val="0"/>
          <w:sz w:val="38"/>
          <w:szCs w:val="38"/>
        </w:rPr>
        <w:t>单位：</w:t>
      </w:r>
      <w:r>
        <w:rPr>
          <w:rFonts w:ascii="Times New Roman" w:hAnsi="Times New Roman"/>
          <w:snapToGrid w:val="0"/>
          <w:sz w:val="38"/>
          <w:szCs w:val="38"/>
        </w:rPr>
        <w:t>t/a</w:t>
      </w:r>
    </w:p>
    <w:tbl>
      <w:tblPr>
        <w:tblStyle w:val="22"/>
        <w:tblW w:w="141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7"/>
        <w:gridCol w:w="1815"/>
        <w:gridCol w:w="1512"/>
        <w:gridCol w:w="1488"/>
        <w:gridCol w:w="1558"/>
        <w:gridCol w:w="1747"/>
        <w:gridCol w:w="1917"/>
        <w:gridCol w:w="2265"/>
        <w:gridCol w:w="1057"/>
      </w:tblGrid>
      <w:tr w14:paraId="586D74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tcBorders>
              <w:tl2br w:val="nil"/>
              <w:tr2bl w:val="nil"/>
            </w:tcBorders>
            <w:tcMar>
              <w:left w:w="28" w:type="dxa"/>
              <w:right w:w="28" w:type="dxa"/>
            </w:tcMar>
            <w:vAlign w:val="center"/>
          </w:tcPr>
          <w:p w14:paraId="002B7638">
            <w:pPr>
              <w:pStyle w:val="29"/>
              <w:snapToGrid w:val="0"/>
              <w:rPr>
                <w:color w:val="0000FF"/>
              </w:rPr>
            </w:pPr>
          </w:p>
          <w:p w14:paraId="1E62F047">
            <w:pPr>
              <w:pStyle w:val="29"/>
              <w:snapToGrid w:val="0"/>
              <w:rPr>
                <w:color w:val="0000FF"/>
              </w:rPr>
            </w:pPr>
          </w:p>
          <w:p w14:paraId="54A89488">
            <w:pPr>
              <w:pStyle w:val="29"/>
              <w:rPr>
                <w:color w:val="0000FF"/>
              </w:rPr>
            </w:pPr>
            <w:r>
              <w:rPr>
                <w:color w:val="0000FF"/>
              </w:rPr>
              <w:t>项目</w:t>
            </w:r>
          </w:p>
          <w:p w14:paraId="62570B3B">
            <w:pPr>
              <w:pStyle w:val="29"/>
              <w:snapToGrid w:val="0"/>
              <w:rPr>
                <w:color w:val="0000FF"/>
              </w:rPr>
            </w:pPr>
          </w:p>
          <w:p w14:paraId="4056D0DE">
            <w:pPr>
              <w:pStyle w:val="29"/>
              <w:snapToGrid w:val="0"/>
              <w:rPr>
                <w:color w:val="0000FF"/>
              </w:rPr>
            </w:pPr>
            <w:r>
              <w:rPr>
                <w:color w:val="0000FF"/>
              </w:rPr>
              <w:t xml:space="preserve"> 分类</w:t>
            </w:r>
          </w:p>
          <w:p w14:paraId="5D97A6D8">
            <w:pPr>
              <w:pStyle w:val="29"/>
              <w:rPr>
                <w:color w:val="0000FF"/>
              </w:rPr>
            </w:pPr>
          </w:p>
        </w:tc>
        <w:tc>
          <w:tcPr>
            <w:tcW w:w="1815" w:type="dxa"/>
            <w:tcBorders>
              <w:tl2br w:val="nil"/>
              <w:tr2bl w:val="nil"/>
            </w:tcBorders>
            <w:tcMar>
              <w:left w:w="28" w:type="dxa"/>
              <w:right w:w="28" w:type="dxa"/>
            </w:tcMar>
            <w:vAlign w:val="center"/>
          </w:tcPr>
          <w:p w14:paraId="1DE89047">
            <w:pPr>
              <w:pStyle w:val="29"/>
              <w:rPr>
                <w:color w:val="0000FF"/>
              </w:rPr>
            </w:pPr>
            <w:r>
              <w:rPr>
                <w:color w:val="0000FF"/>
              </w:rPr>
              <w:t>污染物名称</w:t>
            </w:r>
          </w:p>
        </w:tc>
        <w:tc>
          <w:tcPr>
            <w:tcW w:w="1512" w:type="dxa"/>
            <w:tcBorders>
              <w:tl2br w:val="nil"/>
              <w:tr2bl w:val="nil"/>
            </w:tcBorders>
            <w:tcMar>
              <w:left w:w="28" w:type="dxa"/>
              <w:right w:w="28" w:type="dxa"/>
            </w:tcMar>
            <w:vAlign w:val="center"/>
          </w:tcPr>
          <w:p w14:paraId="7DF3A52B">
            <w:pPr>
              <w:pStyle w:val="29"/>
              <w:rPr>
                <w:color w:val="0000FF"/>
              </w:rPr>
            </w:pPr>
            <w:r>
              <w:rPr>
                <w:color w:val="0000FF"/>
              </w:rPr>
              <w:t>现有工程排放量（固体废物产生量）</w:t>
            </w:r>
            <w:r>
              <w:rPr>
                <w:color w:val="0000FF"/>
              </w:rPr>
              <w:fldChar w:fldCharType="begin"/>
            </w:r>
            <w:r>
              <w:rPr>
                <w:color w:val="0000FF"/>
              </w:rPr>
              <w:instrText xml:space="preserve"> = 1 \* GB3 \* MERGEFORMAT </w:instrText>
            </w:r>
            <w:r>
              <w:rPr>
                <w:color w:val="0000FF"/>
              </w:rPr>
              <w:fldChar w:fldCharType="separate"/>
            </w:r>
            <w:r>
              <w:rPr>
                <w:color w:val="0000FF"/>
              </w:rPr>
              <w:t>①</w:t>
            </w:r>
            <w:r>
              <w:rPr>
                <w:color w:val="0000FF"/>
              </w:rPr>
              <w:fldChar w:fldCharType="end"/>
            </w:r>
          </w:p>
        </w:tc>
        <w:tc>
          <w:tcPr>
            <w:tcW w:w="1488" w:type="dxa"/>
            <w:tcBorders>
              <w:tl2br w:val="nil"/>
              <w:tr2bl w:val="nil"/>
            </w:tcBorders>
            <w:tcMar>
              <w:left w:w="28" w:type="dxa"/>
              <w:right w:w="28" w:type="dxa"/>
            </w:tcMar>
            <w:vAlign w:val="center"/>
          </w:tcPr>
          <w:p w14:paraId="0714575D">
            <w:pPr>
              <w:pStyle w:val="29"/>
              <w:rPr>
                <w:color w:val="0000FF"/>
              </w:rPr>
            </w:pPr>
            <w:r>
              <w:rPr>
                <w:color w:val="0000FF"/>
              </w:rPr>
              <w:t>现有工程</w:t>
            </w:r>
          </w:p>
          <w:p w14:paraId="32683E43">
            <w:pPr>
              <w:pStyle w:val="29"/>
              <w:rPr>
                <w:color w:val="0000FF"/>
              </w:rPr>
            </w:pPr>
            <w:r>
              <w:rPr>
                <w:color w:val="0000FF"/>
              </w:rPr>
              <w:t>许可排放量</w:t>
            </w:r>
            <w:r>
              <w:rPr>
                <w:color w:val="0000FF"/>
              </w:rPr>
              <w:fldChar w:fldCharType="begin"/>
            </w:r>
            <w:r>
              <w:rPr>
                <w:color w:val="0000FF"/>
              </w:rPr>
              <w:instrText xml:space="preserve"> = 2 \* GB3 \* MERGEFORMAT </w:instrText>
            </w:r>
            <w:r>
              <w:rPr>
                <w:color w:val="0000FF"/>
              </w:rPr>
              <w:fldChar w:fldCharType="separate"/>
            </w:r>
            <w:r>
              <w:rPr>
                <w:color w:val="0000FF"/>
              </w:rPr>
              <w:t>②</w:t>
            </w:r>
            <w:r>
              <w:rPr>
                <w:color w:val="0000FF"/>
              </w:rPr>
              <w:fldChar w:fldCharType="end"/>
            </w:r>
          </w:p>
        </w:tc>
        <w:tc>
          <w:tcPr>
            <w:tcW w:w="1558" w:type="dxa"/>
            <w:tcBorders>
              <w:tl2br w:val="nil"/>
              <w:tr2bl w:val="nil"/>
            </w:tcBorders>
            <w:tcMar>
              <w:left w:w="28" w:type="dxa"/>
              <w:right w:w="28" w:type="dxa"/>
            </w:tcMar>
            <w:vAlign w:val="center"/>
          </w:tcPr>
          <w:p w14:paraId="64296203">
            <w:pPr>
              <w:pStyle w:val="29"/>
              <w:rPr>
                <w:color w:val="0000FF"/>
              </w:rPr>
            </w:pPr>
            <w:r>
              <w:rPr>
                <w:color w:val="0000FF"/>
              </w:rPr>
              <w:t>在建工程排放量（固体废物产生量）</w:t>
            </w:r>
            <w:r>
              <w:rPr>
                <w:color w:val="0000FF"/>
              </w:rPr>
              <w:fldChar w:fldCharType="begin"/>
            </w:r>
            <w:r>
              <w:rPr>
                <w:color w:val="0000FF"/>
              </w:rPr>
              <w:instrText xml:space="preserve"> = 3 \* GB3 \* MERGEFORMAT </w:instrText>
            </w:r>
            <w:r>
              <w:rPr>
                <w:color w:val="0000FF"/>
              </w:rPr>
              <w:fldChar w:fldCharType="separate"/>
            </w:r>
            <w:r>
              <w:rPr>
                <w:color w:val="0000FF"/>
              </w:rPr>
              <w:t>③</w:t>
            </w:r>
            <w:r>
              <w:rPr>
                <w:color w:val="0000FF"/>
              </w:rPr>
              <w:fldChar w:fldCharType="end"/>
            </w:r>
          </w:p>
        </w:tc>
        <w:tc>
          <w:tcPr>
            <w:tcW w:w="1747" w:type="dxa"/>
            <w:tcBorders>
              <w:tl2br w:val="nil"/>
              <w:tr2bl w:val="nil"/>
            </w:tcBorders>
            <w:tcMar>
              <w:left w:w="28" w:type="dxa"/>
              <w:right w:w="28" w:type="dxa"/>
            </w:tcMar>
            <w:vAlign w:val="center"/>
          </w:tcPr>
          <w:p w14:paraId="22A1E67B">
            <w:pPr>
              <w:pStyle w:val="29"/>
              <w:rPr>
                <w:color w:val="0000FF"/>
              </w:rPr>
            </w:pPr>
            <w:r>
              <w:rPr>
                <w:color w:val="0000FF"/>
              </w:rPr>
              <w:t>本项目排放量（固体废物产生量）</w:t>
            </w:r>
            <w:r>
              <w:rPr>
                <w:color w:val="0000FF"/>
              </w:rPr>
              <w:fldChar w:fldCharType="begin"/>
            </w:r>
            <w:r>
              <w:rPr>
                <w:color w:val="0000FF"/>
              </w:rPr>
              <w:instrText xml:space="preserve"> = 4 \* GB3 \* MERGEFORMAT </w:instrText>
            </w:r>
            <w:r>
              <w:rPr>
                <w:color w:val="0000FF"/>
              </w:rPr>
              <w:fldChar w:fldCharType="separate"/>
            </w:r>
            <w:r>
              <w:rPr>
                <w:color w:val="0000FF"/>
              </w:rPr>
              <w:t>④</w:t>
            </w:r>
            <w:r>
              <w:rPr>
                <w:color w:val="0000FF"/>
              </w:rPr>
              <w:fldChar w:fldCharType="end"/>
            </w:r>
          </w:p>
        </w:tc>
        <w:tc>
          <w:tcPr>
            <w:tcW w:w="1917" w:type="dxa"/>
            <w:tcBorders>
              <w:tl2br w:val="nil"/>
              <w:tr2bl w:val="nil"/>
            </w:tcBorders>
            <w:tcMar>
              <w:left w:w="28" w:type="dxa"/>
              <w:right w:w="28" w:type="dxa"/>
            </w:tcMar>
            <w:vAlign w:val="center"/>
          </w:tcPr>
          <w:p w14:paraId="3813CAE9">
            <w:pPr>
              <w:pStyle w:val="29"/>
              <w:rPr>
                <w:color w:val="0000FF"/>
              </w:rPr>
            </w:pPr>
            <w:r>
              <w:rPr>
                <w:color w:val="0000FF"/>
              </w:rPr>
              <w:t>以新带老削减量</w:t>
            </w:r>
          </w:p>
          <w:p w14:paraId="6A5C1865">
            <w:pPr>
              <w:pStyle w:val="29"/>
              <w:rPr>
                <w:color w:val="0000FF"/>
              </w:rPr>
            </w:pPr>
            <w:r>
              <w:rPr>
                <w:color w:val="0000FF"/>
              </w:rPr>
              <w:t>（新建项目不填）</w:t>
            </w:r>
            <w:r>
              <w:rPr>
                <w:color w:val="0000FF"/>
              </w:rPr>
              <w:fldChar w:fldCharType="begin"/>
            </w:r>
            <w:r>
              <w:rPr>
                <w:color w:val="0000FF"/>
              </w:rPr>
              <w:instrText xml:space="preserve"> = 5 \* GB3 \* MERGEFORMAT </w:instrText>
            </w:r>
            <w:r>
              <w:rPr>
                <w:color w:val="0000FF"/>
              </w:rPr>
              <w:fldChar w:fldCharType="separate"/>
            </w:r>
            <w:r>
              <w:rPr>
                <w:color w:val="0000FF"/>
              </w:rPr>
              <w:t>⑤</w:t>
            </w:r>
            <w:r>
              <w:rPr>
                <w:color w:val="0000FF"/>
              </w:rPr>
              <w:fldChar w:fldCharType="end"/>
            </w:r>
          </w:p>
        </w:tc>
        <w:tc>
          <w:tcPr>
            <w:tcW w:w="2265" w:type="dxa"/>
            <w:tcBorders>
              <w:tl2br w:val="nil"/>
              <w:tr2bl w:val="nil"/>
            </w:tcBorders>
            <w:tcMar>
              <w:left w:w="28" w:type="dxa"/>
              <w:right w:w="28" w:type="dxa"/>
            </w:tcMar>
            <w:vAlign w:val="center"/>
          </w:tcPr>
          <w:p w14:paraId="6A20CD08">
            <w:pPr>
              <w:pStyle w:val="29"/>
              <w:rPr>
                <w:color w:val="0000FF"/>
              </w:rPr>
            </w:pPr>
            <w:r>
              <w:rPr>
                <w:color w:val="0000FF"/>
              </w:rPr>
              <w:t>本项目建成后全厂排放量（固体废物产生量）</w:t>
            </w:r>
            <w:r>
              <w:rPr>
                <w:color w:val="0000FF"/>
              </w:rPr>
              <w:fldChar w:fldCharType="begin"/>
            </w:r>
            <w:r>
              <w:rPr>
                <w:color w:val="0000FF"/>
              </w:rPr>
              <w:instrText xml:space="preserve"> = 6 \* GB3 \* MERGEFORMAT </w:instrText>
            </w:r>
            <w:r>
              <w:rPr>
                <w:color w:val="0000FF"/>
              </w:rPr>
              <w:fldChar w:fldCharType="separate"/>
            </w:r>
            <w:r>
              <w:rPr>
                <w:color w:val="0000FF"/>
              </w:rPr>
              <w:t>⑥</w:t>
            </w:r>
            <w:r>
              <w:rPr>
                <w:color w:val="0000FF"/>
              </w:rPr>
              <w:fldChar w:fldCharType="end"/>
            </w:r>
          </w:p>
        </w:tc>
        <w:tc>
          <w:tcPr>
            <w:tcW w:w="1057" w:type="dxa"/>
            <w:tcBorders>
              <w:tl2br w:val="nil"/>
              <w:tr2bl w:val="nil"/>
            </w:tcBorders>
            <w:tcMar>
              <w:left w:w="28" w:type="dxa"/>
              <w:right w:w="28" w:type="dxa"/>
            </w:tcMar>
            <w:vAlign w:val="center"/>
          </w:tcPr>
          <w:p w14:paraId="07668CCB">
            <w:pPr>
              <w:pStyle w:val="29"/>
              <w:rPr>
                <w:color w:val="0000FF"/>
              </w:rPr>
            </w:pPr>
            <w:r>
              <w:rPr>
                <w:color w:val="0000FF"/>
              </w:rPr>
              <w:t>变化量</w:t>
            </w:r>
          </w:p>
          <w:p w14:paraId="0433F5E8">
            <w:pPr>
              <w:pStyle w:val="29"/>
              <w:rPr>
                <w:color w:val="0000FF"/>
              </w:rPr>
            </w:pPr>
            <w:r>
              <w:rPr>
                <w:color w:val="0000FF"/>
              </w:rPr>
              <w:fldChar w:fldCharType="begin"/>
            </w:r>
            <w:r>
              <w:rPr>
                <w:color w:val="0000FF"/>
              </w:rPr>
              <w:instrText xml:space="preserve"> = 7 \* GB3 \* MERGEFORMAT </w:instrText>
            </w:r>
            <w:r>
              <w:rPr>
                <w:color w:val="0000FF"/>
              </w:rPr>
              <w:fldChar w:fldCharType="separate"/>
            </w:r>
            <w:r>
              <w:rPr>
                <w:color w:val="0000FF"/>
              </w:rPr>
              <w:t>⑦</w:t>
            </w:r>
            <w:r>
              <w:rPr>
                <w:color w:val="0000FF"/>
              </w:rPr>
              <w:fldChar w:fldCharType="end"/>
            </w:r>
          </w:p>
        </w:tc>
      </w:tr>
      <w:tr w14:paraId="242E2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restart"/>
            <w:tcBorders>
              <w:tl2br w:val="nil"/>
              <w:tr2bl w:val="nil"/>
            </w:tcBorders>
            <w:vAlign w:val="center"/>
          </w:tcPr>
          <w:p w14:paraId="7A1D8363">
            <w:pPr>
              <w:pStyle w:val="29"/>
              <w:rPr>
                <w:color w:val="0000FF"/>
              </w:rPr>
            </w:pPr>
            <w:r>
              <w:rPr>
                <w:color w:val="0000FF"/>
              </w:rPr>
              <w:t>废气</w:t>
            </w:r>
          </w:p>
        </w:tc>
        <w:tc>
          <w:tcPr>
            <w:tcW w:w="1815" w:type="dxa"/>
            <w:tcBorders>
              <w:tl2br w:val="nil"/>
              <w:tr2bl w:val="nil"/>
            </w:tcBorders>
            <w:vAlign w:val="center"/>
          </w:tcPr>
          <w:p w14:paraId="59466D51">
            <w:pPr>
              <w:pStyle w:val="29"/>
              <w:rPr>
                <w:color w:val="0000FF"/>
              </w:rPr>
            </w:pPr>
            <w:r>
              <w:rPr>
                <w:color w:val="0000FF"/>
              </w:rPr>
              <w:t>油烟</w:t>
            </w:r>
          </w:p>
        </w:tc>
        <w:tc>
          <w:tcPr>
            <w:tcW w:w="1512" w:type="dxa"/>
            <w:tcBorders>
              <w:tl2br w:val="nil"/>
              <w:tr2bl w:val="nil"/>
            </w:tcBorders>
            <w:vAlign w:val="center"/>
          </w:tcPr>
          <w:p w14:paraId="7DDC9C1B">
            <w:pPr>
              <w:pStyle w:val="29"/>
              <w:rPr>
                <w:color w:val="0000FF"/>
              </w:rPr>
            </w:pPr>
            <w:r>
              <w:rPr>
                <w:color w:val="0000FF"/>
              </w:rPr>
              <w:t>/</w:t>
            </w:r>
          </w:p>
        </w:tc>
        <w:tc>
          <w:tcPr>
            <w:tcW w:w="1488" w:type="dxa"/>
            <w:tcBorders>
              <w:tl2br w:val="nil"/>
              <w:tr2bl w:val="nil"/>
            </w:tcBorders>
            <w:vAlign w:val="center"/>
          </w:tcPr>
          <w:p w14:paraId="135DB64A">
            <w:pPr>
              <w:pStyle w:val="29"/>
              <w:rPr>
                <w:color w:val="0000FF"/>
              </w:rPr>
            </w:pPr>
            <w:r>
              <w:rPr>
                <w:color w:val="0000FF"/>
              </w:rPr>
              <w:t>/</w:t>
            </w:r>
          </w:p>
        </w:tc>
        <w:tc>
          <w:tcPr>
            <w:tcW w:w="1558" w:type="dxa"/>
            <w:tcBorders>
              <w:tl2br w:val="nil"/>
              <w:tr2bl w:val="nil"/>
            </w:tcBorders>
            <w:vAlign w:val="center"/>
          </w:tcPr>
          <w:p w14:paraId="0D26FFBD">
            <w:pPr>
              <w:pStyle w:val="29"/>
              <w:rPr>
                <w:color w:val="0000FF"/>
              </w:rPr>
            </w:pPr>
            <w:r>
              <w:rPr>
                <w:color w:val="0000FF"/>
              </w:rPr>
              <w:t>/</w:t>
            </w:r>
          </w:p>
        </w:tc>
        <w:tc>
          <w:tcPr>
            <w:tcW w:w="1747" w:type="dxa"/>
            <w:tcBorders>
              <w:tl2br w:val="nil"/>
              <w:tr2bl w:val="nil"/>
            </w:tcBorders>
            <w:vAlign w:val="center"/>
          </w:tcPr>
          <w:p w14:paraId="2C2DBABF">
            <w:pPr>
              <w:pStyle w:val="29"/>
              <w:rPr>
                <w:color w:val="0000FF"/>
              </w:rPr>
            </w:pPr>
            <w:r>
              <w:rPr>
                <w:color w:val="0000FF"/>
              </w:rPr>
              <w:t>0.028</w:t>
            </w:r>
          </w:p>
        </w:tc>
        <w:tc>
          <w:tcPr>
            <w:tcW w:w="1917" w:type="dxa"/>
            <w:tcBorders>
              <w:tl2br w:val="nil"/>
              <w:tr2bl w:val="nil"/>
            </w:tcBorders>
            <w:vAlign w:val="center"/>
          </w:tcPr>
          <w:p w14:paraId="7161F6FE">
            <w:pPr>
              <w:pStyle w:val="29"/>
              <w:rPr>
                <w:color w:val="0000FF"/>
              </w:rPr>
            </w:pPr>
            <w:r>
              <w:rPr>
                <w:color w:val="0000FF"/>
              </w:rPr>
              <w:t>/</w:t>
            </w:r>
          </w:p>
        </w:tc>
        <w:tc>
          <w:tcPr>
            <w:tcW w:w="2265" w:type="dxa"/>
            <w:tcBorders>
              <w:tl2br w:val="nil"/>
              <w:tr2bl w:val="nil"/>
            </w:tcBorders>
            <w:shd w:val="clear" w:color="auto" w:fill="auto"/>
            <w:vAlign w:val="center"/>
          </w:tcPr>
          <w:p w14:paraId="564D64A9">
            <w:pPr>
              <w:pStyle w:val="29"/>
              <w:rPr>
                <w:color w:val="0000FF"/>
              </w:rPr>
            </w:pPr>
            <w:r>
              <w:rPr>
                <w:color w:val="0000FF"/>
              </w:rPr>
              <w:t>0.028</w:t>
            </w:r>
          </w:p>
        </w:tc>
        <w:tc>
          <w:tcPr>
            <w:tcW w:w="1057" w:type="dxa"/>
            <w:tcBorders>
              <w:tl2br w:val="nil"/>
              <w:tr2bl w:val="nil"/>
            </w:tcBorders>
            <w:shd w:val="clear" w:color="auto" w:fill="auto"/>
            <w:vAlign w:val="center"/>
          </w:tcPr>
          <w:p w14:paraId="721B80EE">
            <w:pPr>
              <w:pStyle w:val="29"/>
              <w:rPr>
                <w:color w:val="0000FF"/>
              </w:rPr>
            </w:pPr>
            <w:r>
              <w:rPr>
                <w:rFonts w:hint="eastAsia"/>
                <w:color w:val="0000FF"/>
              </w:rPr>
              <w:t>+</w:t>
            </w:r>
            <w:r>
              <w:rPr>
                <w:color w:val="0000FF"/>
              </w:rPr>
              <w:t>0.028</w:t>
            </w:r>
          </w:p>
        </w:tc>
      </w:tr>
      <w:tr w14:paraId="1FBC8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1A80A993">
            <w:pPr>
              <w:pStyle w:val="29"/>
              <w:rPr>
                <w:color w:val="0000FF"/>
              </w:rPr>
            </w:pPr>
          </w:p>
        </w:tc>
        <w:tc>
          <w:tcPr>
            <w:tcW w:w="1815" w:type="dxa"/>
            <w:tcBorders>
              <w:tl2br w:val="nil"/>
              <w:tr2bl w:val="nil"/>
            </w:tcBorders>
            <w:vAlign w:val="center"/>
          </w:tcPr>
          <w:p w14:paraId="54F620B4">
            <w:pPr>
              <w:pStyle w:val="29"/>
              <w:rPr>
                <w:color w:val="0000FF"/>
              </w:rPr>
            </w:pPr>
            <w:r>
              <w:rPr>
                <w:color w:val="0000FF"/>
              </w:rPr>
              <w:t>颗粒物</w:t>
            </w:r>
          </w:p>
        </w:tc>
        <w:tc>
          <w:tcPr>
            <w:tcW w:w="1512" w:type="dxa"/>
            <w:tcBorders>
              <w:tl2br w:val="nil"/>
              <w:tr2bl w:val="nil"/>
            </w:tcBorders>
            <w:vAlign w:val="center"/>
          </w:tcPr>
          <w:p w14:paraId="01516AFE">
            <w:pPr>
              <w:pStyle w:val="29"/>
              <w:rPr>
                <w:color w:val="0000FF"/>
              </w:rPr>
            </w:pPr>
            <w:r>
              <w:rPr>
                <w:color w:val="0000FF"/>
              </w:rPr>
              <w:t>/</w:t>
            </w:r>
          </w:p>
        </w:tc>
        <w:tc>
          <w:tcPr>
            <w:tcW w:w="1488" w:type="dxa"/>
            <w:tcBorders>
              <w:tl2br w:val="nil"/>
              <w:tr2bl w:val="nil"/>
            </w:tcBorders>
            <w:vAlign w:val="center"/>
          </w:tcPr>
          <w:p w14:paraId="2B823E55">
            <w:pPr>
              <w:pStyle w:val="29"/>
              <w:rPr>
                <w:color w:val="0000FF"/>
              </w:rPr>
            </w:pPr>
            <w:r>
              <w:rPr>
                <w:color w:val="0000FF"/>
              </w:rPr>
              <w:t>/</w:t>
            </w:r>
          </w:p>
        </w:tc>
        <w:tc>
          <w:tcPr>
            <w:tcW w:w="1558" w:type="dxa"/>
            <w:tcBorders>
              <w:tl2br w:val="nil"/>
              <w:tr2bl w:val="nil"/>
            </w:tcBorders>
            <w:vAlign w:val="center"/>
          </w:tcPr>
          <w:p w14:paraId="3E9E153A">
            <w:pPr>
              <w:pStyle w:val="29"/>
              <w:rPr>
                <w:color w:val="0000FF"/>
              </w:rPr>
            </w:pPr>
            <w:r>
              <w:rPr>
                <w:color w:val="0000FF"/>
              </w:rPr>
              <w:t>/</w:t>
            </w:r>
          </w:p>
        </w:tc>
        <w:tc>
          <w:tcPr>
            <w:tcW w:w="1747" w:type="dxa"/>
            <w:tcBorders>
              <w:tl2br w:val="nil"/>
              <w:tr2bl w:val="nil"/>
            </w:tcBorders>
            <w:vAlign w:val="center"/>
          </w:tcPr>
          <w:p w14:paraId="51A128F3">
            <w:pPr>
              <w:pStyle w:val="29"/>
              <w:rPr>
                <w:color w:val="0000FF"/>
              </w:rPr>
            </w:pPr>
            <w:r>
              <w:rPr>
                <w:bCs/>
                <w:color w:val="0000FF"/>
              </w:rPr>
              <w:t>0.000436</w:t>
            </w:r>
          </w:p>
        </w:tc>
        <w:tc>
          <w:tcPr>
            <w:tcW w:w="1917" w:type="dxa"/>
            <w:tcBorders>
              <w:tl2br w:val="nil"/>
              <w:tr2bl w:val="nil"/>
            </w:tcBorders>
            <w:vAlign w:val="center"/>
          </w:tcPr>
          <w:p w14:paraId="2EACD063">
            <w:pPr>
              <w:pStyle w:val="29"/>
              <w:rPr>
                <w:color w:val="0000FF"/>
              </w:rPr>
            </w:pPr>
            <w:r>
              <w:rPr>
                <w:color w:val="0000FF"/>
              </w:rPr>
              <w:t>/</w:t>
            </w:r>
          </w:p>
        </w:tc>
        <w:tc>
          <w:tcPr>
            <w:tcW w:w="2265" w:type="dxa"/>
            <w:tcBorders>
              <w:tl2br w:val="nil"/>
              <w:tr2bl w:val="nil"/>
            </w:tcBorders>
            <w:shd w:val="clear" w:color="auto" w:fill="auto"/>
            <w:vAlign w:val="center"/>
          </w:tcPr>
          <w:p w14:paraId="36C34533">
            <w:pPr>
              <w:pStyle w:val="29"/>
              <w:rPr>
                <w:color w:val="0000FF"/>
              </w:rPr>
            </w:pPr>
            <w:r>
              <w:rPr>
                <w:bCs/>
                <w:color w:val="0000FF"/>
              </w:rPr>
              <w:t>0.000436</w:t>
            </w:r>
          </w:p>
        </w:tc>
        <w:tc>
          <w:tcPr>
            <w:tcW w:w="1057" w:type="dxa"/>
            <w:tcBorders>
              <w:tl2br w:val="nil"/>
              <w:tr2bl w:val="nil"/>
            </w:tcBorders>
            <w:shd w:val="clear" w:color="auto" w:fill="auto"/>
            <w:vAlign w:val="center"/>
          </w:tcPr>
          <w:p w14:paraId="7C428A31">
            <w:pPr>
              <w:pStyle w:val="29"/>
              <w:rPr>
                <w:color w:val="0000FF"/>
              </w:rPr>
            </w:pPr>
            <w:r>
              <w:rPr>
                <w:rFonts w:hint="eastAsia"/>
                <w:bCs/>
                <w:color w:val="0000FF"/>
              </w:rPr>
              <w:t>+</w:t>
            </w:r>
            <w:r>
              <w:rPr>
                <w:bCs/>
                <w:color w:val="0000FF"/>
              </w:rPr>
              <w:t>0.000436</w:t>
            </w:r>
          </w:p>
        </w:tc>
      </w:tr>
      <w:tr w14:paraId="775C0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1E16F94D">
            <w:pPr>
              <w:pStyle w:val="29"/>
              <w:rPr>
                <w:color w:val="0000FF"/>
              </w:rPr>
            </w:pPr>
          </w:p>
        </w:tc>
        <w:tc>
          <w:tcPr>
            <w:tcW w:w="1815" w:type="dxa"/>
            <w:tcBorders>
              <w:tl2br w:val="nil"/>
              <w:tr2bl w:val="nil"/>
            </w:tcBorders>
            <w:vAlign w:val="center"/>
          </w:tcPr>
          <w:p w14:paraId="7266BA50">
            <w:pPr>
              <w:pStyle w:val="29"/>
              <w:rPr>
                <w:color w:val="0000FF"/>
              </w:rPr>
            </w:pPr>
            <w:r>
              <w:rPr>
                <w:color w:val="0000FF"/>
              </w:rPr>
              <w:t>NO</w:t>
            </w:r>
            <w:r>
              <w:rPr>
                <w:color w:val="0000FF"/>
                <w:vertAlign w:val="subscript"/>
              </w:rPr>
              <w:t>X</w:t>
            </w:r>
          </w:p>
        </w:tc>
        <w:tc>
          <w:tcPr>
            <w:tcW w:w="1512" w:type="dxa"/>
            <w:tcBorders>
              <w:tl2br w:val="nil"/>
              <w:tr2bl w:val="nil"/>
            </w:tcBorders>
            <w:vAlign w:val="center"/>
          </w:tcPr>
          <w:p w14:paraId="6A0689DE">
            <w:pPr>
              <w:pStyle w:val="29"/>
              <w:rPr>
                <w:color w:val="0000FF"/>
              </w:rPr>
            </w:pPr>
            <w:r>
              <w:rPr>
                <w:color w:val="0000FF"/>
              </w:rPr>
              <w:t>/</w:t>
            </w:r>
          </w:p>
        </w:tc>
        <w:tc>
          <w:tcPr>
            <w:tcW w:w="1488" w:type="dxa"/>
            <w:tcBorders>
              <w:tl2br w:val="nil"/>
              <w:tr2bl w:val="nil"/>
            </w:tcBorders>
            <w:vAlign w:val="center"/>
          </w:tcPr>
          <w:p w14:paraId="17E3FEC4">
            <w:pPr>
              <w:pStyle w:val="29"/>
              <w:rPr>
                <w:color w:val="0000FF"/>
              </w:rPr>
            </w:pPr>
            <w:r>
              <w:rPr>
                <w:color w:val="0000FF"/>
              </w:rPr>
              <w:t>/</w:t>
            </w:r>
          </w:p>
        </w:tc>
        <w:tc>
          <w:tcPr>
            <w:tcW w:w="1558" w:type="dxa"/>
            <w:tcBorders>
              <w:tl2br w:val="nil"/>
              <w:tr2bl w:val="nil"/>
            </w:tcBorders>
            <w:vAlign w:val="center"/>
          </w:tcPr>
          <w:p w14:paraId="20B15502">
            <w:pPr>
              <w:pStyle w:val="29"/>
              <w:rPr>
                <w:color w:val="0000FF"/>
              </w:rPr>
            </w:pPr>
            <w:r>
              <w:rPr>
                <w:color w:val="0000FF"/>
              </w:rPr>
              <w:t>/</w:t>
            </w:r>
          </w:p>
        </w:tc>
        <w:tc>
          <w:tcPr>
            <w:tcW w:w="1747" w:type="dxa"/>
            <w:tcBorders>
              <w:tl2br w:val="nil"/>
              <w:tr2bl w:val="nil"/>
            </w:tcBorders>
            <w:vAlign w:val="center"/>
          </w:tcPr>
          <w:p w14:paraId="4E170338">
            <w:pPr>
              <w:pStyle w:val="29"/>
              <w:rPr>
                <w:color w:val="0000FF"/>
              </w:rPr>
            </w:pPr>
            <w:r>
              <w:rPr>
                <w:bCs/>
                <w:color w:val="0000FF"/>
              </w:rPr>
              <w:t>0.00605</w:t>
            </w:r>
          </w:p>
        </w:tc>
        <w:tc>
          <w:tcPr>
            <w:tcW w:w="1917" w:type="dxa"/>
            <w:tcBorders>
              <w:tl2br w:val="nil"/>
              <w:tr2bl w:val="nil"/>
            </w:tcBorders>
            <w:vAlign w:val="center"/>
          </w:tcPr>
          <w:p w14:paraId="63E35ED9">
            <w:pPr>
              <w:pStyle w:val="29"/>
              <w:rPr>
                <w:color w:val="0000FF"/>
              </w:rPr>
            </w:pPr>
            <w:r>
              <w:rPr>
                <w:color w:val="0000FF"/>
              </w:rPr>
              <w:t>/</w:t>
            </w:r>
          </w:p>
        </w:tc>
        <w:tc>
          <w:tcPr>
            <w:tcW w:w="2265" w:type="dxa"/>
            <w:tcBorders>
              <w:tl2br w:val="nil"/>
              <w:tr2bl w:val="nil"/>
            </w:tcBorders>
            <w:shd w:val="clear" w:color="auto" w:fill="auto"/>
            <w:vAlign w:val="center"/>
          </w:tcPr>
          <w:p w14:paraId="24BA8D11">
            <w:pPr>
              <w:pStyle w:val="29"/>
              <w:rPr>
                <w:color w:val="0000FF"/>
              </w:rPr>
            </w:pPr>
            <w:r>
              <w:rPr>
                <w:bCs/>
                <w:color w:val="0000FF"/>
              </w:rPr>
              <w:t>0.00605</w:t>
            </w:r>
          </w:p>
        </w:tc>
        <w:tc>
          <w:tcPr>
            <w:tcW w:w="1057" w:type="dxa"/>
            <w:tcBorders>
              <w:tl2br w:val="nil"/>
              <w:tr2bl w:val="nil"/>
            </w:tcBorders>
            <w:shd w:val="clear" w:color="auto" w:fill="auto"/>
            <w:vAlign w:val="center"/>
          </w:tcPr>
          <w:p w14:paraId="23C27DAC">
            <w:pPr>
              <w:pStyle w:val="29"/>
              <w:rPr>
                <w:color w:val="0000FF"/>
              </w:rPr>
            </w:pPr>
            <w:r>
              <w:rPr>
                <w:rFonts w:hint="eastAsia"/>
                <w:bCs/>
                <w:color w:val="0000FF"/>
              </w:rPr>
              <w:t>+</w:t>
            </w:r>
            <w:r>
              <w:rPr>
                <w:bCs/>
                <w:color w:val="0000FF"/>
              </w:rPr>
              <w:t>0.00605</w:t>
            </w:r>
          </w:p>
        </w:tc>
      </w:tr>
      <w:tr w14:paraId="2E1B4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209F49AC">
            <w:pPr>
              <w:pStyle w:val="29"/>
              <w:rPr>
                <w:color w:val="0000FF"/>
              </w:rPr>
            </w:pPr>
          </w:p>
        </w:tc>
        <w:tc>
          <w:tcPr>
            <w:tcW w:w="1815" w:type="dxa"/>
            <w:tcBorders>
              <w:tl2br w:val="nil"/>
              <w:tr2bl w:val="nil"/>
            </w:tcBorders>
            <w:vAlign w:val="center"/>
          </w:tcPr>
          <w:p w14:paraId="19DA0C73">
            <w:pPr>
              <w:pStyle w:val="29"/>
              <w:rPr>
                <w:color w:val="0000FF"/>
              </w:rPr>
            </w:pPr>
            <w:r>
              <w:rPr>
                <w:color w:val="0000FF"/>
              </w:rPr>
              <w:t>SO</w:t>
            </w:r>
            <w:r>
              <w:rPr>
                <w:color w:val="0000FF"/>
                <w:vertAlign w:val="subscript"/>
              </w:rPr>
              <w:t>2</w:t>
            </w:r>
          </w:p>
        </w:tc>
        <w:tc>
          <w:tcPr>
            <w:tcW w:w="1512" w:type="dxa"/>
            <w:tcBorders>
              <w:tl2br w:val="nil"/>
              <w:tr2bl w:val="nil"/>
            </w:tcBorders>
            <w:vAlign w:val="center"/>
          </w:tcPr>
          <w:p w14:paraId="5D1C5DC2">
            <w:pPr>
              <w:pStyle w:val="29"/>
              <w:rPr>
                <w:color w:val="0000FF"/>
              </w:rPr>
            </w:pPr>
            <w:r>
              <w:rPr>
                <w:color w:val="0000FF"/>
              </w:rPr>
              <w:t>/</w:t>
            </w:r>
          </w:p>
        </w:tc>
        <w:tc>
          <w:tcPr>
            <w:tcW w:w="1488" w:type="dxa"/>
            <w:tcBorders>
              <w:tl2br w:val="nil"/>
              <w:tr2bl w:val="nil"/>
            </w:tcBorders>
            <w:vAlign w:val="center"/>
          </w:tcPr>
          <w:p w14:paraId="2445CE58">
            <w:pPr>
              <w:pStyle w:val="29"/>
              <w:rPr>
                <w:color w:val="0000FF"/>
              </w:rPr>
            </w:pPr>
            <w:r>
              <w:rPr>
                <w:color w:val="0000FF"/>
              </w:rPr>
              <w:t>/</w:t>
            </w:r>
          </w:p>
        </w:tc>
        <w:tc>
          <w:tcPr>
            <w:tcW w:w="1558" w:type="dxa"/>
            <w:tcBorders>
              <w:tl2br w:val="nil"/>
              <w:tr2bl w:val="nil"/>
            </w:tcBorders>
            <w:vAlign w:val="center"/>
          </w:tcPr>
          <w:p w14:paraId="2509CAE8">
            <w:pPr>
              <w:pStyle w:val="29"/>
              <w:rPr>
                <w:color w:val="0000FF"/>
              </w:rPr>
            </w:pPr>
            <w:r>
              <w:rPr>
                <w:color w:val="0000FF"/>
              </w:rPr>
              <w:t>/</w:t>
            </w:r>
          </w:p>
        </w:tc>
        <w:tc>
          <w:tcPr>
            <w:tcW w:w="1747" w:type="dxa"/>
            <w:tcBorders>
              <w:tl2br w:val="nil"/>
              <w:tr2bl w:val="nil"/>
            </w:tcBorders>
            <w:vAlign w:val="center"/>
          </w:tcPr>
          <w:p w14:paraId="03B9DDF5">
            <w:pPr>
              <w:pStyle w:val="29"/>
              <w:rPr>
                <w:color w:val="0000FF"/>
              </w:rPr>
            </w:pPr>
            <w:r>
              <w:rPr>
                <w:bCs/>
                <w:color w:val="0000FF"/>
              </w:rPr>
              <w:t>0.00126</w:t>
            </w:r>
          </w:p>
        </w:tc>
        <w:tc>
          <w:tcPr>
            <w:tcW w:w="1917" w:type="dxa"/>
            <w:tcBorders>
              <w:tl2br w:val="nil"/>
              <w:tr2bl w:val="nil"/>
            </w:tcBorders>
            <w:vAlign w:val="center"/>
          </w:tcPr>
          <w:p w14:paraId="0C84B1E9">
            <w:pPr>
              <w:pStyle w:val="29"/>
              <w:rPr>
                <w:color w:val="0000FF"/>
              </w:rPr>
            </w:pPr>
            <w:r>
              <w:rPr>
                <w:color w:val="0000FF"/>
              </w:rPr>
              <w:t>/</w:t>
            </w:r>
          </w:p>
        </w:tc>
        <w:tc>
          <w:tcPr>
            <w:tcW w:w="2265" w:type="dxa"/>
            <w:tcBorders>
              <w:tl2br w:val="nil"/>
              <w:tr2bl w:val="nil"/>
            </w:tcBorders>
            <w:shd w:val="clear" w:color="auto" w:fill="auto"/>
            <w:vAlign w:val="center"/>
          </w:tcPr>
          <w:p w14:paraId="59A9EA12">
            <w:pPr>
              <w:pStyle w:val="29"/>
              <w:rPr>
                <w:color w:val="0000FF"/>
              </w:rPr>
            </w:pPr>
            <w:r>
              <w:rPr>
                <w:bCs/>
                <w:color w:val="0000FF"/>
              </w:rPr>
              <w:t>0.00126</w:t>
            </w:r>
          </w:p>
        </w:tc>
        <w:tc>
          <w:tcPr>
            <w:tcW w:w="1057" w:type="dxa"/>
            <w:tcBorders>
              <w:tl2br w:val="nil"/>
              <w:tr2bl w:val="nil"/>
            </w:tcBorders>
            <w:shd w:val="clear" w:color="auto" w:fill="auto"/>
            <w:vAlign w:val="center"/>
          </w:tcPr>
          <w:p w14:paraId="668597BE">
            <w:pPr>
              <w:pStyle w:val="29"/>
              <w:rPr>
                <w:color w:val="0000FF"/>
              </w:rPr>
            </w:pPr>
            <w:r>
              <w:rPr>
                <w:rFonts w:hint="eastAsia"/>
                <w:bCs/>
                <w:color w:val="0000FF"/>
              </w:rPr>
              <w:t>+</w:t>
            </w:r>
            <w:r>
              <w:rPr>
                <w:bCs/>
                <w:color w:val="0000FF"/>
              </w:rPr>
              <w:t>0.00126</w:t>
            </w:r>
          </w:p>
        </w:tc>
      </w:tr>
      <w:tr w14:paraId="5F157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restart"/>
            <w:tcBorders>
              <w:tl2br w:val="nil"/>
              <w:tr2bl w:val="nil"/>
            </w:tcBorders>
            <w:vAlign w:val="center"/>
          </w:tcPr>
          <w:p w14:paraId="668FA85D">
            <w:pPr>
              <w:pStyle w:val="29"/>
              <w:rPr>
                <w:color w:val="0000FF"/>
              </w:rPr>
            </w:pPr>
            <w:r>
              <w:rPr>
                <w:color w:val="0000FF"/>
              </w:rPr>
              <w:t>废水</w:t>
            </w:r>
          </w:p>
        </w:tc>
        <w:tc>
          <w:tcPr>
            <w:tcW w:w="1815" w:type="dxa"/>
            <w:tcBorders>
              <w:tl2br w:val="nil"/>
              <w:tr2bl w:val="nil"/>
            </w:tcBorders>
            <w:vAlign w:val="center"/>
          </w:tcPr>
          <w:p w14:paraId="303AF4D7">
            <w:pPr>
              <w:pStyle w:val="29"/>
              <w:rPr>
                <w:color w:val="0000FF"/>
              </w:rPr>
            </w:pPr>
            <w:r>
              <w:rPr>
                <w:color w:val="0000FF"/>
              </w:rPr>
              <w:t>废水量</w:t>
            </w:r>
          </w:p>
        </w:tc>
        <w:tc>
          <w:tcPr>
            <w:tcW w:w="1512" w:type="dxa"/>
            <w:tcBorders>
              <w:tl2br w:val="nil"/>
              <w:tr2bl w:val="nil"/>
            </w:tcBorders>
            <w:vAlign w:val="center"/>
          </w:tcPr>
          <w:p w14:paraId="60CFBC03">
            <w:pPr>
              <w:pStyle w:val="29"/>
              <w:rPr>
                <w:color w:val="0000FF"/>
              </w:rPr>
            </w:pPr>
            <w:r>
              <w:rPr>
                <w:color w:val="0000FF"/>
              </w:rPr>
              <w:t>/</w:t>
            </w:r>
          </w:p>
        </w:tc>
        <w:tc>
          <w:tcPr>
            <w:tcW w:w="1488" w:type="dxa"/>
            <w:tcBorders>
              <w:tl2br w:val="nil"/>
              <w:tr2bl w:val="nil"/>
            </w:tcBorders>
            <w:vAlign w:val="center"/>
          </w:tcPr>
          <w:p w14:paraId="1C6CAC1D">
            <w:pPr>
              <w:pStyle w:val="29"/>
              <w:rPr>
                <w:color w:val="0000FF"/>
              </w:rPr>
            </w:pPr>
            <w:r>
              <w:rPr>
                <w:color w:val="0000FF"/>
              </w:rPr>
              <w:t>/</w:t>
            </w:r>
          </w:p>
        </w:tc>
        <w:tc>
          <w:tcPr>
            <w:tcW w:w="1558" w:type="dxa"/>
            <w:tcBorders>
              <w:tl2br w:val="nil"/>
              <w:tr2bl w:val="nil"/>
            </w:tcBorders>
            <w:vAlign w:val="center"/>
          </w:tcPr>
          <w:p w14:paraId="10139307">
            <w:pPr>
              <w:pStyle w:val="29"/>
              <w:rPr>
                <w:color w:val="0000FF"/>
              </w:rPr>
            </w:pPr>
            <w:r>
              <w:rPr>
                <w:color w:val="0000FF"/>
              </w:rPr>
              <w:t>/</w:t>
            </w:r>
          </w:p>
        </w:tc>
        <w:tc>
          <w:tcPr>
            <w:tcW w:w="1747" w:type="dxa"/>
            <w:tcBorders>
              <w:tl2br w:val="nil"/>
              <w:tr2bl w:val="nil"/>
            </w:tcBorders>
            <w:vAlign w:val="center"/>
          </w:tcPr>
          <w:p w14:paraId="59FC39C0">
            <w:pPr>
              <w:pStyle w:val="29"/>
              <w:rPr>
                <w:color w:val="0000FF"/>
              </w:rPr>
            </w:pPr>
            <w:r>
              <w:rPr>
                <w:color w:val="0000FF"/>
              </w:rPr>
              <w:t>/</w:t>
            </w:r>
          </w:p>
        </w:tc>
        <w:tc>
          <w:tcPr>
            <w:tcW w:w="1917" w:type="dxa"/>
            <w:tcBorders>
              <w:tl2br w:val="nil"/>
              <w:tr2bl w:val="nil"/>
            </w:tcBorders>
            <w:vAlign w:val="center"/>
          </w:tcPr>
          <w:p w14:paraId="3C405C28">
            <w:pPr>
              <w:pStyle w:val="29"/>
              <w:rPr>
                <w:color w:val="0000FF"/>
              </w:rPr>
            </w:pPr>
            <w:r>
              <w:rPr>
                <w:color w:val="0000FF"/>
              </w:rPr>
              <w:t>/</w:t>
            </w:r>
          </w:p>
        </w:tc>
        <w:tc>
          <w:tcPr>
            <w:tcW w:w="2265" w:type="dxa"/>
            <w:tcBorders>
              <w:tl2br w:val="nil"/>
              <w:tr2bl w:val="nil"/>
            </w:tcBorders>
            <w:shd w:val="clear" w:color="auto" w:fill="auto"/>
            <w:vAlign w:val="center"/>
          </w:tcPr>
          <w:p w14:paraId="0C1C4978">
            <w:pPr>
              <w:pStyle w:val="29"/>
              <w:rPr>
                <w:color w:val="0000FF"/>
              </w:rPr>
            </w:pPr>
            <w:r>
              <w:rPr>
                <w:color w:val="0000FF"/>
              </w:rPr>
              <w:t>/</w:t>
            </w:r>
          </w:p>
        </w:tc>
        <w:tc>
          <w:tcPr>
            <w:tcW w:w="1057" w:type="dxa"/>
            <w:tcBorders>
              <w:tl2br w:val="nil"/>
              <w:tr2bl w:val="nil"/>
            </w:tcBorders>
            <w:shd w:val="clear" w:color="auto" w:fill="auto"/>
            <w:vAlign w:val="center"/>
          </w:tcPr>
          <w:p w14:paraId="343B3964">
            <w:pPr>
              <w:pStyle w:val="29"/>
              <w:rPr>
                <w:color w:val="0000FF"/>
              </w:rPr>
            </w:pPr>
            <w:r>
              <w:rPr>
                <w:color w:val="0000FF"/>
              </w:rPr>
              <w:t>/</w:t>
            </w:r>
          </w:p>
        </w:tc>
      </w:tr>
      <w:tr w14:paraId="5F9CD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56B7173E">
            <w:pPr>
              <w:pStyle w:val="29"/>
              <w:rPr>
                <w:color w:val="0000FF"/>
              </w:rPr>
            </w:pPr>
          </w:p>
        </w:tc>
        <w:tc>
          <w:tcPr>
            <w:tcW w:w="1815" w:type="dxa"/>
            <w:tcBorders>
              <w:tl2br w:val="nil"/>
              <w:tr2bl w:val="nil"/>
            </w:tcBorders>
            <w:vAlign w:val="center"/>
          </w:tcPr>
          <w:p w14:paraId="49038E59">
            <w:pPr>
              <w:pStyle w:val="29"/>
              <w:rPr>
                <w:color w:val="0000FF"/>
              </w:rPr>
            </w:pPr>
            <w:r>
              <w:rPr>
                <w:color w:val="0000FF"/>
              </w:rPr>
              <w:t>COD</w:t>
            </w:r>
          </w:p>
        </w:tc>
        <w:tc>
          <w:tcPr>
            <w:tcW w:w="1512" w:type="dxa"/>
            <w:tcBorders>
              <w:tl2br w:val="nil"/>
              <w:tr2bl w:val="nil"/>
            </w:tcBorders>
            <w:vAlign w:val="center"/>
          </w:tcPr>
          <w:p w14:paraId="2878CA98">
            <w:pPr>
              <w:pStyle w:val="29"/>
              <w:rPr>
                <w:color w:val="0000FF"/>
              </w:rPr>
            </w:pPr>
            <w:r>
              <w:rPr>
                <w:color w:val="0000FF"/>
              </w:rPr>
              <w:t>/</w:t>
            </w:r>
          </w:p>
        </w:tc>
        <w:tc>
          <w:tcPr>
            <w:tcW w:w="1488" w:type="dxa"/>
            <w:tcBorders>
              <w:tl2br w:val="nil"/>
              <w:tr2bl w:val="nil"/>
            </w:tcBorders>
            <w:vAlign w:val="center"/>
          </w:tcPr>
          <w:p w14:paraId="3D00F007">
            <w:pPr>
              <w:pStyle w:val="29"/>
              <w:rPr>
                <w:color w:val="0000FF"/>
              </w:rPr>
            </w:pPr>
            <w:r>
              <w:rPr>
                <w:color w:val="0000FF"/>
              </w:rPr>
              <w:t>/</w:t>
            </w:r>
          </w:p>
        </w:tc>
        <w:tc>
          <w:tcPr>
            <w:tcW w:w="1558" w:type="dxa"/>
            <w:tcBorders>
              <w:tl2br w:val="nil"/>
              <w:tr2bl w:val="nil"/>
            </w:tcBorders>
            <w:vAlign w:val="center"/>
          </w:tcPr>
          <w:p w14:paraId="680508F8">
            <w:pPr>
              <w:pStyle w:val="29"/>
              <w:rPr>
                <w:color w:val="0000FF"/>
              </w:rPr>
            </w:pPr>
            <w:r>
              <w:rPr>
                <w:color w:val="0000FF"/>
              </w:rPr>
              <w:t>/</w:t>
            </w:r>
          </w:p>
        </w:tc>
        <w:tc>
          <w:tcPr>
            <w:tcW w:w="1747" w:type="dxa"/>
            <w:tcBorders>
              <w:tl2br w:val="nil"/>
              <w:tr2bl w:val="nil"/>
            </w:tcBorders>
            <w:vAlign w:val="center"/>
          </w:tcPr>
          <w:p w14:paraId="2435F66D">
            <w:pPr>
              <w:pStyle w:val="29"/>
              <w:rPr>
                <w:color w:val="0000FF"/>
              </w:rPr>
            </w:pPr>
            <w:r>
              <w:rPr>
                <w:color w:val="0000FF"/>
              </w:rPr>
              <w:t>/</w:t>
            </w:r>
          </w:p>
        </w:tc>
        <w:tc>
          <w:tcPr>
            <w:tcW w:w="1917" w:type="dxa"/>
            <w:tcBorders>
              <w:tl2br w:val="nil"/>
              <w:tr2bl w:val="nil"/>
            </w:tcBorders>
            <w:vAlign w:val="center"/>
          </w:tcPr>
          <w:p w14:paraId="453B6F64">
            <w:pPr>
              <w:pStyle w:val="29"/>
              <w:rPr>
                <w:color w:val="0000FF"/>
              </w:rPr>
            </w:pPr>
            <w:r>
              <w:rPr>
                <w:color w:val="0000FF"/>
              </w:rPr>
              <w:t>/</w:t>
            </w:r>
          </w:p>
        </w:tc>
        <w:tc>
          <w:tcPr>
            <w:tcW w:w="2265" w:type="dxa"/>
            <w:tcBorders>
              <w:tl2br w:val="nil"/>
              <w:tr2bl w:val="nil"/>
            </w:tcBorders>
            <w:shd w:val="clear" w:color="auto" w:fill="auto"/>
            <w:vAlign w:val="center"/>
          </w:tcPr>
          <w:p w14:paraId="142D2739">
            <w:pPr>
              <w:pStyle w:val="29"/>
              <w:rPr>
                <w:color w:val="0000FF"/>
              </w:rPr>
            </w:pPr>
            <w:r>
              <w:rPr>
                <w:color w:val="0000FF"/>
              </w:rPr>
              <w:t>/</w:t>
            </w:r>
          </w:p>
        </w:tc>
        <w:tc>
          <w:tcPr>
            <w:tcW w:w="1057" w:type="dxa"/>
            <w:tcBorders>
              <w:tl2br w:val="nil"/>
              <w:tr2bl w:val="nil"/>
            </w:tcBorders>
            <w:shd w:val="clear" w:color="auto" w:fill="auto"/>
            <w:vAlign w:val="center"/>
          </w:tcPr>
          <w:p w14:paraId="23466BA8">
            <w:pPr>
              <w:pStyle w:val="29"/>
              <w:rPr>
                <w:color w:val="0000FF"/>
              </w:rPr>
            </w:pPr>
            <w:r>
              <w:rPr>
                <w:color w:val="0000FF"/>
              </w:rPr>
              <w:t>/</w:t>
            </w:r>
          </w:p>
        </w:tc>
      </w:tr>
      <w:tr w14:paraId="4E65D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1FE97C2C">
            <w:pPr>
              <w:pStyle w:val="29"/>
              <w:rPr>
                <w:color w:val="0000FF"/>
              </w:rPr>
            </w:pPr>
          </w:p>
        </w:tc>
        <w:tc>
          <w:tcPr>
            <w:tcW w:w="1815" w:type="dxa"/>
            <w:tcBorders>
              <w:tl2br w:val="nil"/>
              <w:tr2bl w:val="nil"/>
            </w:tcBorders>
            <w:vAlign w:val="center"/>
          </w:tcPr>
          <w:p w14:paraId="5B4D5835">
            <w:pPr>
              <w:pStyle w:val="29"/>
              <w:rPr>
                <w:color w:val="0000FF"/>
              </w:rPr>
            </w:pPr>
            <w:r>
              <w:rPr>
                <w:color w:val="0000FF"/>
              </w:rPr>
              <w:t>NH</w:t>
            </w:r>
            <w:r>
              <w:rPr>
                <w:color w:val="0000FF"/>
                <w:vertAlign w:val="subscript"/>
              </w:rPr>
              <w:t>3</w:t>
            </w:r>
            <w:r>
              <w:rPr>
                <w:color w:val="0000FF"/>
              </w:rPr>
              <w:t>-N</w:t>
            </w:r>
          </w:p>
        </w:tc>
        <w:tc>
          <w:tcPr>
            <w:tcW w:w="1512" w:type="dxa"/>
            <w:tcBorders>
              <w:tl2br w:val="nil"/>
              <w:tr2bl w:val="nil"/>
            </w:tcBorders>
            <w:vAlign w:val="center"/>
          </w:tcPr>
          <w:p w14:paraId="413DDA3F">
            <w:pPr>
              <w:pStyle w:val="29"/>
              <w:rPr>
                <w:color w:val="0000FF"/>
              </w:rPr>
            </w:pPr>
            <w:r>
              <w:rPr>
                <w:color w:val="0000FF"/>
              </w:rPr>
              <w:t>/</w:t>
            </w:r>
          </w:p>
        </w:tc>
        <w:tc>
          <w:tcPr>
            <w:tcW w:w="1488" w:type="dxa"/>
            <w:tcBorders>
              <w:tl2br w:val="nil"/>
              <w:tr2bl w:val="nil"/>
            </w:tcBorders>
            <w:vAlign w:val="center"/>
          </w:tcPr>
          <w:p w14:paraId="7CEA796D">
            <w:pPr>
              <w:pStyle w:val="29"/>
              <w:rPr>
                <w:color w:val="0000FF"/>
              </w:rPr>
            </w:pPr>
            <w:r>
              <w:rPr>
                <w:color w:val="0000FF"/>
              </w:rPr>
              <w:t>/</w:t>
            </w:r>
          </w:p>
        </w:tc>
        <w:tc>
          <w:tcPr>
            <w:tcW w:w="1558" w:type="dxa"/>
            <w:tcBorders>
              <w:tl2br w:val="nil"/>
              <w:tr2bl w:val="nil"/>
            </w:tcBorders>
            <w:vAlign w:val="center"/>
          </w:tcPr>
          <w:p w14:paraId="4A4142EF">
            <w:pPr>
              <w:pStyle w:val="29"/>
              <w:rPr>
                <w:color w:val="0000FF"/>
              </w:rPr>
            </w:pPr>
            <w:r>
              <w:rPr>
                <w:color w:val="0000FF"/>
              </w:rPr>
              <w:t>/</w:t>
            </w:r>
          </w:p>
        </w:tc>
        <w:tc>
          <w:tcPr>
            <w:tcW w:w="1747" w:type="dxa"/>
            <w:tcBorders>
              <w:tl2br w:val="nil"/>
              <w:tr2bl w:val="nil"/>
            </w:tcBorders>
            <w:vAlign w:val="center"/>
          </w:tcPr>
          <w:p w14:paraId="44B199E0">
            <w:pPr>
              <w:pStyle w:val="29"/>
              <w:rPr>
                <w:color w:val="0000FF"/>
              </w:rPr>
            </w:pPr>
            <w:r>
              <w:rPr>
                <w:color w:val="0000FF"/>
              </w:rPr>
              <w:t>/</w:t>
            </w:r>
          </w:p>
        </w:tc>
        <w:tc>
          <w:tcPr>
            <w:tcW w:w="1917" w:type="dxa"/>
            <w:tcBorders>
              <w:tl2br w:val="nil"/>
              <w:tr2bl w:val="nil"/>
            </w:tcBorders>
            <w:vAlign w:val="center"/>
          </w:tcPr>
          <w:p w14:paraId="6C68F20D">
            <w:pPr>
              <w:pStyle w:val="29"/>
              <w:rPr>
                <w:color w:val="0000FF"/>
              </w:rPr>
            </w:pPr>
            <w:r>
              <w:rPr>
                <w:color w:val="0000FF"/>
              </w:rPr>
              <w:t>/</w:t>
            </w:r>
          </w:p>
        </w:tc>
        <w:tc>
          <w:tcPr>
            <w:tcW w:w="2265" w:type="dxa"/>
            <w:tcBorders>
              <w:tl2br w:val="nil"/>
              <w:tr2bl w:val="nil"/>
            </w:tcBorders>
            <w:shd w:val="clear" w:color="auto" w:fill="auto"/>
            <w:vAlign w:val="center"/>
          </w:tcPr>
          <w:p w14:paraId="111AC819">
            <w:pPr>
              <w:pStyle w:val="29"/>
              <w:rPr>
                <w:color w:val="0000FF"/>
              </w:rPr>
            </w:pPr>
            <w:r>
              <w:rPr>
                <w:color w:val="0000FF"/>
              </w:rPr>
              <w:t>/</w:t>
            </w:r>
          </w:p>
        </w:tc>
        <w:tc>
          <w:tcPr>
            <w:tcW w:w="1057" w:type="dxa"/>
            <w:tcBorders>
              <w:tl2br w:val="nil"/>
              <w:tr2bl w:val="nil"/>
            </w:tcBorders>
            <w:shd w:val="clear" w:color="auto" w:fill="auto"/>
            <w:vAlign w:val="center"/>
          </w:tcPr>
          <w:p w14:paraId="4B7B25CC">
            <w:pPr>
              <w:pStyle w:val="29"/>
              <w:rPr>
                <w:color w:val="0000FF"/>
              </w:rPr>
            </w:pPr>
            <w:r>
              <w:rPr>
                <w:color w:val="0000FF"/>
              </w:rPr>
              <w:t>/</w:t>
            </w:r>
          </w:p>
        </w:tc>
      </w:tr>
      <w:tr w14:paraId="1806B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restart"/>
            <w:tcBorders>
              <w:tl2br w:val="nil"/>
              <w:tr2bl w:val="nil"/>
            </w:tcBorders>
            <w:vAlign w:val="center"/>
          </w:tcPr>
          <w:p w14:paraId="350B05C0">
            <w:pPr>
              <w:pStyle w:val="29"/>
              <w:rPr>
                <w:color w:val="0000FF"/>
              </w:rPr>
            </w:pPr>
            <w:r>
              <w:rPr>
                <w:color w:val="0000FF"/>
              </w:rPr>
              <w:t>一般工业固体废物</w:t>
            </w:r>
          </w:p>
        </w:tc>
        <w:tc>
          <w:tcPr>
            <w:tcW w:w="1815" w:type="dxa"/>
            <w:tcBorders>
              <w:tl2br w:val="nil"/>
              <w:tr2bl w:val="nil"/>
            </w:tcBorders>
            <w:shd w:val="clear" w:color="auto" w:fill="auto"/>
            <w:vAlign w:val="center"/>
          </w:tcPr>
          <w:p w14:paraId="02E876D0">
            <w:pPr>
              <w:pStyle w:val="29"/>
              <w:rPr>
                <w:color w:val="0000FF"/>
              </w:rPr>
            </w:pPr>
            <w:r>
              <w:rPr>
                <w:color w:val="0000FF"/>
              </w:rPr>
              <w:t>厨余垃圾</w:t>
            </w:r>
          </w:p>
        </w:tc>
        <w:tc>
          <w:tcPr>
            <w:tcW w:w="1512" w:type="dxa"/>
            <w:tcBorders>
              <w:tl2br w:val="nil"/>
              <w:tr2bl w:val="nil"/>
            </w:tcBorders>
            <w:vAlign w:val="center"/>
          </w:tcPr>
          <w:p w14:paraId="2B22B7CB">
            <w:pPr>
              <w:pStyle w:val="29"/>
              <w:rPr>
                <w:color w:val="0000FF"/>
              </w:rPr>
            </w:pPr>
            <w:r>
              <w:rPr>
                <w:color w:val="0000FF"/>
              </w:rPr>
              <w:t>/</w:t>
            </w:r>
          </w:p>
        </w:tc>
        <w:tc>
          <w:tcPr>
            <w:tcW w:w="1488" w:type="dxa"/>
            <w:tcBorders>
              <w:tl2br w:val="nil"/>
              <w:tr2bl w:val="nil"/>
            </w:tcBorders>
            <w:vAlign w:val="center"/>
          </w:tcPr>
          <w:p w14:paraId="6DF1C35B">
            <w:pPr>
              <w:pStyle w:val="29"/>
              <w:rPr>
                <w:color w:val="0000FF"/>
              </w:rPr>
            </w:pPr>
            <w:r>
              <w:rPr>
                <w:color w:val="0000FF"/>
              </w:rPr>
              <w:t>/</w:t>
            </w:r>
          </w:p>
        </w:tc>
        <w:tc>
          <w:tcPr>
            <w:tcW w:w="1558" w:type="dxa"/>
            <w:tcBorders>
              <w:tl2br w:val="nil"/>
              <w:tr2bl w:val="nil"/>
            </w:tcBorders>
            <w:vAlign w:val="center"/>
          </w:tcPr>
          <w:p w14:paraId="6EE07E61">
            <w:pPr>
              <w:pStyle w:val="29"/>
              <w:rPr>
                <w:color w:val="0000FF"/>
              </w:rPr>
            </w:pPr>
            <w:r>
              <w:rPr>
                <w:color w:val="0000FF"/>
              </w:rPr>
              <w:t>/</w:t>
            </w:r>
          </w:p>
        </w:tc>
        <w:tc>
          <w:tcPr>
            <w:tcW w:w="1747" w:type="dxa"/>
            <w:tcBorders>
              <w:tl2br w:val="nil"/>
              <w:tr2bl w:val="nil"/>
            </w:tcBorders>
            <w:shd w:val="clear" w:color="auto" w:fill="auto"/>
            <w:vAlign w:val="center"/>
          </w:tcPr>
          <w:p w14:paraId="355D470D">
            <w:pPr>
              <w:pStyle w:val="29"/>
              <w:rPr>
                <w:color w:val="0000FF"/>
              </w:rPr>
            </w:pPr>
            <w:r>
              <w:rPr>
                <w:color w:val="0000FF"/>
              </w:rPr>
              <w:t>6.0</w:t>
            </w:r>
          </w:p>
        </w:tc>
        <w:tc>
          <w:tcPr>
            <w:tcW w:w="1917" w:type="dxa"/>
            <w:tcBorders>
              <w:tl2br w:val="nil"/>
              <w:tr2bl w:val="nil"/>
            </w:tcBorders>
            <w:vAlign w:val="center"/>
          </w:tcPr>
          <w:p w14:paraId="567B8248">
            <w:pPr>
              <w:pStyle w:val="29"/>
              <w:rPr>
                <w:color w:val="0000FF"/>
              </w:rPr>
            </w:pPr>
            <w:r>
              <w:rPr>
                <w:color w:val="0000FF"/>
              </w:rPr>
              <w:t>/</w:t>
            </w:r>
          </w:p>
        </w:tc>
        <w:tc>
          <w:tcPr>
            <w:tcW w:w="2265" w:type="dxa"/>
            <w:tcBorders>
              <w:tl2br w:val="nil"/>
              <w:tr2bl w:val="nil"/>
            </w:tcBorders>
            <w:shd w:val="clear" w:color="auto" w:fill="auto"/>
            <w:vAlign w:val="center"/>
          </w:tcPr>
          <w:p w14:paraId="5B41E5B6">
            <w:pPr>
              <w:pStyle w:val="29"/>
              <w:rPr>
                <w:color w:val="0000FF"/>
              </w:rPr>
            </w:pPr>
            <w:r>
              <w:rPr>
                <w:color w:val="0000FF"/>
              </w:rPr>
              <w:t>6.0</w:t>
            </w:r>
          </w:p>
        </w:tc>
        <w:tc>
          <w:tcPr>
            <w:tcW w:w="1057" w:type="dxa"/>
            <w:tcBorders>
              <w:tl2br w:val="nil"/>
              <w:tr2bl w:val="nil"/>
            </w:tcBorders>
            <w:shd w:val="clear" w:color="auto" w:fill="auto"/>
            <w:vAlign w:val="center"/>
          </w:tcPr>
          <w:p w14:paraId="0A1663FE">
            <w:pPr>
              <w:pStyle w:val="29"/>
              <w:rPr>
                <w:color w:val="0000FF"/>
              </w:rPr>
            </w:pPr>
            <w:r>
              <w:rPr>
                <w:rFonts w:hint="eastAsia"/>
                <w:color w:val="0000FF"/>
              </w:rPr>
              <w:t>+</w:t>
            </w:r>
            <w:r>
              <w:rPr>
                <w:color w:val="0000FF"/>
              </w:rPr>
              <w:t>6.0</w:t>
            </w:r>
          </w:p>
        </w:tc>
      </w:tr>
      <w:tr w14:paraId="07529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54C70E77">
            <w:pPr>
              <w:pStyle w:val="29"/>
              <w:rPr>
                <w:color w:val="0000FF"/>
              </w:rPr>
            </w:pPr>
          </w:p>
        </w:tc>
        <w:tc>
          <w:tcPr>
            <w:tcW w:w="1815" w:type="dxa"/>
            <w:tcBorders>
              <w:tl2br w:val="nil"/>
              <w:tr2bl w:val="nil"/>
            </w:tcBorders>
            <w:shd w:val="clear" w:color="auto" w:fill="auto"/>
            <w:vAlign w:val="center"/>
          </w:tcPr>
          <w:p w14:paraId="7382CBE3">
            <w:pPr>
              <w:pStyle w:val="29"/>
              <w:rPr>
                <w:color w:val="0000FF"/>
              </w:rPr>
            </w:pPr>
            <w:r>
              <w:rPr>
                <w:color w:val="0000FF"/>
              </w:rPr>
              <w:t>不合格品</w:t>
            </w:r>
          </w:p>
        </w:tc>
        <w:tc>
          <w:tcPr>
            <w:tcW w:w="1512" w:type="dxa"/>
            <w:tcBorders>
              <w:tl2br w:val="nil"/>
              <w:tr2bl w:val="nil"/>
            </w:tcBorders>
            <w:vAlign w:val="center"/>
          </w:tcPr>
          <w:p w14:paraId="7BD4A970">
            <w:pPr>
              <w:pStyle w:val="29"/>
              <w:rPr>
                <w:color w:val="0000FF"/>
              </w:rPr>
            </w:pPr>
            <w:r>
              <w:rPr>
                <w:color w:val="0000FF"/>
              </w:rPr>
              <w:t>/</w:t>
            </w:r>
          </w:p>
        </w:tc>
        <w:tc>
          <w:tcPr>
            <w:tcW w:w="1488" w:type="dxa"/>
            <w:tcBorders>
              <w:tl2br w:val="nil"/>
              <w:tr2bl w:val="nil"/>
            </w:tcBorders>
            <w:vAlign w:val="center"/>
          </w:tcPr>
          <w:p w14:paraId="28753622">
            <w:pPr>
              <w:pStyle w:val="29"/>
              <w:rPr>
                <w:color w:val="0000FF"/>
              </w:rPr>
            </w:pPr>
            <w:r>
              <w:rPr>
                <w:color w:val="0000FF"/>
              </w:rPr>
              <w:t>/</w:t>
            </w:r>
          </w:p>
        </w:tc>
        <w:tc>
          <w:tcPr>
            <w:tcW w:w="1558" w:type="dxa"/>
            <w:tcBorders>
              <w:tl2br w:val="nil"/>
              <w:tr2bl w:val="nil"/>
            </w:tcBorders>
            <w:vAlign w:val="center"/>
          </w:tcPr>
          <w:p w14:paraId="33AA875A">
            <w:pPr>
              <w:pStyle w:val="29"/>
              <w:rPr>
                <w:color w:val="0000FF"/>
              </w:rPr>
            </w:pPr>
            <w:r>
              <w:rPr>
                <w:color w:val="0000FF"/>
              </w:rPr>
              <w:t>/</w:t>
            </w:r>
          </w:p>
        </w:tc>
        <w:tc>
          <w:tcPr>
            <w:tcW w:w="1747" w:type="dxa"/>
            <w:tcBorders>
              <w:tl2br w:val="nil"/>
              <w:tr2bl w:val="nil"/>
            </w:tcBorders>
            <w:shd w:val="clear" w:color="auto" w:fill="auto"/>
            <w:vAlign w:val="center"/>
          </w:tcPr>
          <w:p w14:paraId="301748BC">
            <w:pPr>
              <w:pStyle w:val="29"/>
              <w:rPr>
                <w:color w:val="0000FF"/>
              </w:rPr>
            </w:pPr>
            <w:r>
              <w:rPr>
                <w:color w:val="0000FF"/>
              </w:rPr>
              <w:t>4.0</w:t>
            </w:r>
          </w:p>
        </w:tc>
        <w:tc>
          <w:tcPr>
            <w:tcW w:w="1917" w:type="dxa"/>
            <w:tcBorders>
              <w:tl2br w:val="nil"/>
              <w:tr2bl w:val="nil"/>
            </w:tcBorders>
            <w:vAlign w:val="center"/>
          </w:tcPr>
          <w:p w14:paraId="084E2141">
            <w:pPr>
              <w:pStyle w:val="29"/>
              <w:rPr>
                <w:color w:val="0000FF"/>
              </w:rPr>
            </w:pPr>
            <w:r>
              <w:rPr>
                <w:color w:val="0000FF"/>
              </w:rPr>
              <w:t>/</w:t>
            </w:r>
          </w:p>
        </w:tc>
        <w:tc>
          <w:tcPr>
            <w:tcW w:w="2265" w:type="dxa"/>
            <w:tcBorders>
              <w:tl2br w:val="nil"/>
              <w:tr2bl w:val="nil"/>
            </w:tcBorders>
            <w:shd w:val="clear" w:color="auto" w:fill="auto"/>
            <w:vAlign w:val="center"/>
          </w:tcPr>
          <w:p w14:paraId="385E5CA2">
            <w:pPr>
              <w:pStyle w:val="29"/>
              <w:rPr>
                <w:color w:val="0000FF"/>
              </w:rPr>
            </w:pPr>
            <w:r>
              <w:rPr>
                <w:color w:val="0000FF"/>
              </w:rPr>
              <w:t>4.0</w:t>
            </w:r>
          </w:p>
        </w:tc>
        <w:tc>
          <w:tcPr>
            <w:tcW w:w="1057" w:type="dxa"/>
            <w:tcBorders>
              <w:tl2br w:val="nil"/>
              <w:tr2bl w:val="nil"/>
            </w:tcBorders>
            <w:shd w:val="clear" w:color="auto" w:fill="auto"/>
            <w:vAlign w:val="center"/>
          </w:tcPr>
          <w:p w14:paraId="1714782A">
            <w:pPr>
              <w:pStyle w:val="29"/>
              <w:rPr>
                <w:color w:val="0000FF"/>
              </w:rPr>
            </w:pPr>
            <w:r>
              <w:rPr>
                <w:rFonts w:hint="eastAsia"/>
                <w:color w:val="0000FF"/>
              </w:rPr>
              <w:t>+</w:t>
            </w:r>
            <w:r>
              <w:rPr>
                <w:color w:val="0000FF"/>
              </w:rPr>
              <w:t>4.0</w:t>
            </w:r>
          </w:p>
        </w:tc>
      </w:tr>
      <w:tr w14:paraId="754C1C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06875ACF">
            <w:pPr>
              <w:pStyle w:val="29"/>
              <w:rPr>
                <w:color w:val="0000FF"/>
              </w:rPr>
            </w:pPr>
          </w:p>
        </w:tc>
        <w:tc>
          <w:tcPr>
            <w:tcW w:w="1815" w:type="dxa"/>
            <w:tcBorders>
              <w:tl2br w:val="nil"/>
              <w:tr2bl w:val="nil"/>
            </w:tcBorders>
            <w:shd w:val="clear" w:color="auto" w:fill="auto"/>
            <w:vAlign w:val="center"/>
          </w:tcPr>
          <w:p w14:paraId="11B36B81">
            <w:pPr>
              <w:pStyle w:val="29"/>
              <w:rPr>
                <w:color w:val="0000FF"/>
              </w:rPr>
            </w:pPr>
            <w:r>
              <w:rPr>
                <w:color w:val="0000FF"/>
              </w:rPr>
              <w:t>废油脂</w:t>
            </w:r>
          </w:p>
        </w:tc>
        <w:tc>
          <w:tcPr>
            <w:tcW w:w="1512" w:type="dxa"/>
            <w:tcBorders>
              <w:tl2br w:val="nil"/>
              <w:tr2bl w:val="nil"/>
            </w:tcBorders>
            <w:vAlign w:val="center"/>
          </w:tcPr>
          <w:p w14:paraId="2B2FDF19">
            <w:pPr>
              <w:pStyle w:val="29"/>
              <w:rPr>
                <w:color w:val="0000FF"/>
              </w:rPr>
            </w:pPr>
            <w:r>
              <w:rPr>
                <w:color w:val="0000FF"/>
              </w:rPr>
              <w:t>/</w:t>
            </w:r>
          </w:p>
        </w:tc>
        <w:tc>
          <w:tcPr>
            <w:tcW w:w="1488" w:type="dxa"/>
            <w:tcBorders>
              <w:tl2br w:val="nil"/>
              <w:tr2bl w:val="nil"/>
            </w:tcBorders>
            <w:vAlign w:val="center"/>
          </w:tcPr>
          <w:p w14:paraId="668E9480">
            <w:pPr>
              <w:pStyle w:val="29"/>
              <w:rPr>
                <w:color w:val="0000FF"/>
              </w:rPr>
            </w:pPr>
            <w:r>
              <w:rPr>
                <w:color w:val="0000FF"/>
              </w:rPr>
              <w:t>/</w:t>
            </w:r>
          </w:p>
        </w:tc>
        <w:tc>
          <w:tcPr>
            <w:tcW w:w="1558" w:type="dxa"/>
            <w:tcBorders>
              <w:tl2br w:val="nil"/>
              <w:tr2bl w:val="nil"/>
            </w:tcBorders>
            <w:vAlign w:val="center"/>
          </w:tcPr>
          <w:p w14:paraId="06E3EB37">
            <w:pPr>
              <w:pStyle w:val="29"/>
              <w:rPr>
                <w:color w:val="0000FF"/>
              </w:rPr>
            </w:pPr>
            <w:r>
              <w:rPr>
                <w:color w:val="0000FF"/>
              </w:rPr>
              <w:t>/</w:t>
            </w:r>
          </w:p>
        </w:tc>
        <w:tc>
          <w:tcPr>
            <w:tcW w:w="1747" w:type="dxa"/>
            <w:tcBorders>
              <w:tl2br w:val="nil"/>
              <w:tr2bl w:val="nil"/>
            </w:tcBorders>
            <w:shd w:val="clear" w:color="auto" w:fill="auto"/>
            <w:vAlign w:val="center"/>
          </w:tcPr>
          <w:p w14:paraId="70C341FE">
            <w:pPr>
              <w:pStyle w:val="29"/>
              <w:rPr>
                <w:color w:val="0000FF"/>
              </w:rPr>
            </w:pPr>
            <w:r>
              <w:rPr>
                <w:rFonts w:hint="eastAsia"/>
                <w:color w:val="0000FF"/>
              </w:rPr>
              <w:t>0.082</w:t>
            </w:r>
          </w:p>
        </w:tc>
        <w:tc>
          <w:tcPr>
            <w:tcW w:w="1917" w:type="dxa"/>
            <w:tcBorders>
              <w:tl2br w:val="nil"/>
              <w:tr2bl w:val="nil"/>
            </w:tcBorders>
            <w:vAlign w:val="center"/>
          </w:tcPr>
          <w:p w14:paraId="0DC7A324">
            <w:pPr>
              <w:pStyle w:val="29"/>
              <w:rPr>
                <w:color w:val="0000FF"/>
              </w:rPr>
            </w:pPr>
            <w:r>
              <w:rPr>
                <w:color w:val="0000FF"/>
              </w:rPr>
              <w:t>/</w:t>
            </w:r>
          </w:p>
        </w:tc>
        <w:tc>
          <w:tcPr>
            <w:tcW w:w="2265" w:type="dxa"/>
            <w:tcBorders>
              <w:tl2br w:val="nil"/>
              <w:tr2bl w:val="nil"/>
            </w:tcBorders>
            <w:shd w:val="clear" w:color="auto" w:fill="auto"/>
            <w:vAlign w:val="center"/>
          </w:tcPr>
          <w:p w14:paraId="3ECA44EA">
            <w:pPr>
              <w:pStyle w:val="29"/>
              <w:rPr>
                <w:color w:val="0000FF"/>
              </w:rPr>
            </w:pPr>
            <w:r>
              <w:rPr>
                <w:rFonts w:hint="eastAsia"/>
                <w:color w:val="0000FF"/>
              </w:rPr>
              <w:t>0.082</w:t>
            </w:r>
          </w:p>
        </w:tc>
        <w:tc>
          <w:tcPr>
            <w:tcW w:w="1057" w:type="dxa"/>
            <w:tcBorders>
              <w:tl2br w:val="nil"/>
              <w:tr2bl w:val="nil"/>
            </w:tcBorders>
            <w:shd w:val="clear" w:color="auto" w:fill="auto"/>
            <w:vAlign w:val="center"/>
          </w:tcPr>
          <w:p w14:paraId="70C29E9F">
            <w:pPr>
              <w:pStyle w:val="29"/>
              <w:rPr>
                <w:color w:val="0000FF"/>
              </w:rPr>
            </w:pPr>
            <w:r>
              <w:rPr>
                <w:rFonts w:hint="eastAsia"/>
                <w:color w:val="0000FF"/>
              </w:rPr>
              <w:t>+0.082</w:t>
            </w:r>
          </w:p>
        </w:tc>
      </w:tr>
      <w:tr w14:paraId="6A6654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03FD3CA9">
            <w:pPr>
              <w:pStyle w:val="29"/>
              <w:rPr>
                <w:color w:val="0000FF"/>
              </w:rPr>
            </w:pPr>
          </w:p>
        </w:tc>
        <w:tc>
          <w:tcPr>
            <w:tcW w:w="1815" w:type="dxa"/>
            <w:tcBorders>
              <w:tl2br w:val="nil"/>
              <w:tr2bl w:val="nil"/>
            </w:tcBorders>
            <w:shd w:val="clear" w:color="auto" w:fill="auto"/>
            <w:vAlign w:val="center"/>
          </w:tcPr>
          <w:p w14:paraId="250CCD2D">
            <w:pPr>
              <w:pStyle w:val="29"/>
              <w:rPr>
                <w:color w:val="0000FF"/>
              </w:rPr>
            </w:pPr>
            <w:r>
              <w:rPr>
                <w:color w:val="0000FF"/>
              </w:rPr>
              <w:t>废包装物</w:t>
            </w:r>
          </w:p>
        </w:tc>
        <w:tc>
          <w:tcPr>
            <w:tcW w:w="1512" w:type="dxa"/>
            <w:tcBorders>
              <w:tl2br w:val="nil"/>
              <w:tr2bl w:val="nil"/>
            </w:tcBorders>
            <w:vAlign w:val="center"/>
          </w:tcPr>
          <w:p w14:paraId="77281082">
            <w:pPr>
              <w:pStyle w:val="29"/>
              <w:rPr>
                <w:color w:val="0000FF"/>
              </w:rPr>
            </w:pPr>
            <w:r>
              <w:rPr>
                <w:color w:val="0000FF"/>
              </w:rPr>
              <w:t>/</w:t>
            </w:r>
          </w:p>
        </w:tc>
        <w:tc>
          <w:tcPr>
            <w:tcW w:w="1488" w:type="dxa"/>
            <w:tcBorders>
              <w:tl2br w:val="nil"/>
              <w:tr2bl w:val="nil"/>
            </w:tcBorders>
            <w:vAlign w:val="center"/>
          </w:tcPr>
          <w:p w14:paraId="570E5146">
            <w:pPr>
              <w:pStyle w:val="29"/>
              <w:rPr>
                <w:color w:val="0000FF"/>
              </w:rPr>
            </w:pPr>
            <w:r>
              <w:rPr>
                <w:color w:val="0000FF"/>
              </w:rPr>
              <w:t>/</w:t>
            </w:r>
          </w:p>
        </w:tc>
        <w:tc>
          <w:tcPr>
            <w:tcW w:w="1558" w:type="dxa"/>
            <w:tcBorders>
              <w:tl2br w:val="nil"/>
              <w:tr2bl w:val="nil"/>
            </w:tcBorders>
            <w:vAlign w:val="center"/>
          </w:tcPr>
          <w:p w14:paraId="5B50C29E">
            <w:pPr>
              <w:pStyle w:val="29"/>
              <w:rPr>
                <w:color w:val="0000FF"/>
              </w:rPr>
            </w:pPr>
            <w:r>
              <w:rPr>
                <w:color w:val="0000FF"/>
              </w:rPr>
              <w:t>/</w:t>
            </w:r>
          </w:p>
        </w:tc>
        <w:tc>
          <w:tcPr>
            <w:tcW w:w="1747" w:type="dxa"/>
            <w:tcBorders>
              <w:tl2br w:val="nil"/>
              <w:tr2bl w:val="nil"/>
            </w:tcBorders>
            <w:shd w:val="clear" w:color="auto" w:fill="auto"/>
            <w:vAlign w:val="center"/>
          </w:tcPr>
          <w:p w14:paraId="44471F95">
            <w:pPr>
              <w:pStyle w:val="29"/>
              <w:rPr>
                <w:color w:val="0000FF"/>
              </w:rPr>
            </w:pPr>
            <w:r>
              <w:rPr>
                <w:color w:val="0000FF"/>
              </w:rPr>
              <w:t>0.8</w:t>
            </w:r>
          </w:p>
        </w:tc>
        <w:tc>
          <w:tcPr>
            <w:tcW w:w="1917" w:type="dxa"/>
            <w:tcBorders>
              <w:tl2br w:val="nil"/>
              <w:tr2bl w:val="nil"/>
            </w:tcBorders>
            <w:vAlign w:val="center"/>
          </w:tcPr>
          <w:p w14:paraId="77937E74">
            <w:pPr>
              <w:pStyle w:val="29"/>
              <w:rPr>
                <w:color w:val="0000FF"/>
              </w:rPr>
            </w:pPr>
            <w:r>
              <w:rPr>
                <w:color w:val="0000FF"/>
              </w:rPr>
              <w:t>/</w:t>
            </w:r>
          </w:p>
        </w:tc>
        <w:tc>
          <w:tcPr>
            <w:tcW w:w="2265" w:type="dxa"/>
            <w:tcBorders>
              <w:tl2br w:val="nil"/>
              <w:tr2bl w:val="nil"/>
            </w:tcBorders>
            <w:shd w:val="clear" w:color="auto" w:fill="auto"/>
            <w:vAlign w:val="center"/>
          </w:tcPr>
          <w:p w14:paraId="7067147C">
            <w:pPr>
              <w:pStyle w:val="29"/>
              <w:rPr>
                <w:color w:val="0000FF"/>
              </w:rPr>
            </w:pPr>
            <w:r>
              <w:rPr>
                <w:color w:val="0000FF"/>
              </w:rPr>
              <w:t>0.8</w:t>
            </w:r>
          </w:p>
        </w:tc>
        <w:tc>
          <w:tcPr>
            <w:tcW w:w="1057" w:type="dxa"/>
            <w:tcBorders>
              <w:tl2br w:val="nil"/>
              <w:tr2bl w:val="nil"/>
            </w:tcBorders>
            <w:shd w:val="clear" w:color="auto" w:fill="auto"/>
            <w:vAlign w:val="center"/>
          </w:tcPr>
          <w:p w14:paraId="3D89CC10">
            <w:pPr>
              <w:pStyle w:val="29"/>
              <w:rPr>
                <w:color w:val="0000FF"/>
              </w:rPr>
            </w:pPr>
            <w:r>
              <w:rPr>
                <w:rFonts w:hint="eastAsia"/>
                <w:color w:val="0000FF"/>
              </w:rPr>
              <w:t>+</w:t>
            </w:r>
            <w:r>
              <w:rPr>
                <w:color w:val="0000FF"/>
              </w:rPr>
              <w:t>0.8</w:t>
            </w:r>
          </w:p>
        </w:tc>
      </w:tr>
      <w:tr w14:paraId="2576D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72CE733C">
            <w:pPr>
              <w:pStyle w:val="29"/>
              <w:rPr>
                <w:color w:val="0000FF"/>
              </w:rPr>
            </w:pPr>
          </w:p>
        </w:tc>
        <w:tc>
          <w:tcPr>
            <w:tcW w:w="1815" w:type="dxa"/>
            <w:tcBorders>
              <w:tl2br w:val="nil"/>
              <w:tr2bl w:val="nil"/>
            </w:tcBorders>
            <w:shd w:val="clear" w:color="auto" w:fill="auto"/>
            <w:vAlign w:val="center"/>
          </w:tcPr>
          <w:p w14:paraId="7527C00D">
            <w:pPr>
              <w:pStyle w:val="29"/>
              <w:rPr>
                <w:color w:val="0000FF"/>
              </w:rPr>
            </w:pPr>
            <w:r>
              <w:rPr>
                <w:color w:val="0000FF"/>
              </w:rPr>
              <w:t>污泥</w:t>
            </w:r>
          </w:p>
        </w:tc>
        <w:tc>
          <w:tcPr>
            <w:tcW w:w="1512" w:type="dxa"/>
            <w:tcBorders>
              <w:tl2br w:val="nil"/>
              <w:tr2bl w:val="nil"/>
            </w:tcBorders>
            <w:vAlign w:val="center"/>
          </w:tcPr>
          <w:p w14:paraId="10FFAB49">
            <w:pPr>
              <w:pStyle w:val="29"/>
              <w:rPr>
                <w:color w:val="0000FF"/>
              </w:rPr>
            </w:pPr>
            <w:r>
              <w:rPr>
                <w:color w:val="0000FF"/>
              </w:rPr>
              <w:t>/</w:t>
            </w:r>
          </w:p>
        </w:tc>
        <w:tc>
          <w:tcPr>
            <w:tcW w:w="1488" w:type="dxa"/>
            <w:tcBorders>
              <w:tl2br w:val="nil"/>
              <w:tr2bl w:val="nil"/>
            </w:tcBorders>
            <w:vAlign w:val="center"/>
          </w:tcPr>
          <w:p w14:paraId="3B5ACD09">
            <w:pPr>
              <w:pStyle w:val="29"/>
              <w:rPr>
                <w:color w:val="0000FF"/>
              </w:rPr>
            </w:pPr>
            <w:r>
              <w:rPr>
                <w:color w:val="0000FF"/>
              </w:rPr>
              <w:t>/</w:t>
            </w:r>
          </w:p>
        </w:tc>
        <w:tc>
          <w:tcPr>
            <w:tcW w:w="1558" w:type="dxa"/>
            <w:tcBorders>
              <w:tl2br w:val="nil"/>
              <w:tr2bl w:val="nil"/>
            </w:tcBorders>
            <w:vAlign w:val="center"/>
          </w:tcPr>
          <w:p w14:paraId="2578B0FB">
            <w:pPr>
              <w:pStyle w:val="29"/>
              <w:rPr>
                <w:color w:val="0000FF"/>
              </w:rPr>
            </w:pPr>
            <w:r>
              <w:rPr>
                <w:color w:val="0000FF"/>
              </w:rPr>
              <w:t>/</w:t>
            </w:r>
          </w:p>
        </w:tc>
        <w:tc>
          <w:tcPr>
            <w:tcW w:w="1747" w:type="dxa"/>
            <w:tcBorders>
              <w:tl2br w:val="nil"/>
              <w:tr2bl w:val="nil"/>
            </w:tcBorders>
            <w:shd w:val="clear" w:color="auto" w:fill="auto"/>
            <w:vAlign w:val="center"/>
          </w:tcPr>
          <w:p w14:paraId="222A5771">
            <w:pPr>
              <w:pStyle w:val="29"/>
              <w:rPr>
                <w:color w:val="0000FF"/>
              </w:rPr>
            </w:pPr>
            <w:r>
              <w:rPr>
                <w:color w:val="0000FF"/>
              </w:rPr>
              <w:t>1.0</w:t>
            </w:r>
          </w:p>
        </w:tc>
        <w:tc>
          <w:tcPr>
            <w:tcW w:w="1917" w:type="dxa"/>
            <w:tcBorders>
              <w:tl2br w:val="nil"/>
              <w:tr2bl w:val="nil"/>
            </w:tcBorders>
            <w:vAlign w:val="center"/>
          </w:tcPr>
          <w:p w14:paraId="4D693DC0">
            <w:pPr>
              <w:pStyle w:val="29"/>
              <w:rPr>
                <w:color w:val="0000FF"/>
              </w:rPr>
            </w:pPr>
            <w:r>
              <w:rPr>
                <w:color w:val="0000FF"/>
              </w:rPr>
              <w:t>/</w:t>
            </w:r>
          </w:p>
        </w:tc>
        <w:tc>
          <w:tcPr>
            <w:tcW w:w="2265" w:type="dxa"/>
            <w:tcBorders>
              <w:tl2br w:val="nil"/>
              <w:tr2bl w:val="nil"/>
            </w:tcBorders>
            <w:shd w:val="clear" w:color="auto" w:fill="auto"/>
            <w:vAlign w:val="center"/>
          </w:tcPr>
          <w:p w14:paraId="5972D553">
            <w:pPr>
              <w:pStyle w:val="29"/>
              <w:rPr>
                <w:color w:val="0000FF"/>
              </w:rPr>
            </w:pPr>
            <w:r>
              <w:rPr>
                <w:color w:val="0000FF"/>
              </w:rPr>
              <w:t>1.0</w:t>
            </w:r>
          </w:p>
        </w:tc>
        <w:tc>
          <w:tcPr>
            <w:tcW w:w="1057" w:type="dxa"/>
            <w:tcBorders>
              <w:tl2br w:val="nil"/>
              <w:tr2bl w:val="nil"/>
            </w:tcBorders>
            <w:shd w:val="clear" w:color="auto" w:fill="auto"/>
            <w:vAlign w:val="center"/>
          </w:tcPr>
          <w:p w14:paraId="256EC48B">
            <w:pPr>
              <w:pStyle w:val="29"/>
              <w:rPr>
                <w:color w:val="0000FF"/>
              </w:rPr>
            </w:pPr>
            <w:r>
              <w:rPr>
                <w:rFonts w:hint="eastAsia"/>
                <w:color w:val="0000FF"/>
              </w:rPr>
              <w:t>+</w:t>
            </w:r>
            <w:r>
              <w:rPr>
                <w:color w:val="0000FF"/>
              </w:rPr>
              <w:t>1.0</w:t>
            </w:r>
          </w:p>
        </w:tc>
      </w:tr>
      <w:tr w14:paraId="10C71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5B436105">
            <w:pPr>
              <w:pStyle w:val="29"/>
              <w:rPr>
                <w:color w:val="0000FF"/>
              </w:rPr>
            </w:pPr>
          </w:p>
        </w:tc>
        <w:tc>
          <w:tcPr>
            <w:tcW w:w="1815" w:type="dxa"/>
            <w:tcBorders>
              <w:tl2br w:val="nil"/>
              <w:tr2bl w:val="nil"/>
            </w:tcBorders>
            <w:shd w:val="clear" w:color="auto" w:fill="auto"/>
            <w:vAlign w:val="center"/>
          </w:tcPr>
          <w:p w14:paraId="42EDD7B4">
            <w:pPr>
              <w:pStyle w:val="29"/>
              <w:rPr>
                <w:color w:val="0000FF"/>
              </w:rPr>
            </w:pPr>
            <w:r>
              <w:rPr>
                <w:color w:val="0000FF"/>
              </w:rPr>
              <w:t>废砂滤器</w:t>
            </w:r>
          </w:p>
        </w:tc>
        <w:tc>
          <w:tcPr>
            <w:tcW w:w="1512" w:type="dxa"/>
            <w:tcBorders>
              <w:tl2br w:val="nil"/>
              <w:tr2bl w:val="nil"/>
            </w:tcBorders>
            <w:shd w:val="clear" w:color="auto" w:fill="auto"/>
            <w:vAlign w:val="center"/>
          </w:tcPr>
          <w:p w14:paraId="3978FAE5">
            <w:pPr>
              <w:pStyle w:val="29"/>
              <w:rPr>
                <w:color w:val="0000FF"/>
              </w:rPr>
            </w:pPr>
            <w:r>
              <w:rPr>
                <w:color w:val="0000FF"/>
              </w:rPr>
              <w:t>/</w:t>
            </w:r>
          </w:p>
        </w:tc>
        <w:tc>
          <w:tcPr>
            <w:tcW w:w="1488" w:type="dxa"/>
            <w:tcBorders>
              <w:tl2br w:val="nil"/>
              <w:tr2bl w:val="nil"/>
            </w:tcBorders>
            <w:shd w:val="clear" w:color="auto" w:fill="auto"/>
            <w:vAlign w:val="center"/>
          </w:tcPr>
          <w:p w14:paraId="713DE93F">
            <w:pPr>
              <w:pStyle w:val="29"/>
              <w:rPr>
                <w:color w:val="0000FF"/>
              </w:rPr>
            </w:pPr>
            <w:r>
              <w:rPr>
                <w:color w:val="0000FF"/>
              </w:rPr>
              <w:t>/</w:t>
            </w:r>
          </w:p>
        </w:tc>
        <w:tc>
          <w:tcPr>
            <w:tcW w:w="1558" w:type="dxa"/>
            <w:tcBorders>
              <w:tl2br w:val="nil"/>
              <w:tr2bl w:val="nil"/>
            </w:tcBorders>
            <w:shd w:val="clear" w:color="auto" w:fill="auto"/>
            <w:vAlign w:val="center"/>
          </w:tcPr>
          <w:p w14:paraId="6F2A0FB8">
            <w:pPr>
              <w:pStyle w:val="29"/>
              <w:rPr>
                <w:color w:val="0000FF"/>
              </w:rPr>
            </w:pPr>
            <w:r>
              <w:rPr>
                <w:color w:val="0000FF"/>
              </w:rPr>
              <w:t>/</w:t>
            </w:r>
          </w:p>
        </w:tc>
        <w:tc>
          <w:tcPr>
            <w:tcW w:w="1747" w:type="dxa"/>
            <w:tcBorders>
              <w:tl2br w:val="nil"/>
              <w:tr2bl w:val="nil"/>
            </w:tcBorders>
            <w:shd w:val="clear" w:color="auto" w:fill="auto"/>
            <w:vAlign w:val="center"/>
          </w:tcPr>
          <w:p w14:paraId="3BA9ED2C">
            <w:pPr>
              <w:pStyle w:val="29"/>
              <w:rPr>
                <w:color w:val="0000FF"/>
              </w:rPr>
            </w:pPr>
            <w:r>
              <w:rPr>
                <w:color w:val="0000FF"/>
              </w:rPr>
              <w:t>0.3</w:t>
            </w:r>
          </w:p>
        </w:tc>
        <w:tc>
          <w:tcPr>
            <w:tcW w:w="1917" w:type="dxa"/>
            <w:tcBorders>
              <w:tl2br w:val="nil"/>
              <w:tr2bl w:val="nil"/>
            </w:tcBorders>
            <w:vAlign w:val="center"/>
          </w:tcPr>
          <w:p w14:paraId="00FC770C">
            <w:pPr>
              <w:pStyle w:val="29"/>
              <w:rPr>
                <w:color w:val="0000FF"/>
              </w:rPr>
            </w:pPr>
            <w:r>
              <w:rPr>
                <w:color w:val="0000FF"/>
              </w:rPr>
              <w:t>/</w:t>
            </w:r>
          </w:p>
        </w:tc>
        <w:tc>
          <w:tcPr>
            <w:tcW w:w="2265" w:type="dxa"/>
            <w:tcBorders>
              <w:tl2br w:val="nil"/>
              <w:tr2bl w:val="nil"/>
            </w:tcBorders>
            <w:shd w:val="clear" w:color="auto" w:fill="auto"/>
            <w:vAlign w:val="center"/>
          </w:tcPr>
          <w:p w14:paraId="706FB477">
            <w:pPr>
              <w:pStyle w:val="29"/>
              <w:rPr>
                <w:color w:val="0000FF"/>
              </w:rPr>
            </w:pPr>
            <w:r>
              <w:rPr>
                <w:color w:val="0000FF"/>
              </w:rPr>
              <w:t>0.3</w:t>
            </w:r>
          </w:p>
        </w:tc>
        <w:tc>
          <w:tcPr>
            <w:tcW w:w="1057" w:type="dxa"/>
            <w:tcBorders>
              <w:tl2br w:val="nil"/>
              <w:tr2bl w:val="nil"/>
            </w:tcBorders>
            <w:shd w:val="clear" w:color="auto" w:fill="auto"/>
            <w:vAlign w:val="center"/>
          </w:tcPr>
          <w:p w14:paraId="086B2069">
            <w:pPr>
              <w:pStyle w:val="29"/>
              <w:rPr>
                <w:color w:val="0000FF"/>
              </w:rPr>
            </w:pPr>
            <w:r>
              <w:rPr>
                <w:rFonts w:hint="eastAsia"/>
                <w:color w:val="0000FF"/>
              </w:rPr>
              <w:t>+</w:t>
            </w:r>
            <w:r>
              <w:rPr>
                <w:color w:val="0000FF"/>
              </w:rPr>
              <w:t>0.3</w:t>
            </w:r>
          </w:p>
        </w:tc>
      </w:tr>
      <w:tr w14:paraId="34D7B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421BFC80">
            <w:pPr>
              <w:pStyle w:val="29"/>
              <w:rPr>
                <w:color w:val="0000FF"/>
              </w:rPr>
            </w:pPr>
          </w:p>
        </w:tc>
        <w:tc>
          <w:tcPr>
            <w:tcW w:w="1815" w:type="dxa"/>
            <w:tcBorders>
              <w:tl2br w:val="nil"/>
              <w:tr2bl w:val="nil"/>
            </w:tcBorders>
            <w:shd w:val="clear" w:color="auto" w:fill="auto"/>
            <w:vAlign w:val="center"/>
          </w:tcPr>
          <w:p w14:paraId="46B28C19">
            <w:pPr>
              <w:pStyle w:val="29"/>
              <w:rPr>
                <w:color w:val="0000FF"/>
              </w:rPr>
            </w:pPr>
            <w:r>
              <w:rPr>
                <w:color w:val="0000FF"/>
              </w:rPr>
              <w:t>废活性炭过滤器</w:t>
            </w:r>
          </w:p>
        </w:tc>
        <w:tc>
          <w:tcPr>
            <w:tcW w:w="1512" w:type="dxa"/>
            <w:tcBorders>
              <w:tl2br w:val="nil"/>
              <w:tr2bl w:val="nil"/>
            </w:tcBorders>
            <w:shd w:val="clear" w:color="auto" w:fill="auto"/>
            <w:vAlign w:val="center"/>
          </w:tcPr>
          <w:p w14:paraId="4AB56D81">
            <w:pPr>
              <w:pStyle w:val="29"/>
              <w:rPr>
                <w:color w:val="0000FF"/>
              </w:rPr>
            </w:pPr>
            <w:r>
              <w:rPr>
                <w:color w:val="0000FF"/>
              </w:rPr>
              <w:t>/</w:t>
            </w:r>
          </w:p>
        </w:tc>
        <w:tc>
          <w:tcPr>
            <w:tcW w:w="1488" w:type="dxa"/>
            <w:tcBorders>
              <w:tl2br w:val="nil"/>
              <w:tr2bl w:val="nil"/>
            </w:tcBorders>
            <w:shd w:val="clear" w:color="auto" w:fill="auto"/>
            <w:vAlign w:val="center"/>
          </w:tcPr>
          <w:p w14:paraId="2D36C036">
            <w:pPr>
              <w:pStyle w:val="29"/>
              <w:rPr>
                <w:color w:val="0000FF"/>
              </w:rPr>
            </w:pPr>
            <w:r>
              <w:rPr>
                <w:color w:val="0000FF"/>
              </w:rPr>
              <w:t>/</w:t>
            </w:r>
          </w:p>
        </w:tc>
        <w:tc>
          <w:tcPr>
            <w:tcW w:w="1558" w:type="dxa"/>
            <w:tcBorders>
              <w:tl2br w:val="nil"/>
              <w:tr2bl w:val="nil"/>
            </w:tcBorders>
            <w:shd w:val="clear" w:color="auto" w:fill="auto"/>
            <w:vAlign w:val="center"/>
          </w:tcPr>
          <w:p w14:paraId="2878A2FF">
            <w:pPr>
              <w:pStyle w:val="29"/>
              <w:rPr>
                <w:color w:val="0000FF"/>
              </w:rPr>
            </w:pPr>
            <w:r>
              <w:rPr>
                <w:color w:val="0000FF"/>
              </w:rPr>
              <w:t>/</w:t>
            </w:r>
          </w:p>
        </w:tc>
        <w:tc>
          <w:tcPr>
            <w:tcW w:w="1747" w:type="dxa"/>
            <w:tcBorders>
              <w:tl2br w:val="nil"/>
              <w:tr2bl w:val="nil"/>
            </w:tcBorders>
            <w:shd w:val="clear" w:color="auto" w:fill="auto"/>
            <w:vAlign w:val="center"/>
          </w:tcPr>
          <w:p w14:paraId="3711E023">
            <w:pPr>
              <w:pStyle w:val="29"/>
              <w:rPr>
                <w:color w:val="0000FF"/>
              </w:rPr>
            </w:pPr>
            <w:r>
              <w:rPr>
                <w:color w:val="0000FF"/>
              </w:rPr>
              <w:t>0.3</w:t>
            </w:r>
          </w:p>
        </w:tc>
        <w:tc>
          <w:tcPr>
            <w:tcW w:w="1917" w:type="dxa"/>
            <w:tcBorders>
              <w:tl2br w:val="nil"/>
              <w:tr2bl w:val="nil"/>
            </w:tcBorders>
            <w:vAlign w:val="center"/>
          </w:tcPr>
          <w:p w14:paraId="43D06DD7">
            <w:pPr>
              <w:pStyle w:val="29"/>
              <w:rPr>
                <w:color w:val="0000FF"/>
              </w:rPr>
            </w:pPr>
            <w:r>
              <w:rPr>
                <w:color w:val="0000FF"/>
              </w:rPr>
              <w:t>/</w:t>
            </w:r>
          </w:p>
        </w:tc>
        <w:tc>
          <w:tcPr>
            <w:tcW w:w="2265" w:type="dxa"/>
            <w:tcBorders>
              <w:tl2br w:val="nil"/>
              <w:tr2bl w:val="nil"/>
            </w:tcBorders>
            <w:shd w:val="clear" w:color="auto" w:fill="auto"/>
            <w:vAlign w:val="center"/>
          </w:tcPr>
          <w:p w14:paraId="2E12A3C1">
            <w:pPr>
              <w:pStyle w:val="29"/>
              <w:rPr>
                <w:color w:val="0000FF"/>
              </w:rPr>
            </w:pPr>
            <w:r>
              <w:rPr>
                <w:color w:val="0000FF"/>
              </w:rPr>
              <w:t>0.3</w:t>
            </w:r>
          </w:p>
        </w:tc>
        <w:tc>
          <w:tcPr>
            <w:tcW w:w="1057" w:type="dxa"/>
            <w:tcBorders>
              <w:tl2br w:val="nil"/>
              <w:tr2bl w:val="nil"/>
            </w:tcBorders>
            <w:shd w:val="clear" w:color="auto" w:fill="auto"/>
            <w:vAlign w:val="center"/>
          </w:tcPr>
          <w:p w14:paraId="1C20E401">
            <w:pPr>
              <w:pStyle w:val="29"/>
              <w:rPr>
                <w:color w:val="0000FF"/>
              </w:rPr>
            </w:pPr>
            <w:r>
              <w:rPr>
                <w:rFonts w:hint="eastAsia"/>
                <w:color w:val="0000FF"/>
              </w:rPr>
              <w:t>+</w:t>
            </w:r>
            <w:r>
              <w:rPr>
                <w:color w:val="0000FF"/>
              </w:rPr>
              <w:t>0.3</w:t>
            </w:r>
          </w:p>
        </w:tc>
      </w:tr>
      <w:tr w14:paraId="43F48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52EF8EDC">
            <w:pPr>
              <w:pStyle w:val="29"/>
              <w:rPr>
                <w:color w:val="0000FF"/>
              </w:rPr>
            </w:pPr>
          </w:p>
        </w:tc>
        <w:tc>
          <w:tcPr>
            <w:tcW w:w="1815" w:type="dxa"/>
            <w:tcBorders>
              <w:tl2br w:val="nil"/>
              <w:tr2bl w:val="nil"/>
            </w:tcBorders>
            <w:shd w:val="clear" w:color="auto" w:fill="auto"/>
            <w:vAlign w:val="center"/>
          </w:tcPr>
          <w:p w14:paraId="4B4878D8">
            <w:pPr>
              <w:pStyle w:val="29"/>
              <w:rPr>
                <w:color w:val="0000FF"/>
              </w:rPr>
            </w:pPr>
            <w:r>
              <w:rPr>
                <w:color w:val="0000FF"/>
              </w:rPr>
              <w:t>废软化器</w:t>
            </w:r>
          </w:p>
        </w:tc>
        <w:tc>
          <w:tcPr>
            <w:tcW w:w="1512" w:type="dxa"/>
            <w:tcBorders>
              <w:tl2br w:val="nil"/>
              <w:tr2bl w:val="nil"/>
            </w:tcBorders>
            <w:shd w:val="clear" w:color="auto" w:fill="auto"/>
            <w:vAlign w:val="center"/>
          </w:tcPr>
          <w:p w14:paraId="3650D807">
            <w:pPr>
              <w:pStyle w:val="29"/>
              <w:rPr>
                <w:color w:val="0000FF"/>
              </w:rPr>
            </w:pPr>
            <w:r>
              <w:rPr>
                <w:color w:val="0000FF"/>
              </w:rPr>
              <w:t>/</w:t>
            </w:r>
          </w:p>
        </w:tc>
        <w:tc>
          <w:tcPr>
            <w:tcW w:w="1488" w:type="dxa"/>
            <w:tcBorders>
              <w:tl2br w:val="nil"/>
              <w:tr2bl w:val="nil"/>
            </w:tcBorders>
            <w:shd w:val="clear" w:color="auto" w:fill="auto"/>
            <w:vAlign w:val="center"/>
          </w:tcPr>
          <w:p w14:paraId="567C4B0D">
            <w:pPr>
              <w:pStyle w:val="29"/>
              <w:rPr>
                <w:color w:val="0000FF"/>
              </w:rPr>
            </w:pPr>
            <w:r>
              <w:rPr>
                <w:color w:val="0000FF"/>
              </w:rPr>
              <w:t>/</w:t>
            </w:r>
          </w:p>
        </w:tc>
        <w:tc>
          <w:tcPr>
            <w:tcW w:w="1558" w:type="dxa"/>
            <w:tcBorders>
              <w:tl2br w:val="nil"/>
              <w:tr2bl w:val="nil"/>
            </w:tcBorders>
            <w:shd w:val="clear" w:color="auto" w:fill="auto"/>
            <w:vAlign w:val="center"/>
          </w:tcPr>
          <w:p w14:paraId="795808A3">
            <w:pPr>
              <w:pStyle w:val="29"/>
              <w:rPr>
                <w:color w:val="0000FF"/>
              </w:rPr>
            </w:pPr>
            <w:r>
              <w:rPr>
                <w:color w:val="0000FF"/>
              </w:rPr>
              <w:t>/</w:t>
            </w:r>
          </w:p>
        </w:tc>
        <w:tc>
          <w:tcPr>
            <w:tcW w:w="1747" w:type="dxa"/>
            <w:tcBorders>
              <w:tl2br w:val="nil"/>
              <w:tr2bl w:val="nil"/>
            </w:tcBorders>
            <w:shd w:val="clear" w:color="auto" w:fill="auto"/>
            <w:vAlign w:val="center"/>
          </w:tcPr>
          <w:p w14:paraId="41504A07">
            <w:pPr>
              <w:pStyle w:val="29"/>
              <w:rPr>
                <w:color w:val="0000FF"/>
              </w:rPr>
            </w:pPr>
            <w:r>
              <w:rPr>
                <w:color w:val="0000FF"/>
              </w:rPr>
              <w:t>0.3</w:t>
            </w:r>
          </w:p>
        </w:tc>
        <w:tc>
          <w:tcPr>
            <w:tcW w:w="1917" w:type="dxa"/>
            <w:tcBorders>
              <w:tl2br w:val="nil"/>
              <w:tr2bl w:val="nil"/>
            </w:tcBorders>
            <w:vAlign w:val="center"/>
          </w:tcPr>
          <w:p w14:paraId="4034CF47">
            <w:pPr>
              <w:pStyle w:val="29"/>
              <w:rPr>
                <w:color w:val="0000FF"/>
              </w:rPr>
            </w:pPr>
            <w:r>
              <w:rPr>
                <w:color w:val="0000FF"/>
              </w:rPr>
              <w:t>/</w:t>
            </w:r>
          </w:p>
        </w:tc>
        <w:tc>
          <w:tcPr>
            <w:tcW w:w="2265" w:type="dxa"/>
            <w:tcBorders>
              <w:tl2br w:val="nil"/>
              <w:tr2bl w:val="nil"/>
            </w:tcBorders>
            <w:shd w:val="clear" w:color="auto" w:fill="auto"/>
            <w:vAlign w:val="center"/>
          </w:tcPr>
          <w:p w14:paraId="45009D60">
            <w:pPr>
              <w:pStyle w:val="29"/>
              <w:rPr>
                <w:color w:val="0000FF"/>
              </w:rPr>
            </w:pPr>
            <w:r>
              <w:rPr>
                <w:color w:val="0000FF"/>
              </w:rPr>
              <w:t>0.3</w:t>
            </w:r>
          </w:p>
        </w:tc>
        <w:tc>
          <w:tcPr>
            <w:tcW w:w="1057" w:type="dxa"/>
            <w:tcBorders>
              <w:tl2br w:val="nil"/>
              <w:tr2bl w:val="nil"/>
            </w:tcBorders>
            <w:shd w:val="clear" w:color="auto" w:fill="auto"/>
            <w:vAlign w:val="center"/>
          </w:tcPr>
          <w:p w14:paraId="43A249C3">
            <w:pPr>
              <w:pStyle w:val="29"/>
              <w:rPr>
                <w:color w:val="0000FF"/>
              </w:rPr>
            </w:pPr>
            <w:r>
              <w:rPr>
                <w:rFonts w:hint="eastAsia"/>
                <w:color w:val="0000FF"/>
              </w:rPr>
              <w:t>+</w:t>
            </w:r>
            <w:r>
              <w:rPr>
                <w:color w:val="0000FF"/>
              </w:rPr>
              <w:t>0.3</w:t>
            </w:r>
          </w:p>
        </w:tc>
      </w:tr>
      <w:tr w14:paraId="1503F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vMerge w:val="continue"/>
            <w:tcBorders>
              <w:tl2br w:val="nil"/>
              <w:tr2bl w:val="nil"/>
            </w:tcBorders>
            <w:vAlign w:val="center"/>
          </w:tcPr>
          <w:p w14:paraId="1718BAA8">
            <w:pPr>
              <w:pStyle w:val="29"/>
              <w:rPr>
                <w:color w:val="0000FF"/>
              </w:rPr>
            </w:pPr>
          </w:p>
        </w:tc>
        <w:tc>
          <w:tcPr>
            <w:tcW w:w="1815" w:type="dxa"/>
            <w:tcBorders>
              <w:tl2br w:val="nil"/>
              <w:tr2bl w:val="nil"/>
            </w:tcBorders>
            <w:shd w:val="clear" w:color="auto" w:fill="auto"/>
            <w:vAlign w:val="center"/>
          </w:tcPr>
          <w:p w14:paraId="2ABD7B20">
            <w:pPr>
              <w:pStyle w:val="29"/>
              <w:rPr>
                <w:color w:val="0000FF"/>
              </w:rPr>
            </w:pPr>
            <w:r>
              <w:rPr>
                <w:color w:val="0000FF"/>
              </w:rPr>
              <w:t>废RO膜</w:t>
            </w:r>
          </w:p>
        </w:tc>
        <w:tc>
          <w:tcPr>
            <w:tcW w:w="1512" w:type="dxa"/>
            <w:tcBorders>
              <w:tl2br w:val="nil"/>
              <w:tr2bl w:val="nil"/>
            </w:tcBorders>
            <w:vAlign w:val="center"/>
          </w:tcPr>
          <w:p w14:paraId="42294807">
            <w:pPr>
              <w:pStyle w:val="29"/>
              <w:rPr>
                <w:color w:val="0000FF"/>
              </w:rPr>
            </w:pPr>
            <w:r>
              <w:rPr>
                <w:color w:val="0000FF"/>
              </w:rPr>
              <w:t>/</w:t>
            </w:r>
          </w:p>
        </w:tc>
        <w:tc>
          <w:tcPr>
            <w:tcW w:w="1488" w:type="dxa"/>
            <w:tcBorders>
              <w:tl2br w:val="nil"/>
              <w:tr2bl w:val="nil"/>
            </w:tcBorders>
            <w:vAlign w:val="center"/>
          </w:tcPr>
          <w:p w14:paraId="44BD005F">
            <w:pPr>
              <w:pStyle w:val="29"/>
              <w:rPr>
                <w:color w:val="0000FF"/>
              </w:rPr>
            </w:pPr>
            <w:r>
              <w:rPr>
                <w:color w:val="0000FF"/>
              </w:rPr>
              <w:t>/</w:t>
            </w:r>
          </w:p>
        </w:tc>
        <w:tc>
          <w:tcPr>
            <w:tcW w:w="1558" w:type="dxa"/>
            <w:tcBorders>
              <w:tl2br w:val="nil"/>
              <w:tr2bl w:val="nil"/>
            </w:tcBorders>
            <w:vAlign w:val="center"/>
          </w:tcPr>
          <w:p w14:paraId="21C40F76">
            <w:pPr>
              <w:pStyle w:val="29"/>
              <w:rPr>
                <w:color w:val="0000FF"/>
              </w:rPr>
            </w:pPr>
            <w:r>
              <w:rPr>
                <w:color w:val="0000FF"/>
              </w:rPr>
              <w:t>/</w:t>
            </w:r>
          </w:p>
        </w:tc>
        <w:tc>
          <w:tcPr>
            <w:tcW w:w="1747" w:type="dxa"/>
            <w:tcBorders>
              <w:tl2br w:val="nil"/>
              <w:tr2bl w:val="nil"/>
            </w:tcBorders>
            <w:shd w:val="clear" w:color="auto" w:fill="auto"/>
            <w:vAlign w:val="center"/>
          </w:tcPr>
          <w:p w14:paraId="7991D843">
            <w:pPr>
              <w:pStyle w:val="29"/>
              <w:rPr>
                <w:color w:val="0000FF"/>
              </w:rPr>
            </w:pPr>
            <w:r>
              <w:rPr>
                <w:color w:val="0000FF"/>
              </w:rPr>
              <w:t>0.2</w:t>
            </w:r>
          </w:p>
        </w:tc>
        <w:tc>
          <w:tcPr>
            <w:tcW w:w="1917" w:type="dxa"/>
            <w:tcBorders>
              <w:tl2br w:val="nil"/>
              <w:tr2bl w:val="nil"/>
            </w:tcBorders>
            <w:vAlign w:val="center"/>
          </w:tcPr>
          <w:p w14:paraId="6B227D98">
            <w:pPr>
              <w:pStyle w:val="29"/>
              <w:rPr>
                <w:color w:val="0000FF"/>
              </w:rPr>
            </w:pPr>
            <w:r>
              <w:rPr>
                <w:color w:val="0000FF"/>
              </w:rPr>
              <w:t>/</w:t>
            </w:r>
          </w:p>
        </w:tc>
        <w:tc>
          <w:tcPr>
            <w:tcW w:w="2265" w:type="dxa"/>
            <w:tcBorders>
              <w:tl2br w:val="nil"/>
              <w:tr2bl w:val="nil"/>
            </w:tcBorders>
            <w:shd w:val="clear" w:color="auto" w:fill="auto"/>
            <w:vAlign w:val="center"/>
          </w:tcPr>
          <w:p w14:paraId="253928C8">
            <w:pPr>
              <w:pStyle w:val="29"/>
              <w:rPr>
                <w:color w:val="0000FF"/>
              </w:rPr>
            </w:pPr>
            <w:r>
              <w:rPr>
                <w:color w:val="0000FF"/>
              </w:rPr>
              <w:t>0.2</w:t>
            </w:r>
          </w:p>
        </w:tc>
        <w:tc>
          <w:tcPr>
            <w:tcW w:w="1057" w:type="dxa"/>
            <w:tcBorders>
              <w:tl2br w:val="nil"/>
              <w:tr2bl w:val="nil"/>
            </w:tcBorders>
            <w:shd w:val="clear" w:color="auto" w:fill="auto"/>
            <w:vAlign w:val="center"/>
          </w:tcPr>
          <w:p w14:paraId="1CDE3E2D">
            <w:pPr>
              <w:pStyle w:val="29"/>
              <w:rPr>
                <w:color w:val="0000FF"/>
              </w:rPr>
            </w:pPr>
            <w:r>
              <w:rPr>
                <w:rFonts w:hint="eastAsia"/>
                <w:color w:val="0000FF"/>
              </w:rPr>
              <w:t>+</w:t>
            </w:r>
            <w:r>
              <w:rPr>
                <w:color w:val="0000FF"/>
              </w:rPr>
              <w:t>0.2</w:t>
            </w:r>
          </w:p>
        </w:tc>
      </w:tr>
      <w:tr w14:paraId="2DD2D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837" w:type="dxa"/>
            <w:tcBorders>
              <w:tl2br w:val="nil"/>
              <w:tr2bl w:val="nil"/>
            </w:tcBorders>
            <w:vAlign w:val="center"/>
          </w:tcPr>
          <w:p w14:paraId="550202EB">
            <w:pPr>
              <w:pStyle w:val="29"/>
              <w:rPr>
                <w:color w:val="0000FF"/>
              </w:rPr>
            </w:pPr>
            <w:r>
              <w:rPr>
                <w:color w:val="0000FF"/>
              </w:rPr>
              <w:t>生活</w:t>
            </w:r>
          </w:p>
        </w:tc>
        <w:tc>
          <w:tcPr>
            <w:tcW w:w="1815" w:type="dxa"/>
            <w:tcBorders>
              <w:tl2br w:val="nil"/>
              <w:tr2bl w:val="nil"/>
            </w:tcBorders>
            <w:vAlign w:val="center"/>
          </w:tcPr>
          <w:p w14:paraId="4936CB6F">
            <w:pPr>
              <w:pStyle w:val="29"/>
              <w:rPr>
                <w:color w:val="0000FF"/>
              </w:rPr>
            </w:pPr>
            <w:r>
              <w:rPr>
                <w:color w:val="0000FF"/>
              </w:rPr>
              <w:t>生活垃圾</w:t>
            </w:r>
          </w:p>
        </w:tc>
        <w:tc>
          <w:tcPr>
            <w:tcW w:w="1512" w:type="dxa"/>
            <w:tcBorders>
              <w:tl2br w:val="nil"/>
              <w:tr2bl w:val="nil"/>
            </w:tcBorders>
            <w:vAlign w:val="center"/>
          </w:tcPr>
          <w:p w14:paraId="562747E6">
            <w:pPr>
              <w:pStyle w:val="29"/>
              <w:rPr>
                <w:color w:val="0000FF"/>
              </w:rPr>
            </w:pPr>
            <w:r>
              <w:rPr>
                <w:color w:val="0000FF"/>
              </w:rPr>
              <w:t>/</w:t>
            </w:r>
          </w:p>
        </w:tc>
        <w:tc>
          <w:tcPr>
            <w:tcW w:w="1488" w:type="dxa"/>
            <w:tcBorders>
              <w:tl2br w:val="nil"/>
              <w:tr2bl w:val="nil"/>
            </w:tcBorders>
            <w:vAlign w:val="center"/>
          </w:tcPr>
          <w:p w14:paraId="3BFE35F2">
            <w:pPr>
              <w:pStyle w:val="29"/>
              <w:rPr>
                <w:color w:val="0000FF"/>
              </w:rPr>
            </w:pPr>
            <w:r>
              <w:rPr>
                <w:color w:val="0000FF"/>
              </w:rPr>
              <w:t>/</w:t>
            </w:r>
          </w:p>
        </w:tc>
        <w:tc>
          <w:tcPr>
            <w:tcW w:w="1558" w:type="dxa"/>
            <w:tcBorders>
              <w:tl2br w:val="nil"/>
              <w:tr2bl w:val="nil"/>
            </w:tcBorders>
            <w:vAlign w:val="center"/>
          </w:tcPr>
          <w:p w14:paraId="22685444">
            <w:pPr>
              <w:pStyle w:val="29"/>
              <w:rPr>
                <w:color w:val="0000FF"/>
              </w:rPr>
            </w:pPr>
            <w:r>
              <w:rPr>
                <w:color w:val="0000FF"/>
              </w:rPr>
              <w:t>/</w:t>
            </w:r>
          </w:p>
        </w:tc>
        <w:tc>
          <w:tcPr>
            <w:tcW w:w="1747" w:type="dxa"/>
            <w:tcBorders>
              <w:tl2br w:val="nil"/>
              <w:tr2bl w:val="nil"/>
            </w:tcBorders>
            <w:shd w:val="clear" w:color="auto" w:fill="auto"/>
            <w:vAlign w:val="center"/>
          </w:tcPr>
          <w:p w14:paraId="177575E5">
            <w:pPr>
              <w:pStyle w:val="29"/>
              <w:rPr>
                <w:color w:val="0000FF"/>
              </w:rPr>
            </w:pPr>
            <w:r>
              <w:rPr>
                <w:color w:val="0000FF"/>
              </w:rPr>
              <w:t>1.5</w:t>
            </w:r>
          </w:p>
        </w:tc>
        <w:tc>
          <w:tcPr>
            <w:tcW w:w="1917" w:type="dxa"/>
            <w:tcBorders>
              <w:tl2br w:val="nil"/>
              <w:tr2bl w:val="nil"/>
            </w:tcBorders>
            <w:vAlign w:val="center"/>
          </w:tcPr>
          <w:p w14:paraId="103886B8">
            <w:pPr>
              <w:pStyle w:val="29"/>
              <w:rPr>
                <w:color w:val="0000FF"/>
              </w:rPr>
            </w:pPr>
            <w:r>
              <w:rPr>
                <w:color w:val="0000FF"/>
              </w:rPr>
              <w:t>/</w:t>
            </w:r>
          </w:p>
        </w:tc>
        <w:tc>
          <w:tcPr>
            <w:tcW w:w="2265" w:type="dxa"/>
            <w:tcBorders>
              <w:tl2br w:val="nil"/>
              <w:tr2bl w:val="nil"/>
            </w:tcBorders>
            <w:shd w:val="clear" w:color="auto" w:fill="auto"/>
            <w:vAlign w:val="center"/>
          </w:tcPr>
          <w:p w14:paraId="639500FB">
            <w:pPr>
              <w:pStyle w:val="29"/>
              <w:rPr>
                <w:color w:val="0000FF"/>
              </w:rPr>
            </w:pPr>
            <w:r>
              <w:rPr>
                <w:color w:val="0000FF"/>
              </w:rPr>
              <w:t>1.5</w:t>
            </w:r>
          </w:p>
        </w:tc>
        <w:tc>
          <w:tcPr>
            <w:tcW w:w="1057" w:type="dxa"/>
            <w:tcBorders>
              <w:tl2br w:val="nil"/>
              <w:tr2bl w:val="nil"/>
            </w:tcBorders>
            <w:shd w:val="clear" w:color="auto" w:fill="auto"/>
            <w:vAlign w:val="center"/>
          </w:tcPr>
          <w:p w14:paraId="6653899A">
            <w:pPr>
              <w:pStyle w:val="29"/>
              <w:rPr>
                <w:color w:val="0000FF"/>
              </w:rPr>
            </w:pPr>
            <w:r>
              <w:rPr>
                <w:rFonts w:hint="eastAsia"/>
                <w:color w:val="0000FF"/>
              </w:rPr>
              <w:t>+</w:t>
            </w:r>
            <w:r>
              <w:rPr>
                <w:color w:val="0000FF"/>
              </w:rPr>
              <w:t>1.5</w:t>
            </w:r>
          </w:p>
        </w:tc>
      </w:tr>
    </w:tbl>
    <w:p w14:paraId="0BED0379">
      <w:pPr>
        <w:pStyle w:val="18"/>
        <w:ind w:firstLine="0" w:firstLineChars="0"/>
      </w:pPr>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ncheng xu" w:date="2024-09-19T17:13:00Z" w:initials="hx">
    <w:p w14:paraId="24AF573A">
      <w:pPr>
        <w:pStyle w:val="6"/>
        <w:ind w:firstLine="0" w:firstLineChars="0"/>
      </w:pPr>
      <w:r>
        <w:rPr>
          <w:rFonts w:hint="eastAsia"/>
        </w:rPr>
        <w:t>明确什么名称</w:t>
      </w:r>
    </w:p>
  </w:comment>
  <w:comment w:id="1" w:author="huancheng xu" w:date="2024-09-19T17:15:00Z" w:initials="hx">
    <w:p w14:paraId="48281E1E">
      <w:pPr>
        <w:pStyle w:val="6"/>
        <w:ind w:firstLine="0" w:firstLineChars="0"/>
      </w:pPr>
      <w:r>
        <w:rPr>
          <w:rFonts w:hint="eastAsia"/>
        </w:rPr>
        <w:t>这一章节边框明显比上一章节粗</w:t>
      </w:r>
    </w:p>
  </w:comment>
  <w:comment w:id="2" w:author="huancheng xu" w:date="2024-09-19T17:18:00Z" w:initials="hx">
    <w:p w14:paraId="7D317CB3">
      <w:pPr>
        <w:pStyle w:val="6"/>
        <w:ind w:firstLine="0" w:firstLineChars="0"/>
      </w:pPr>
      <w:r>
        <w:rPr>
          <w:rFonts w:hint="eastAsia"/>
        </w:rPr>
        <w:t>氨、硫化氢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AF573A" w15:done="0"/>
  <w15:commentEx w15:paraId="48281E1E" w15:done="0"/>
  <w15:commentEx w15:paraId="7D317C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1">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F839">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F747">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F27C">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EC54">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FE929">
                          <w:pPr>
                            <w:pStyle w:val="1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8FFE929">
                    <w:pPr>
                      <w:pStyle w:val="1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4F8B">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2D19">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B8AB">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EADE4"/>
    <w:multiLevelType w:val="singleLevel"/>
    <w:tmpl w:val="B37EADE4"/>
    <w:lvl w:ilvl="0" w:tentative="0">
      <w:start w:val="1"/>
      <w:numFmt w:val="decimal"/>
      <w:suff w:val="nothing"/>
      <w:lvlText w:val="%1、"/>
      <w:lvlJc w:val="left"/>
    </w:lvl>
  </w:abstractNum>
  <w:abstractNum w:abstractNumId="1">
    <w:nsid w:val="EC16AEFA"/>
    <w:multiLevelType w:val="singleLevel"/>
    <w:tmpl w:val="EC16AEFA"/>
    <w:lvl w:ilvl="0" w:tentative="0">
      <w:start w:val="1"/>
      <w:numFmt w:val="decimal"/>
      <w:suff w:val="nothing"/>
      <w:lvlText w:val="（%1）"/>
      <w:lvlJc w:val="left"/>
    </w:lvl>
  </w:abstractNum>
  <w:abstractNum w:abstractNumId="2">
    <w:nsid w:val="FFAA8E15"/>
    <w:multiLevelType w:val="singleLevel"/>
    <w:tmpl w:val="FFAA8E15"/>
    <w:lvl w:ilvl="0" w:tentative="0">
      <w:start w:val="1"/>
      <w:numFmt w:val="chineseCounting"/>
      <w:suff w:val="nothing"/>
      <w:lvlText w:val="%1、"/>
      <w:lvlJc w:val="left"/>
      <w:rPr>
        <w:rFonts w:hint="eastAsia"/>
      </w:rPr>
    </w:lvl>
  </w:abstractNum>
  <w:abstractNum w:abstractNumId="3">
    <w:nsid w:val="FFBF0C03"/>
    <w:multiLevelType w:val="singleLevel"/>
    <w:tmpl w:val="FFBF0C03"/>
    <w:lvl w:ilvl="0" w:tentative="0">
      <w:start w:val="1"/>
      <w:numFmt w:val="decimal"/>
      <w:suff w:val="nothing"/>
      <w:lvlText w:val="%1、"/>
      <w:lvlJc w:val="left"/>
    </w:lvl>
  </w:abstractNum>
  <w:abstractNum w:abstractNumId="4">
    <w:nsid w:val="17E80637"/>
    <w:multiLevelType w:val="singleLevel"/>
    <w:tmpl w:val="17E80637"/>
    <w:lvl w:ilvl="0" w:tentative="0">
      <w:start w:val="1"/>
      <w:numFmt w:val="decimal"/>
      <w:suff w:val="nothing"/>
      <w:lvlText w:val="%1、"/>
      <w:lvlJc w:val="left"/>
    </w:lvl>
  </w:abstractNum>
  <w:abstractNum w:abstractNumId="5">
    <w:nsid w:val="2FF39A9F"/>
    <w:multiLevelType w:val="singleLevel"/>
    <w:tmpl w:val="2FF39A9F"/>
    <w:lvl w:ilvl="0" w:tentative="0">
      <w:start w:val="4"/>
      <w:numFmt w:val="decimal"/>
      <w:suff w:val="nothing"/>
      <w:lvlText w:val="%1）"/>
      <w:lvlJc w:val="left"/>
    </w:lvl>
  </w:abstractNum>
  <w:abstractNum w:abstractNumId="6">
    <w:nsid w:val="4CECAEA8"/>
    <w:multiLevelType w:val="singleLevel"/>
    <w:tmpl w:val="4CECAEA8"/>
    <w:lvl w:ilvl="0" w:tentative="0">
      <w:start w:val="4"/>
      <w:numFmt w:val="decimal"/>
      <w:suff w:val="nothing"/>
      <w:lvlText w:val="（%1）"/>
      <w:lvlJc w:val="left"/>
    </w:lvl>
  </w:abstractNum>
  <w:abstractNum w:abstractNumId="7">
    <w:nsid w:val="4CF744E2"/>
    <w:multiLevelType w:val="singleLevel"/>
    <w:tmpl w:val="4CF744E2"/>
    <w:lvl w:ilvl="0" w:tentative="0">
      <w:start w:val="1"/>
      <w:numFmt w:val="decimal"/>
      <w:suff w:val="nothing"/>
      <w:lvlText w:val="%1、"/>
      <w:lvlJc w:val="left"/>
    </w:lvl>
  </w:abstractNum>
  <w:abstractNum w:abstractNumId="8">
    <w:nsid w:val="4E5FFA39"/>
    <w:multiLevelType w:val="singleLevel"/>
    <w:tmpl w:val="4E5FFA39"/>
    <w:lvl w:ilvl="0" w:tentative="0">
      <w:start w:val="1"/>
      <w:numFmt w:val="decimal"/>
      <w:suff w:val="nothing"/>
      <w:lvlText w:val="（%1）"/>
      <w:lvlJc w:val="left"/>
    </w:lvl>
  </w:abstractNum>
  <w:num w:numId="1">
    <w:abstractNumId w:val="2"/>
  </w:num>
  <w:num w:numId="2">
    <w:abstractNumId w:val="5"/>
  </w:num>
  <w:num w:numId="3">
    <w:abstractNumId w:val="7"/>
  </w:num>
  <w:num w:numId="4">
    <w:abstractNumId w:val="3"/>
  </w:num>
  <w:num w:numId="5">
    <w:abstractNumId w:val="0"/>
  </w:num>
  <w:num w:numId="6">
    <w:abstractNumId w:val="4"/>
  </w:num>
  <w:num w:numId="7">
    <w:abstractNumId w:val="8"/>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cheng xu">
    <w15:presenceInfo w15:providerId="None" w15:userId="huanche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YzllNTYzODQ3OTM0OGI3M2Y4ZTNhMTgwYTQ4NGYifQ=="/>
  </w:docVars>
  <w:rsids>
    <w:rsidRoot w:val="24F802F9"/>
    <w:rsid w:val="000135B1"/>
    <w:rsid w:val="000306CF"/>
    <w:rsid w:val="00140BA8"/>
    <w:rsid w:val="001445FD"/>
    <w:rsid w:val="00164C26"/>
    <w:rsid w:val="00166AD5"/>
    <w:rsid w:val="001C00BF"/>
    <w:rsid w:val="002510CD"/>
    <w:rsid w:val="00311A5F"/>
    <w:rsid w:val="00365422"/>
    <w:rsid w:val="00432A53"/>
    <w:rsid w:val="00502B3F"/>
    <w:rsid w:val="005D6738"/>
    <w:rsid w:val="005E0313"/>
    <w:rsid w:val="005F65CD"/>
    <w:rsid w:val="00615F3D"/>
    <w:rsid w:val="0067722F"/>
    <w:rsid w:val="006B7C88"/>
    <w:rsid w:val="007A3406"/>
    <w:rsid w:val="007B0D52"/>
    <w:rsid w:val="007B5620"/>
    <w:rsid w:val="007E2EF7"/>
    <w:rsid w:val="008D4A8A"/>
    <w:rsid w:val="00951A90"/>
    <w:rsid w:val="00972F6B"/>
    <w:rsid w:val="009F4C1B"/>
    <w:rsid w:val="00A763F9"/>
    <w:rsid w:val="00A92140"/>
    <w:rsid w:val="00AB1DAA"/>
    <w:rsid w:val="00AD10E6"/>
    <w:rsid w:val="00C11035"/>
    <w:rsid w:val="00C23488"/>
    <w:rsid w:val="00C823C4"/>
    <w:rsid w:val="00CC5B91"/>
    <w:rsid w:val="00E64688"/>
    <w:rsid w:val="00EB21B5"/>
    <w:rsid w:val="00F76805"/>
    <w:rsid w:val="00FE5DE6"/>
    <w:rsid w:val="00FF1B6C"/>
    <w:rsid w:val="00FF6E9E"/>
    <w:rsid w:val="0100391D"/>
    <w:rsid w:val="011078C7"/>
    <w:rsid w:val="0116722E"/>
    <w:rsid w:val="0123584C"/>
    <w:rsid w:val="012810B4"/>
    <w:rsid w:val="012D2227"/>
    <w:rsid w:val="01374E54"/>
    <w:rsid w:val="013E4434"/>
    <w:rsid w:val="01401F5A"/>
    <w:rsid w:val="01431A4A"/>
    <w:rsid w:val="014A2DD9"/>
    <w:rsid w:val="01536131"/>
    <w:rsid w:val="0159301C"/>
    <w:rsid w:val="016043AA"/>
    <w:rsid w:val="01633E9B"/>
    <w:rsid w:val="01830099"/>
    <w:rsid w:val="018C1643"/>
    <w:rsid w:val="019D73AC"/>
    <w:rsid w:val="01A22C15"/>
    <w:rsid w:val="01A7647D"/>
    <w:rsid w:val="01B36BD0"/>
    <w:rsid w:val="01C04E49"/>
    <w:rsid w:val="01DA23AF"/>
    <w:rsid w:val="01EC0334"/>
    <w:rsid w:val="01EE19B6"/>
    <w:rsid w:val="01EE7C08"/>
    <w:rsid w:val="020C62E0"/>
    <w:rsid w:val="02151639"/>
    <w:rsid w:val="0216715F"/>
    <w:rsid w:val="0224187C"/>
    <w:rsid w:val="02247ACE"/>
    <w:rsid w:val="0227136C"/>
    <w:rsid w:val="022C24DE"/>
    <w:rsid w:val="02313F99"/>
    <w:rsid w:val="02385327"/>
    <w:rsid w:val="023B2668"/>
    <w:rsid w:val="024617F2"/>
    <w:rsid w:val="0247556A"/>
    <w:rsid w:val="025008C3"/>
    <w:rsid w:val="02571C51"/>
    <w:rsid w:val="025F28B4"/>
    <w:rsid w:val="02641C78"/>
    <w:rsid w:val="02673621"/>
    <w:rsid w:val="0270686F"/>
    <w:rsid w:val="02777BFD"/>
    <w:rsid w:val="028265A2"/>
    <w:rsid w:val="02902A6D"/>
    <w:rsid w:val="02924A37"/>
    <w:rsid w:val="02954528"/>
    <w:rsid w:val="02A66735"/>
    <w:rsid w:val="02B524D4"/>
    <w:rsid w:val="02CD0BC3"/>
    <w:rsid w:val="02CD1F13"/>
    <w:rsid w:val="02D7069C"/>
    <w:rsid w:val="02E828A9"/>
    <w:rsid w:val="02F72AEC"/>
    <w:rsid w:val="03086AA8"/>
    <w:rsid w:val="031F3DF1"/>
    <w:rsid w:val="03261624"/>
    <w:rsid w:val="0341645D"/>
    <w:rsid w:val="035B751F"/>
    <w:rsid w:val="03655CA8"/>
    <w:rsid w:val="036D3B23"/>
    <w:rsid w:val="03724869"/>
    <w:rsid w:val="037405E1"/>
    <w:rsid w:val="037A095A"/>
    <w:rsid w:val="03836A76"/>
    <w:rsid w:val="03A965F3"/>
    <w:rsid w:val="03AA4003"/>
    <w:rsid w:val="03B66504"/>
    <w:rsid w:val="03BB6210"/>
    <w:rsid w:val="03C36E72"/>
    <w:rsid w:val="03C926DB"/>
    <w:rsid w:val="03D41080"/>
    <w:rsid w:val="03F4702C"/>
    <w:rsid w:val="03FD05D6"/>
    <w:rsid w:val="040172D6"/>
    <w:rsid w:val="04077C57"/>
    <w:rsid w:val="040F20B8"/>
    <w:rsid w:val="04293179"/>
    <w:rsid w:val="043164D2"/>
    <w:rsid w:val="04477AA3"/>
    <w:rsid w:val="044A30F0"/>
    <w:rsid w:val="044B7594"/>
    <w:rsid w:val="04504BAA"/>
    <w:rsid w:val="045D72C7"/>
    <w:rsid w:val="047C599F"/>
    <w:rsid w:val="04806B11"/>
    <w:rsid w:val="04A722F0"/>
    <w:rsid w:val="04BF588C"/>
    <w:rsid w:val="04C335CE"/>
    <w:rsid w:val="04C44C50"/>
    <w:rsid w:val="04DC4690"/>
    <w:rsid w:val="04E672BC"/>
    <w:rsid w:val="04E83035"/>
    <w:rsid w:val="04ED064B"/>
    <w:rsid w:val="050B6D23"/>
    <w:rsid w:val="05104339"/>
    <w:rsid w:val="051F10E1"/>
    <w:rsid w:val="05300538"/>
    <w:rsid w:val="05404C1F"/>
    <w:rsid w:val="054B711F"/>
    <w:rsid w:val="054D10EA"/>
    <w:rsid w:val="056A1C9B"/>
    <w:rsid w:val="0580326D"/>
    <w:rsid w:val="059211F2"/>
    <w:rsid w:val="0596483F"/>
    <w:rsid w:val="059B00A7"/>
    <w:rsid w:val="05B178CA"/>
    <w:rsid w:val="05B607CF"/>
    <w:rsid w:val="05BB42A5"/>
    <w:rsid w:val="05D435B9"/>
    <w:rsid w:val="05D84E57"/>
    <w:rsid w:val="05E732EC"/>
    <w:rsid w:val="05F11A75"/>
    <w:rsid w:val="05F17CC7"/>
    <w:rsid w:val="05F81055"/>
    <w:rsid w:val="05FD2B10"/>
    <w:rsid w:val="05FD48BE"/>
    <w:rsid w:val="060043AE"/>
    <w:rsid w:val="06020126"/>
    <w:rsid w:val="060A0D89"/>
    <w:rsid w:val="060F45F1"/>
    <w:rsid w:val="06113EC5"/>
    <w:rsid w:val="06284F47"/>
    <w:rsid w:val="063351E1"/>
    <w:rsid w:val="06450013"/>
    <w:rsid w:val="06475B39"/>
    <w:rsid w:val="064C75F3"/>
    <w:rsid w:val="066A7A79"/>
    <w:rsid w:val="0671705A"/>
    <w:rsid w:val="067907E0"/>
    <w:rsid w:val="06AE7966"/>
    <w:rsid w:val="06D66EBD"/>
    <w:rsid w:val="06D73361"/>
    <w:rsid w:val="06D80E87"/>
    <w:rsid w:val="06E93094"/>
    <w:rsid w:val="06E94E42"/>
    <w:rsid w:val="07013F3A"/>
    <w:rsid w:val="07061550"/>
    <w:rsid w:val="07117EF5"/>
    <w:rsid w:val="0721638A"/>
    <w:rsid w:val="072C2FAA"/>
    <w:rsid w:val="073F2CB4"/>
    <w:rsid w:val="074B2D67"/>
    <w:rsid w:val="07500980"/>
    <w:rsid w:val="0753050D"/>
    <w:rsid w:val="07554285"/>
    <w:rsid w:val="075E138C"/>
    <w:rsid w:val="07612C2A"/>
    <w:rsid w:val="076444C8"/>
    <w:rsid w:val="077869E0"/>
    <w:rsid w:val="077C7A64"/>
    <w:rsid w:val="078E1545"/>
    <w:rsid w:val="07927288"/>
    <w:rsid w:val="079F3753"/>
    <w:rsid w:val="079F3DC6"/>
    <w:rsid w:val="07A019A5"/>
    <w:rsid w:val="07A11279"/>
    <w:rsid w:val="07A33756"/>
    <w:rsid w:val="07AD40C1"/>
    <w:rsid w:val="07B90CB8"/>
    <w:rsid w:val="07BA233A"/>
    <w:rsid w:val="07BE62CF"/>
    <w:rsid w:val="07D16002"/>
    <w:rsid w:val="07DC0503"/>
    <w:rsid w:val="07DE427B"/>
    <w:rsid w:val="07ED44BE"/>
    <w:rsid w:val="082223BA"/>
    <w:rsid w:val="082D6FB0"/>
    <w:rsid w:val="082F0F7A"/>
    <w:rsid w:val="08470072"/>
    <w:rsid w:val="085409E1"/>
    <w:rsid w:val="0854453D"/>
    <w:rsid w:val="08550306"/>
    <w:rsid w:val="08566507"/>
    <w:rsid w:val="086C5D2B"/>
    <w:rsid w:val="08730E67"/>
    <w:rsid w:val="08843074"/>
    <w:rsid w:val="088E5CA1"/>
    <w:rsid w:val="088F37C7"/>
    <w:rsid w:val="08964B56"/>
    <w:rsid w:val="089808CE"/>
    <w:rsid w:val="08986B20"/>
    <w:rsid w:val="08A41020"/>
    <w:rsid w:val="08A54D99"/>
    <w:rsid w:val="08A6123D"/>
    <w:rsid w:val="08B65C4F"/>
    <w:rsid w:val="08BD0334"/>
    <w:rsid w:val="08BF5E5A"/>
    <w:rsid w:val="08CC0577"/>
    <w:rsid w:val="08D119D4"/>
    <w:rsid w:val="08D613F6"/>
    <w:rsid w:val="08DB6A0C"/>
    <w:rsid w:val="08E92ED7"/>
    <w:rsid w:val="090221EB"/>
    <w:rsid w:val="090B5543"/>
    <w:rsid w:val="090D12BC"/>
    <w:rsid w:val="091066B6"/>
    <w:rsid w:val="0911242E"/>
    <w:rsid w:val="091A5787"/>
    <w:rsid w:val="091D0DD3"/>
    <w:rsid w:val="091F2D9D"/>
    <w:rsid w:val="092108C3"/>
    <w:rsid w:val="092D54BA"/>
    <w:rsid w:val="09434CDD"/>
    <w:rsid w:val="09457501"/>
    <w:rsid w:val="094C3466"/>
    <w:rsid w:val="094E3039"/>
    <w:rsid w:val="09731054"/>
    <w:rsid w:val="097924AD"/>
    <w:rsid w:val="097A4477"/>
    <w:rsid w:val="09886B94"/>
    <w:rsid w:val="098F1CD1"/>
    <w:rsid w:val="09906B38"/>
    <w:rsid w:val="0995305F"/>
    <w:rsid w:val="09975029"/>
    <w:rsid w:val="099836F7"/>
    <w:rsid w:val="09AD2157"/>
    <w:rsid w:val="09E0077E"/>
    <w:rsid w:val="09E7705D"/>
    <w:rsid w:val="09ED1840"/>
    <w:rsid w:val="09F14739"/>
    <w:rsid w:val="09F204B1"/>
    <w:rsid w:val="0A0501E5"/>
    <w:rsid w:val="0A073F5D"/>
    <w:rsid w:val="0A075D0B"/>
    <w:rsid w:val="0A0D6D90"/>
    <w:rsid w:val="0A195A3E"/>
    <w:rsid w:val="0A1C5118"/>
    <w:rsid w:val="0A27573A"/>
    <w:rsid w:val="0A3960E0"/>
    <w:rsid w:val="0A5E16A3"/>
    <w:rsid w:val="0A642BB8"/>
    <w:rsid w:val="0A650C83"/>
    <w:rsid w:val="0A6767AA"/>
    <w:rsid w:val="0A6F565E"/>
    <w:rsid w:val="0A7D421F"/>
    <w:rsid w:val="0A8530D4"/>
    <w:rsid w:val="0A8F7AAE"/>
    <w:rsid w:val="0A9A26C8"/>
    <w:rsid w:val="0A9B46A5"/>
    <w:rsid w:val="0A9E7CF1"/>
    <w:rsid w:val="0AA479FE"/>
    <w:rsid w:val="0AA51080"/>
    <w:rsid w:val="0AAB4C3F"/>
    <w:rsid w:val="0AB063A2"/>
    <w:rsid w:val="0ABB4D47"/>
    <w:rsid w:val="0AC260D6"/>
    <w:rsid w:val="0AC43BFC"/>
    <w:rsid w:val="0AC51722"/>
    <w:rsid w:val="0AD007F3"/>
    <w:rsid w:val="0ADB7197"/>
    <w:rsid w:val="0AE95411"/>
    <w:rsid w:val="0AF53DB5"/>
    <w:rsid w:val="0B0E131B"/>
    <w:rsid w:val="0B114967"/>
    <w:rsid w:val="0B187AA4"/>
    <w:rsid w:val="0B2428ED"/>
    <w:rsid w:val="0B293A5F"/>
    <w:rsid w:val="0B2B5A29"/>
    <w:rsid w:val="0B2D79F3"/>
    <w:rsid w:val="0B460AB5"/>
    <w:rsid w:val="0B48482D"/>
    <w:rsid w:val="0B574A70"/>
    <w:rsid w:val="0B582596"/>
    <w:rsid w:val="0B603134"/>
    <w:rsid w:val="0B845139"/>
    <w:rsid w:val="0B882E7B"/>
    <w:rsid w:val="0BA37CB5"/>
    <w:rsid w:val="0BA83509"/>
    <w:rsid w:val="0BAD4690"/>
    <w:rsid w:val="0BD22349"/>
    <w:rsid w:val="0BD240F7"/>
    <w:rsid w:val="0BD31C1D"/>
    <w:rsid w:val="0BDE6F3F"/>
    <w:rsid w:val="0BE04A65"/>
    <w:rsid w:val="0BEB340A"/>
    <w:rsid w:val="0BF7590B"/>
    <w:rsid w:val="0BFB5E3F"/>
    <w:rsid w:val="0C061354"/>
    <w:rsid w:val="0C0B585A"/>
    <w:rsid w:val="0C1A784C"/>
    <w:rsid w:val="0C1B3CF0"/>
    <w:rsid w:val="0C236700"/>
    <w:rsid w:val="0C25691C"/>
    <w:rsid w:val="0C3E5484"/>
    <w:rsid w:val="0C5612AA"/>
    <w:rsid w:val="0C6F5DE9"/>
    <w:rsid w:val="0C790A16"/>
    <w:rsid w:val="0C7B478E"/>
    <w:rsid w:val="0C966A7D"/>
    <w:rsid w:val="0C992E66"/>
    <w:rsid w:val="0CA84E57"/>
    <w:rsid w:val="0CBA3508"/>
    <w:rsid w:val="0CCC323C"/>
    <w:rsid w:val="0CE00A95"/>
    <w:rsid w:val="0D076022"/>
    <w:rsid w:val="0D0F0D92"/>
    <w:rsid w:val="0D2941EA"/>
    <w:rsid w:val="0D2A1D10"/>
    <w:rsid w:val="0D2C3CDA"/>
    <w:rsid w:val="0D38442D"/>
    <w:rsid w:val="0D584ACF"/>
    <w:rsid w:val="0D5A43A4"/>
    <w:rsid w:val="0D5D3E94"/>
    <w:rsid w:val="0D674D12"/>
    <w:rsid w:val="0D6945E7"/>
    <w:rsid w:val="0D7A67F4"/>
    <w:rsid w:val="0D896A37"/>
    <w:rsid w:val="0D8D4779"/>
    <w:rsid w:val="0D8E04F1"/>
    <w:rsid w:val="0D961154"/>
    <w:rsid w:val="0DB461AA"/>
    <w:rsid w:val="0DC65EDD"/>
    <w:rsid w:val="0DC92072"/>
    <w:rsid w:val="0DCE6B40"/>
    <w:rsid w:val="0DCF4D92"/>
    <w:rsid w:val="0DF540CC"/>
    <w:rsid w:val="0E00255D"/>
    <w:rsid w:val="0E032C8D"/>
    <w:rsid w:val="0E0662D9"/>
    <w:rsid w:val="0E0A401C"/>
    <w:rsid w:val="0E106210"/>
    <w:rsid w:val="0E146C48"/>
    <w:rsid w:val="0E19600D"/>
    <w:rsid w:val="0E243A05"/>
    <w:rsid w:val="0E3C619F"/>
    <w:rsid w:val="0E511C4A"/>
    <w:rsid w:val="0E5928AD"/>
    <w:rsid w:val="0E603C3C"/>
    <w:rsid w:val="0E67321C"/>
    <w:rsid w:val="0E6F3E7F"/>
    <w:rsid w:val="0E8004E8"/>
    <w:rsid w:val="0E87741A"/>
    <w:rsid w:val="0E963B01"/>
    <w:rsid w:val="0E975183"/>
    <w:rsid w:val="0EAB7F23"/>
    <w:rsid w:val="0EB36461"/>
    <w:rsid w:val="0EB43F87"/>
    <w:rsid w:val="0EB775D4"/>
    <w:rsid w:val="0EF425D6"/>
    <w:rsid w:val="0EFA4090"/>
    <w:rsid w:val="0EFE3455"/>
    <w:rsid w:val="0F024CF3"/>
    <w:rsid w:val="0F0F5662"/>
    <w:rsid w:val="0F1D38DB"/>
    <w:rsid w:val="0F276507"/>
    <w:rsid w:val="0F3F5F47"/>
    <w:rsid w:val="0F4C5F6E"/>
    <w:rsid w:val="0F5B2655"/>
    <w:rsid w:val="0F735BF1"/>
    <w:rsid w:val="0F73799F"/>
    <w:rsid w:val="0F8120BC"/>
    <w:rsid w:val="0F9C1270"/>
    <w:rsid w:val="0F9C6EF5"/>
    <w:rsid w:val="0FA47B58"/>
    <w:rsid w:val="0FA638D0"/>
    <w:rsid w:val="0FA91612"/>
    <w:rsid w:val="0FAF0E26"/>
    <w:rsid w:val="0FB3423F"/>
    <w:rsid w:val="0FDB78DE"/>
    <w:rsid w:val="0FE73EE9"/>
    <w:rsid w:val="0FF7412C"/>
    <w:rsid w:val="0FF9352B"/>
    <w:rsid w:val="100F3B6B"/>
    <w:rsid w:val="10101691"/>
    <w:rsid w:val="101C1DE4"/>
    <w:rsid w:val="101E5B5C"/>
    <w:rsid w:val="1021389E"/>
    <w:rsid w:val="10240C99"/>
    <w:rsid w:val="10321608"/>
    <w:rsid w:val="103C5FE2"/>
    <w:rsid w:val="10401F77"/>
    <w:rsid w:val="104355C3"/>
    <w:rsid w:val="104B4477"/>
    <w:rsid w:val="105F1161"/>
    <w:rsid w:val="10802373"/>
    <w:rsid w:val="108F6A5A"/>
    <w:rsid w:val="10A1053B"/>
    <w:rsid w:val="10A5002C"/>
    <w:rsid w:val="10AA3690"/>
    <w:rsid w:val="10AD5132"/>
    <w:rsid w:val="10B244F7"/>
    <w:rsid w:val="10C42038"/>
    <w:rsid w:val="10CD1330"/>
    <w:rsid w:val="10D12BCF"/>
    <w:rsid w:val="11032FA4"/>
    <w:rsid w:val="110F1949"/>
    <w:rsid w:val="111D5E14"/>
    <w:rsid w:val="111E1B8C"/>
    <w:rsid w:val="1122342A"/>
    <w:rsid w:val="11252F1A"/>
    <w:rsid w:val="113D2012"/>
    <w:rsid w:val="114C7209"/>
    <w:rsid w:val="115630D4"/>
    <w:rsid w:val="116C28F7"/>
    <w:rsid w:val="117D2D56"/>
    <w:rsid w:val="118539B9"/>
    <w:rsid w:val="118714DF"/>
    <w:rsid w:val="118B5473"/>
    <w:rsid w:val="1191235E"/>
    <w:rsid w:val="11916802"/>
    <w:rsid w:val="11931780"/>
    <w:rsid w:val="1193257A"/>
    <w:rsid w:val="11980D24"/>
    <w:rsid w:val="11991213"/>
    <w:rsid w:val="11A77DD3"/>
    <w:rsid w:val="11B40530"/>
    <w:rsid w:val="11C10E95"/>
    <w:rsid w:val="11C40985"/>
    <w:rsid w:val="11C52008"/>
    <w:rsid w:val="11D5049D"/>
    <w:rsid w:val="11D566EF"/>
    <w:rsid w:val="11DF756D"/>
    <w:rsid w:val="11E06E41"/>
    <w:rsid w:val="11F0700F"/>
    <w:rsid w:val="11F56A43"/>
    <w:rsid w:val="12192A7F"/>
    <w:rsid w:val="121D1E44"/>
    <w:rsid w:val="121D3BF2"/>
    <w:rsid w:val="12244F80"/>
    <w:rsid w:val="12274A70"/>
    <w:rsid w:val="12372F05"/>
    <w:rsid w:val="12535865"/>
    <w:rsid w:val="125E66E4"/>
    <w:rsid w:val="12633CFA"/>
    <w:rsid w:val="12635AA8"/>
    <w:rsid w:val="12641821"/>
    <w:rsid w:val="12745F08"/>
    <w:rsid w:val="129C545E"/>
    <w:rsid w:val="12AD31C8"/>
    <w:rsid w:val="12B46304"/>
    <w:rsid w:val="12B5207C"/>
    <w:rsid w:val="12BA7692"/>
    <w:rsid w:val="12DB5F87"/>
    <w:rsid w:val="12DC3AAD"/>
    <w:rsid w:val="12DE5A77"/>
    <w:rsid w:val="12E30515"/>
    <w:rsid w:val="130A36C0"/>
    <w:rsid w:val="13144FF5"/>
    <w:rsid w:val="13234267"/>
    <w:rsid w:val="132502C8"/>
    <w:rsid w:val="13386F35"/>
    <w:rsid w:val="13392385"/>
    <w:rsid w:val="13451652"/>
    <w:rsid w:val="135C2F68"/>
    <w:rsid w:val="136B6F50"/>
    <w:rsid w:val="137912FC"/>
    <w:rsid w:val="1380268A"/>
    <w:rsid w:val="1381676B"/>
    <w:rsid w:val="13824654"/>
    <w:rsid w:val="139F5206"/>
    <w:rsid w:val="13A740BB"/>
    <w:rsid w:val="13A91BE1"/>
    <w:rsid w:val="13B10A95"/>
    <w:rsid w:val="13BA3984"/>
    <w:rsid w:val="13BC5DB8"/>
    <w:rsid w:val="13D11138"/>
    <w:rsid w:val="13DB5B12"/>
    <w:rsid w:val="13DC1FB6"/>
    <w:rsid w:val="13E40E6B"/>
    <w:rsid w:val="13E72709"/>
    <w:rsid w:val="13EA5A86"/>
    <w:rsid w:val="13EB3FA7"/>
    <w:rsid w:val="13EE3A98"/>
    <w:rsid w:val="14005579"/>
    <w:rsid w:val="14071F8B"/>
    <w:rsid w:val="140908D1"/>
    <w:rsid w:val="140E7C96"/>
    <w:rsid w:val="14264FE0"/>
    <w:rsid w:val="142C45C0"/>
    <w:rsid w:val="142E5135"/>
    <w:rsid w:val="1432607A"/>
    <w:rsid w:val="145A197A"/>
    <w:rsid w:val="145F04F1"/>
    <w:rsid w:val="14681A9C"/>
    <w:rsid w:val="1468384A"/>
    <w:rsid w:val="14774DBB"/>
    <w:rsid w:val="147E12BF"/>
    <w:rsid w:val="149C1746"/>
    <w:rsid w:val="14A25C55"/>
    <w:rsid w:val="14AA20B4"/>
    <w:rsid w:val="14B00D4D"/>
    <w:rsid w:val="14C667C2"/>
    <w:rsid w:val="14C81A92"/>
    <w:rsid w:val="14E31122"/>
    <w:rsid w:val="14E60C13"/>
    <w:rsid w:val="14F66251"/>
    <w:rsid w:val="151412DC"/>
    <w:rsid w:val="1514752E"/>
    <w:rsid w:val="151B7C25"/>
    <w:rsid w:val="15211C4B"/>
    <w:rsid w:val="152D239E"/>
    <w:rsid w:val="153B0F5F"/>
    <w:rsid w:val="153D4CD7"/>
    <w:rsid w:val="153E27FD"/>
    <w:rsid w:val="154047C7"/>
    <w:rsid w:val="15477903"/>
    <w:rsid w:val="154D47EE"/>
    <w:rsid w:val="155B33AF"/>
    <w:rsid w:val="156F266A"/>
    <w:rsid w:val="156F29B6"/>
    <w:rsid w:val="157D50D3"/>
    <w:rsid w:val="15883A78"/>
    <w:rsid w:val="15BA6327"/>
    <w:rsid w:val="15C076B6"/>
    <w:rsid w:val="15DA3CC3"/>
    <w:rsid w:val="15DB629E"/>
    <w:rsid w:val="15E46F00"/>
    <w:rsid w:val="15FF1F8C"/>
    <w:rsid w:val="162163A6"/>
    <w:rsid w:val="16227A29"/>
    <w:rsid w:val="162B2D81"/>
    <w:rsid w:val="16300397"/>
    <w:rsid w:val="163A7468"/>
    <w:rsid w:val="164107F7"/>
    <w:rsid w:val="164B6F7F"/>
    <w:rsid w:val="165612C1"/>
    <w:rsid w:val="165C73DE"/>
    <w:rsid w:val="166167A3"/>
    <w:rsid w:val="1666025D"/>
    <w:rsid w:val="166E0EC0"/>
    <w:rsid w:val="167504A0"/>
    <w:rsid w:val="168B46E9"/>
    <w:rsid w:val="168D57EA"/>
    <w:rsid w:val="16911289"/>
    <w:rsid w:val="1699418F"/>
    <w:rsid w:val="16A668AC"/>
    <w:rsid w:val="16AB5C70"/>
    <w:rsid w:val="16BF34C9"/>
    <w:rsid w:val="16D36F75"/>
    <w:rsid w:val="16D74CB7"/>
    <w:rsid w:val="16E41182"/>
    <w:rsid w:val="16E53451"/>
    <w:rsid w:val="16F5338F"/>
    <w:rsid w:val="16F72C63"/>
    <w:rsid w:val="170A0BE8"/>
    <w:rsid w:val="17163A31"/>
    <w:rsid w:val="171750B3"/>
    <w:rsid w:val="17196BD3"/>
    <w:rsid w:val="17345C65"/>
    <w:rsid w:val="17365E81"/>
    <w:rsid w:val="173914CE"/>
    <w:rsid w:val="174F0CF1"/>
    <w:rsid w:val="174F2A9F"/>
    <w:rsid w:val="176127D3"/>
    <w:rsid w:val="176A5B2B"/>
    <w:rsid w:val="176F3141"/>
    <w:rsid w:val="177B1AE6"/>
    <w:rsid w:val="177B7D38"/>
    <w:rsid w:val="17822E75"/>
    <w:rsid w:val="17824C23"/>
    <w:rsid w:val="178D35C8"/>
    <w:rsid w:val="179761F4"/>
    <w:rsid w:val="17B31280"/>
    <w:rsid w:val="17BD20FF"/>
    <w:rsid w:val="17C0399D"/>
    <w:rsid w:val="17C36FE9"/>
    <w:rsid w:val="17D42FA4"/>
    <w:rsid w:val="17DD00AB"/>
    <w:rsid w:val="18057602"/>
    <w:rsid w:val="1807337A"/>
    <w:rsid w:val="181F06C4"/>
    <w:rsid w:val="181F6915"/>
    <w:rsid w:val="182E0907"/>
    <w:rsid w:val="18300B23"/>
    <w:rsid w:val="18567E5D"/>
    <w:rsid w:val="18583BD5"/>
    <w:rsid w:val="185D2F9A"/>
    <w:rsid w:val="185F6D12"/>
    <w:rsid w:val="187622AE"/>
    <w:rsid w:val="18770500"/>
    <w:rsid w:val="187D188E"/>
    <w:rsid w:val="189A2440"/>
    <w:rsid w:val="189F1804"/>
    <w:rsid w:val="189F7A56"/>
    <w:rsid w:val="18B0756E"/>
    <w:rsid w:val="18B708FC"/>
    <w:rsid w:val="18C4126B"/>
    <w:rsid w:val="18CD0120"/>
    <w:rsid w:val="18FF4051"/>
    <w:rsid w:val="1901426D"/>
    <w:rsid w:val="191E6BCD"/>
    <w:rsid w:val="193261D5"/>
    <w:rsid w:val="194523AC"/>
    <w:rsid w:val="19573E8D"/>
    <w:rsid w:val="19597C05"/>
    <w:rsid w:val="195C76F5"/>
    <w:rsid w:val="196C293E"/>
    <w:rsid w:val="1977452F"/>
    <w:rsid w:val="197762DD"/>
    <w:rsid w:val="19834C82"/>
    <w:rsid w:val="1988673C"/>
    <w:rsid w:val="198D5B01"/>
    <w:rsid w:val="19923117"/>
    <w:rsid w:val="19973665"/>
    <w:rsid w:val="1997455B"/>
    <w:rsid w:val="19A215AC"/>
    <w:rsid w:val="19AA220F"/>
    <w:rsid w:val="19B72B7E"/>
    <w:rsid w:val="19C972F9"/>
    <w:rsid w:val="19D465D8"/>
    <w:rsid w:val="19D61256"/>
    <w:rsid w:val="19D83220"/>
    <w:rsid w:val="19E020D4"/>
    <w:rsid w:val="19EE47F1"/>
    <w:rsid w:val="19F3005A"/>
    <w:rsid w:val="19F31E08"/>
    <w:rsid w:val="19F85670"/>
    <w:rsid w:val="1A057D8D"/>
    <w:rsid w:val="1A084D34"/>
    <w:rsid w:val="1A1A3838"/>
    <w:rsid w:val="1A1D6E85"/>
    <w:rsid w:val="1A1F2BFD"/>
    <w:rsid w:val="1A255D39"/>
    <w:rsid w:val="1A2C531A"/>
    <w:rsid w:val="1A2E1092"/>
    <w:rsid w:val="1A424B3D"/>
    <w:rsid w:val="1A495ECC"/>
    <w:rsid w:val="1A4C776A"/>
    <w:rsid w:val="1A534654"/>
    <w:rsid w:val="1A606D71"/>
    <w:rsid w:val="1A613215"/>
    <w:rsid w:val="1A6E3285"/>
    <w:rsid w:val="1A703458"/>
    <w:rsid w:val="1A766595"/>
    <w:rsid w:val="1A8213DE"/>
    <w:rsid w:val="1A89451A"/>
    <w:rsid w:val="1A8E1B30"/>
    <w:rsid w:val="1A935399"/>
    <w:rsid w:val="1A98650B"/>
    <w:rsid w:val="1AD339E7"/>
    <w:rsid w:val="1AE6196C"/>
    <w:rsid w:val="1AF000F5"/>
    <w:rsid w:val="1AF776D6"/>
    <w:rsid w:val="1AFD0A64"/>
    <w:rsid w:val="1B087B35"/>
    <w:rsid w:val="1B090296"/>
    <w:rsid w:val="1B100797"/>
    <w:rsid w:val="1B334486"/>
    <w:rsid w:val="1B4B7A22"/>
    <w:rsid w:val="1B520DB0"/>
    <w:rsid w:val="1B522B5E"/>
    <w:rsid w:val="1B5B5EB7"/>
    <w:rsid w:val="1B5F527B"/>
    <w:rsid w:val="1B6603B7"/>
    <w:rsid w:val="1B697EA8"/>
    <w:rsid w:val="1B6D1746"/>
    <w:rsid w:val="1B742AD4"/>
    <w:rsid w:val="1B770817"/>
    <w:rsid w:val="1B7C5E2D"/>
    <w:rsid w:val="1B860A5A"/>
    <w:rsid w:val="1B943177"/>
    <w:rsid w:val="1B944F25"/>
    <w:rsid w:val="1B970EB9"/>
    <w:rsid w:val="1B99078D"/>
    <w:rsid w:val="1B9B4505"/>
    <w:rsid w:val="1B9E2247"/>
    <w:rsid w:val="1BA216CC"/>
    <w:rsid w:val="1BA86C22"/>
    <w:rsid w:val="1BC17CE4"/>
    <w:rsid w:val="1BD143CB"/>
    <w:rsid w:val="1BE063BC"/>
    <w:rsid w:val="1BE539D2"/>
    <w:rsid w:val="1BE834C2"/>
    <w:rsid w:val="1C053819"/>
    <w:rsid w:val="1C0A168B"/>
    <w:rsid w:val="1C0A3439"/>
    <w:rsid w:val="1C0D4CD7"/>
    <w:rsid w:val="1C204A0A"/>
    <w:rsid w:val="1C2C1601"/>
    <w:rsid w:val="1C2F2E9F"/>
    <w:rsid w:val="1C3E1334"/>
    <w:rsid w:val="1C450915"/>
    <w:rsid w:val="1C4E77C9"/>
    <w:rsid w:val="1C4F50A5"/>
    <w:rsid w:val="1C5172BA"/>
    <w:rsid w:val="1C5A616E"/>
    <w:rsid w:val="1C5B5A42"/>
    <w:rsid w:val="1C672639"/>
    <w:rsid w:val="1C746B04"/>
    <w:rsid w:val="1C7F52B5"/>
    <w:rsid w:val="1C80194D"/>
    <w:rsid w:val="1C8A6328"/>
    <w:rsid w:val="1CA90EA4"/>
    <w:rsid w:val="1CB3762C"/>
    <w:rsid w:val="1CB533A4"/>
    <w:rsid w:val="1CB6536F"/>
    <w:rsid w:val="1CB82E95"/>
    <w:rsid w:val="1CC03C3F"/>
    <w:rsid w:val="1CD13F56"/>
    <w:rsid w:val="1CDF0421"/>
    <w:rsid w:val="1CDF6673"/>
    <w:rsid w:val="1CE41EDC"/>
    <w:rsid w:val="1CE43C8A"/>
    <w:rsid w:val="1CE50760"/>
    <w:rsid w:val="1CEC2B3E"/>
    <w:rsid w:val="1D210A3A"/>
    <w:rsid w:val="1D271DC8"/>
    <w:rsid w:val="1D2E13A9"/>
    <w:rsid w:val="1D3249F5"/>
    <w:rsid w:val="1D37025D"/>
    <w:rsid w:val="1D37200B"/>
    <w:rsid w:val="1D434E54"/>
    <w:rsid w:val="1D4666F2"/>
    <w:rsid w:val="1D4A4435"/>
    <w:rsid w:val="1D4B1F5B"/>
    <w:rsid w:val="1D5801D4"/>
    <w:rsid w:val="1D620F44"/>
    <w:rsid w:val="1D7019C1"/>
    <w:rsid w:val="1D807E56"/>
    <w:rsid w:val="1D8316F5"/>
    <w:rsid w:val="1D921938"/>
    <w:rsid w:val="1D927B8A"/>
    <w:rsid w:val="1DA13929"/>
    <w:rsid w:val="1DB25B36"/>
    <w:rsid w:val="1DC53ABB"/>
    <w:rsid w:val="1DCC309C"/>
    <w:rsid w:val="1DD53F31"/>
    <w:rsid w:val="1DD65CC8"/>
    <w:rsid w:val="1DDC2BB3"/>
    <w:rsid w:val="1DE57CB9"/>
    <w:rsid w:val="1E0565AE"/>
    <w:rsid w:val="1E14234D"/>
    <w:rsid w:val="1E1660C5"/>
    <w:rsid w:val="1E18008F"/>
    <w:rsid w:val="1E1B36DB"/>
    <w:rsid w:val="1E1D38F7"/>
    <w:rsid w:val="1E214A6A"/>
    <w:rsid w:val="1E426EBA"/>
    <w:rsid w:val="1E430E84"/>
    <w:rsid w:val="1E4F15D7"/>
    <w:rsid w:val="1E5135A1"/>
    <w:rsid w:val="1E764DB5"/>
    <w:rsid w:val="1E7726E6"/>
    <w:rsid w:val="1E795006"/>
    <w:rsid w:val="1E860E7A"/>
    <w:rsid w:val="1E8E0351"/>
    <w:rsid w:val="1E8E3499"/>
    <w:rsid w:val="1E935967"/>
    <w:rsid w:val="1EB25197"/>
    <w:rsid w:val="1EB853CE"/>
    <w:rsid w:val="1EBF49AE"/>
    <w:rsid w:val="1EC27FFB"/>
    <w:rsid w:val="1EC45B21"/>
    <w:rsid w:val="1ECC70CB"/>
    <w:rsid w:val="1ED132F1"/>
    <w:rsid w:val="1EF6243B"/>
    <w:rsid w:val="1F02489B"/>
    <w:rsid w:val="1F0C571A"/>
    <w:rsid w:val="1F182311"/>
    <w:rsid w:val="1F1D3483"/>
    <w:rsid w:val="1F264A2D"/>
    <w:rsid w:val="1F33222D"/>
    <w:rsid w:val="1F3D58D3"/>
    <w:rsid w:val="1F4629DA"/>
    <w:rsid w:val="1F7312F5"/>
    <w:rsid w:val="1F7C464D"/>
    <w:rsid w:val="1F7C63FB"/>
    <w:rsid w:val="1F881244"/>
    <w:rsid w:val="1F882FF2"/>
    <w:rsid w:val="1F9E45C4"/>
    <w:rsid w:val="1FA63E40"/>
    <w:rsid w:val="1FA83694"/>
    <w:rsid w:val="1FAD1142"/>
    <w:rsid w:val="1FC16504"/>
    <w:rsid w:val="1FD941DA"/>
    <w:rsid w:val="1FDC7BDF"/>
    <w:rsid w:val="1FE10954"/>
    <w:rsid w:val="1FE16BA6"/>
    <w:rsid w:val="1FF95C9E"/>
    <w:rsid w:val="20174376"/>
    <w:rsid w:val="20176124"/>
    <w:rsid w:val="20230F6D"/>
    <w:rsid w:val="203E7B55"/>
    <w:rsid w:val="204C2272"/>
    <w:rsid w:val="205B24B5"/>
    <w:rsid w:val="205B4263"/>
    <w:rsid w:val="205E3D53"/>
    <w:rsid w:val="206C021E"/>
    <w:rsid w:val="208C08C0"/>
    <w:rsid w:val="208F215E"/>
    <w:rsid w:val="20971013"/>
    <w:rsid w:val="20992FDD"/>
    <w:rsid w:val="20AF45AF"/>
    <w:rsid w:val="20EE157B"/>
    <w:rsid w:val="20F36B91"/>
    <w:rsid w:val="20FD531A"/>
    <w:rsid w:val="210743EB"/>
    <w:rsid w:val="210B5C89"/>
    <w:rsid w:val="211014F1"/>
    <w:rsid w:val="212925B3"/>
    <w:rsid w:val="212B632B"/>
    <w:rsid w:val="212D20A3"/>
    <w:rsid w:val="2144119B"/>
    <w:rsid w:val="2144566C"/>
    <w:rsid w:val="214D44F3"/>
    <w:rsid w:val="21535882"/>
    <w:rsid w:val="21562C7C"/>
    <w:rsid w:val="21611D4D"/>
    <w:rsid w:val="216B497A"/>
    <w:rsid w:val="21837F15"/>
    <w:rsid w:val="218E68BA"/>
    <w:rsid w:val="219519F6"/>
    <w:rsid w:val="219B39C6"/>
    <w:rsid w:val="219F2875"/>
    <w:rsid w:val="21A34113"/>
    <w:rsid w:val="21AD0AEE"/>
    <w:rsid w:val="21C72E5E"/>
    <w:rsid w:val="21D27DD5"/>
    <w:rsid w:val="21DC7625"/>
    <w:rsid w:val="21E12E8E"/>
    <w:rsid w:val="21E81D77"/>
    <w:rsid w:val="220A23E4"/>
    <w:rsid w:val="22146DBF"/>
    <w:rsid w:val="221B26FB"/>
    <w:rsid w:val="221D6DEE"/>
    <w:rsid w:val="222114DC"/>
    <w:rsid w:val="22230DB0"/>
    <w:rsid w:val="22291DDB"/>
    <w:rsid w:val="22356D36"/>
    <w:rsid w:val="22412CD8"/>
    <w:rsid w:val="22590C76"/>
    <w:rsid w:val="227B299A"/>
    <w:rsid w:val="227B2B13"/>
    <w:rsid w:val="228A7081"/>
    <w:rsid w:val="228D1E28"/>
    <w:rsid w:val="2291647A"/>
    <w:rsid w:val="229D5007"/>
    <w:rsid w:val="22A068A5"/>
    <w:rsid w:val="22B660C8"/>
    <w:rsid w:val="22D11CAC"/>
    <w:rsid w:val="22DD18A7"/>
    <w:rsid w:val="22E06CA1"/>
    <w:rsid w:val="22E22A19"/>
    <w:rsid w:val="22E26EBD"/>
    <w:rsid w:val="22E83DA8"/>
    <w:rsid w:val="22F97D63"/>
    <w:rsid w:val="22FB3ADB"/>
    <w:rsid w:val="22FD3CF7"/>
    <w:rsid w:val="22FF7A6F"/>
    <w:rsid w:val="231352C9"/>
    <w:rsid w:val="231B417D"/>
    <w:rsid w:val="231D7EF5"/>
    <w:rsid w:val="23264FFC"/>
    <w:rsid w:val="23270D74"/>
    <w:rsid w:val="23280C2C"/>
    <w:rsid w:val="232E5C5F"/>
    <w:rsid w:val="23377209"/>
    <w:rsid w:val="2358717F"/>
    <w:rsid w:val="238241FC"/>
    <w:rsid w:val="23A10B26"/>
    <w:rsid w:val="23A203FB"/>
    <w:rsid w:val="23AB3753"/>
    <w:rsid w:val="23C44E13"/>
    <w:rsid w:val="23C6058D"/>
    <w:rsid w:val="23D762F6"/>
    <w:rsid w:val="23DD1433"/>
    <w:rsid w:val="23E427C1"/>
    <w:rsid w:val="23E6478B"/>
    <w:rsid w:val="23F8626D"/>
    <w:rsid w:val="24170DE9"/>
    <w:rsid w:val="24207C9D"/>
    <w:rsid w:val="24217571"/>
    <w:rsid w:val="2423153B"/>
    <w:rsid w:val="24262DDA"/>
    <w:rsid w:val="242A0B1C"/>
    <w:rsid w:val="242B219E"/>
    <w:rsid w:val="243A6885"/>
    <w:rsid w:val="244020ED"/>
    <w:rsid w:val="24417C14"/>
    <w:rsid w:val="245142FB"/>
    <w:rsid w:val="245931AF"/>
    <w:rsid w:val="2461726B"/>
    <w:rsid w:val="246B4C91"/>
    <w:rsid w:val="24863878"/>
    <w:rsid w:val="24877D1C"/>
    <w:rsid w:val="248A3369"/>
    <w:rsid w:val="248A5117"/>
    <w:rsid w:val="24912949"/>
    <w:rsid w:val="24BB5C18"/>
    <w:rsid w:val="24C26FA6"/>
    <w:rsid w:val="24C4748D"/>
    <w:rsid w:val="24C50845"/>
    <w:rsid w:val="24C53A3F"/>
    <w:rsid w:val="24D10F97"/>
    <w:rsid w:val="24E95804"/>
    <w:rsid w:val="24F802F9"/>
    <w:rsid w:val="250273A3"/>
    <w:rsid w:val="25140E84"/>
    <w:rsid w:val="251610A0"/>
    <w:rsid w:val="251A293E"/>
    <w:rsid w:val="2540611D"/>
    <w:rsid w:val="254B6F9C"/>
    <w:rsid w:val="25551BC9"/>
    <w:rsid w:val="255D6CCF"/>
    <w:rsid w:val="2561056D"/>
    <w:rsid w:val="25675458"/>
    <w:rsid w:val="257177C2"/>
    <w:rsid w:val="257858B7"/>
    <w:rsid w:val="257D111F"/>
    <w:rsid w:val="25902C01"/>
    <w:rsid w:val="25A71CF8"/>
    <w:rsid w:val="25AD37B3"/>
    <w:rsid w:val="25C12DBA"/>
    <w:rsid w:val="25C428AA"/>
    <w:rsid w:val="25D725DE"/>
    <w:rsid w:val="25DA0320"/>
    <w:rsid w:val="25DF5936"/>
    <w:rsid w:val="25E76599"/>
    <w:rsid w:val="25F0369F"/>
    <w:rsid w:val="25F25669"/>
    <w:rsid w:val="25F413E1"/>
    <w:rsid w:val="25FD7B6A"/>
    <w:rsid w:val="2601765A"/>
    <w:rsid w:val="2604714B"/>
    <w:rsid w:val="26154EB4"/>
    <w:rsid w:val="262275D1"/>
    <w:rsid w:val="262B0B7B"/>
    <w:rsid w:val="26393298"/>
    <w:rsid w:val="26396DF4"/>
    <w:rsid w:val="26413EFB"/>
    <w:rsid w:val="26487037"/>
    <w:rsid w:val="264A7253"/>
    <w:rsid w:val="265956E8"/>
    <w:rsid w:val="265E685B"/>
    <w:rsid w:val="26663961"/>
    <w:rsid w:val="266F36FB"/>
    <w:rsid w:val="267E514F"/>
    <w:rsid w:val="2685028B"/>
    <w:rsid w:val="268B33C8"/>
    <w:rsid w:val="268C786C"/>
    <w:rsid w:val="269229A8"/>
    <w:rsid w:val="26955FF5"/>
    <w:rsid w:val="26AB75C6"/>
    <w:rsid w:val="26C2328E"/>
    <w:rsid w:val="26C76CC5"/>
    <w:rsid w:val="26D20FF7"/>
    <w:rsid w:val="26D42FC1"/>
    <w:rsid w:val="26DB434F"/>
    <w:rsid w:val="26E72CF4"/>
    <w:rsid w:val="26EA27E4"/>
    <w:rsid w:val="26F23447"/>
    <w:rsid w:val="26F471BF"/>
    <w:rsid w:val="27054F28"/>
    <w:rsid w:val="270E64D3"/>
    <w:rsid w:val="27181100"/>
    <w:rsid w:val="27277595"/>
    <w:rsid w:val="274A3283"/>
    <w:rsid w:val="274E2D73"/>
    <w:rsid w:val="27553A8D"/>
    <w:rsid w:val="275B2D9A"/>
    <w:rsid w:val="27743E5C"/>
    <w:rsid w:val="277D71B5"/>
    <w:rsid w:val="27840543"/>
    <w:rsid w:val="27983FEE"/>
    <w:rsid w:val="27B30E28"/>
    <w:rsid w:val="27B54BA0"/>
    <w:rsid w:val="27B626C7"/>
    <w:rsid w:val="27B84691"/>
    <w:rsid w:val="27BF5A1F"/>
    <w:rsid w:val="27D35027"/>
    <w:rsid w:val="27D76439"/>
    <w:rsid w:val="27DB3EDB"/>
    <w:rsid w:val="27E234BC"/>
    <w:rsid w:val="27E9484A"/>
    <w:rsid w:val="27EC7E96"/>
    <w:rsid w:val="27F37477"/>
    <w:rsid w:val="27F76F67"/>
    <w:rsid w:val="27FD02F5"/>
    <w:rsid w:val="28081174"/>
    <w:rsid w:val="2818512F"/>
    <w:rsid w:val="281F1634"/>
    <w:rsid w:val="282249EF"/>
    <w:rsid w:val="28302479"/>
    <w:rsid w:val="28334963"/>
    <w:rsid w:val="28377363"/>
    <w:rsid w:val="284657F9"/>
    <w:rsid w:val="28541BD2"/>
    <w:rsid w:val="285B2042"/>
    <w:rsid w:val="285C14C0"/>
    <w:rsid w:val="285E0D94"/>
    <w:rsid w:val="285E6FE6"/>
    <w:rsid w:val="286A598B"/>
    <w:rsid w:val="288325A9"/>
    <w:rsid w:val="288602EB"/>
    <w:rsid w:val="2886653D"/>
    <w:rsid w:val="288B2282"/>
    <w:rsid w:val="288B3B53"/>
    <w:rsid w:val="28940C5A"/>
    <w:rsid w:val="289A5B44"/>
    <w:rsid w:val="289A6898"/>
    <w:rsid w:val="28AF15F0"/>
    <w:rsid w:val="28B5472C"/>
    <w:rsid w:val="28C66939"/>
    <w:rsid w:val="28CA467C"/>
    <w:rsid w:val="28D42E04"/>
    <w:rsid w:val="28E219C5"/>
    <w:rsid w:val="28F96D0F"/>
    <w:rsid w:val="28FE60D3"/>
    <w:rsid w:val="290851A4"/>
    <w:rsid w:val="290B259E"/>
    <w:rsid w:val="290F6532"/>
    <w:rsid w:val="291E49C7"/>
    <w:rsid w:val="29211DC2"/>
    <w:rsid w:val="29363ABF"/>
    <w:rsid w:val="2939535D"/>
    <w:rsid w:val="294D2BB7"/>
    <w:rsid w:val="294E0E09"/>
    <w:rsid w:val="295757E3"/>
    <w:rsid w:val="29635957"/>
    <w:rsid w:val="29791BFE"/>
    <w:rsid w:val="297B3BC8"/>
    <w:rsid w:val="297D524A"/>
    <w:rsid w:val="29852351"/>
    <w:rsid w:val="29A924E3"/>
    <w:rsid w:val="29B844D4"/>
    <w:rsid w:val="29BB2216"/>
    <w:rsid w:val="29D07A70"/>
    <w:rsid w:val="29D37560"/>
    <w:rsid w:val="29F714A0"/>
    <w:rsid w:val="29F86FC6"/>
    <w:rsid w:val="2A04596B"/>
    <w:rsid w:val="2A0616E3"/>
    <w:rsid w:val="2A0C2A72"/>
    <w:rsid w:val="2A151926"/>
    <w:rsid w:val="2A1C040D"/>
    <w:rsid w:val="2A241B69"/>
    <w:rsid w:val="2A257690"/>
    <w:rsid w:val="2A297180"/>
    <w:rsid w:val="2A307D13"/>
    <w:rsid w:val="2A375D41"/>
    <w:rsid w:val="2A385615"/>
    <w:rsid w:val="2A4B359A"/>
    <w:rsid w:val="2A5D507B"/>
    <w:rsid w:val="2A661523"/>
    <w:rsid w:val="2A663F30"/>
    <w:rsid w:val="2A6B7798"/>
    <w:rsid w:val="2A6C52BE"/>
    <w:rsid w:val="2A77438F"/>
    <w:rsid w:val="2A7A3E7F"/>
    <w:rsid w:val="2A7E571E"/>
    <w:rsid w:val="2A8B1BE9"/>
    <w:rsid w:val="2AD43590"/>
    <w:rsid w:val="2AE31A25"/>
    <w:rsid w:val="2AE337D3"/>
    <w:rsid w:val="2AEC6B2B"/>
    <w:rsid w:val="2B0379D1"/>
    <w:rsid w:val="2B0A6FB1"/>
    <w:rsid w:val="2B0B4AD7"/>
    <w:rsid w:val="2B1E2A5D"/>
    <w:rsid w:val="2B2362C5"/>
    <w:rsid w:val="2B25203D"/>
    <w:rsid w:val="2B2A1401"/>
    <w:rsid w:val="2B2D2CA0"/>
    <w:rsid w:val="2B3C1135"/>
    <w:rsid w:val="2B595843"/>
    <w:rsid w:val="2B597F39"/>
    <w:rsid w:val="2B604E23"/>
    <w:rsid w:val="2B6D7540"/>
    <w:rsid w:val="2B6E5792"/>
    <w:rsid w:val="2B74267D"/>
    <w:rsid w:val="2B7D7783"/>
    <w:rsid w:val="2B8579A2"/>
    <w:rsid w:val="2B8C3E6A"/>
    <w:rsid w:val="2B920D55"/>
    <w:rsid w:val="2BA70CA4"/>
    <w:rsid w:val="2BB94533"/>
    <w:rsid w:val="2BDD46C6"/>
    <w:rsid w:val="2BE55328"/>
    <w:rsid w:val="2BF043F9"/>
    <w:rsid w:val="2C025EDA"/>
    <w:rsid w:val="2C0954BB"/>
    <w:rsid w:val="2C163734"/>
    <w:rsid w:val="2C165AE7"/>
    <w:rsid w:val="2C183950"/>
    <w:rsid w:val="2C1D4AC2"/>
    <w:rsid w:val="2C24634D"/>
    <w:rsid w:val="2C3F2C8B"/>
    <w:rsid w:val="2C471B3F"/>
    <w:rsid w:val="2C4958B7"/>
    <w:rsid w:val="2C4E7372"/>
    <w:rsid w:val="2C6170A5"/>
    <w:rsid w:val="2C624BCB"/>
    <w:rsid w:val="2C627897"/>
    <w:rsid w:val="2C6721E1"/>
    <w:rsid w:val="2C7072E8"/>
    <w:rsid w:val="2C7768C8"/>
    <w:rsid w:val="2C7943FF"/>
    <w:rsid w:val="2C7F39CF"/>
    <w:rsid w:val="2C8608B9"/>
    <w:rsid w:val="2C9A4365"/>
    <w:rsid w:val="2CA174A1"/>
    <w:rsid w:val="2CA3146B"/>
    <w:rsid w:val="2CA62D0A"/>
    <w:rsid w:val="2CAE7E10"/>
    <w:rsid w:val="2CB2345D"/>
    <w:rsid w:val="2CB5119F"/>
    <w:rsid w:val="2CBA0563"/>
    <w:rsid w:val="2CCB09C2"/>
    <w:rsid w:val="2CD45AC9"/>
    <w:rsid w:val="2CD47877"/>
    <w:rsid w:val="2CD811D6"/>
    <w:rsid w:val="2CDF7FCA"/>
    <w:rsid w:val="2CE51A84"/>
    <w:rsid w:val="2CEF2903"/>
    <w:rsid w:val="2CF73565"/>
    <w:rsid w:val="2D0F4D53"/>
    <w:rsid w:val="2D1D6FE0"/>
    <w:rsid w:val="2D216834"/>
    <w:rsid w:val="2D297497"/>
    <w:rsid w:val="2D306A77"/>
    <w:rsid w:val="2D391DD0"/>
    <w:rsid w:val="2D426ED6"/>
    <w:rsid w:val="2D4349FC"/>
    <w:rsid w:val="2D460049"/>
    <w:rsid w:val="2D517119"/>
    <w:rsid w:val="2D744BB6"/>
    <w:rsid w:val="2D825525"/>
    <w:rsid w:val="2D83129D"/>
    <w:rsid w:val="2D915768"/>
    <w:rsid w:val="2D9B0395"/>
    <w:rsid w:val="2DA41B2C"/>
    <w:rsid w:val="2DB17BB8"/>
    <w:rsid w:val="2DB96A6D"/>
    <w:rsid w:val="2DC01BA9"/>
    <w:rsid w:val="2DC63E07"/>
    <w:rsid w:val="2DCB7498"/>
    <w:rsid w:val="2DD41AF8"/>
    <w:rsid w:val="2DD90EBD"/>
    <w:rsid w:val="2DE25FC3"/>
    <w:rsid w:val="2DE735DA"/>
    <w:rsid w:val="2DE75388"/>
    <w:rsid w:val="2E0221C2"/>
    <w:rsid w:val="2E0B376C"/>
    <w:rsid w:val="2E0C4DEE"/>
    <w:rsid w:val="2E1D349F"/>
    <w:rsid w:val="2E232138"/>
    <w:rsid w:val="2E291E44"/>
    <w:rsid w:val="2E352597"/>
    <w:rsid w:val="2E3B3926"/>
    <w:rsid w:val="2E4166E3"/>
    <w:rsid w:val="2E47051C"/>
    <w:rsid w:val="2E6764C9"/>
    <w:rsid w:val="2E7035CF"/>
    <w:rsid w:val="2E7C01C6"/>
    <w:rsid w:val="2E894691"/>
    <w:rsid w:val="2E8C4181"/>
    <w:rsid w:val="2EAE40F8"/>
    <w:rsid w:val="2EBF6305"/>
    <w:rsid w:val="2EC15BD9"/>
    <w:rsid w:val="2EC61441"/>
    <w:rsid w:val="2EC92CDF"/>
    <w:rsid w:val="2ECD0A22"/>
    <w:rsid w:val="2ED3590C"/>
    <w:rsid w:val="2ED973C6"/>
    <w:rsid w:val="2EE713B8"/>
    <w:rsid w:val="2EEA16A4"/>
    <w:rsid w:val="2EF04710"/>
    <w:rsid w:val="2EF05516"/>
    <w:rsid w:val="2EFD4F49"/>
    <w:rsid w:val="2F0E4B96"/>
    <w:rsid w:val="2F1308B0"/>
    <w:rsid w:val="2F1403FE"/>
    <w:rsid w:val="2F2002E3"/>
    <w:rsid w:val="2F3E7229"/>
    <w:rsid w:val="2F5E5B1E"/>
    <w:rsid w:val="2F633134"/>
    <w:rsid w:val="2F77273B"/>
    <w:rsid w:val="2F7E7F6E"/>
    <w:rsid w:val="2F8F3F29"/>
    <w:rsid w:val="2FB41BE1"/>
    <w:rsid w:val="2FD45DE0"/>
    <w:rsid w:val="2FEA73B1"/>
    <w:rsid w:val="2FFB511A"/>
    <w:rsid w:val="30182170"/>
    <w:rsid w:val="301A5EE8"/>
    <w:rsid w:val="30204B81"/>
    <w:rsid w:val="30297EDA"/>
    <w:rsid w:val="302E54F0"/>
    <w:rsid w:val="302F1268"/>
    <w:rsid w:val="30304791"/>
    <w:rsid w:val="30316D8E"/>
    <w:rsid w:val="304545E8"/>
    <w:rsid w:val="30550CCF"/>
    <w:rsid w:val="305A62E5"/>
    <w:rsid w:val="306727B0"/>
    <w:rsid w:val="306929CC"/>
    <w:rsid w:val="306B6744"/>
    <w:rsid w:val="306E7B96"/>
    <w:rsid w:val="306E7FE2"/>
    <w:rsid w:val="30731155"/>
    <w:rsid w:val="307614DC"/>
    <w:rsid w:val="30780C48"/>
    <w:rsid w:val="30782C0F"/>
    <w:rsid w:val="307A24E3"/>
    <w:rsid w:val="3091782D"/>
    <w:rsid w:val="309537C1"/>
    <w:rsid w:val="30973E22"/>
    <w:rsid w:val="309F63EE"/>
    <w:rsid w:val="30A27C8C"/>
    <w:rsid w:val="30A734F4"/>
    <w:rsid w:val="30B26121"/>
    <w:rsid w:val="30B67293"/>
    <w:rsid w:val="30D81900"/>
    <w:rsid w:val="30DC4F4C"/>
    <w:rsid w:val="30E402A4"/>
    <w:rsid w:val="311513F9"/>
    <w:rsid w:val="311961A0"/>
    <w:rsid w:val="31210BB1"/>
    <w:rsid w:val="31305298"/>
    <w:rsid w:val="31374878"/>
    <w:rsid w:val="313F372D"/>
    <w:rsid w:val="31411253"/>
    <w:rsid w:val="315A40C3"/>
    <w:rsid w:val="316E7B6E"/>
    <w:rsid w:val="31772EC7"/>
    <w:rsid w:val="31A57A34"/>
    <w:rsid w:val="31AD0696"/>
    <w:rsid w:val="31B47C77"/>
    <w:rsid w:val="31BE4652"/>
    <w:rsid w:val="31D40319"/>
    <w:rsid w:val="31F12C79"/>
    <w:rsid w:val="31F75DB5"/>
    <w:rsid w:val="31F84007"/>
    <w:rsid w:val="31FB3AF8"/>
    <w:rsid w:val="320209E2"/>
    <w:rsid w:val="3207249C"/>
    <w:rsid w:val="320E0B97"/>
    <w:rsid w:val="32285F6F"/>
    <w:rsid w:val="323B2146"/>
    <w:rsid w:val="32562ADC"/>
    <w:rsid w:val="32584AA6"/>
    <w:rsid w:val="32690A61"/>
    <w:rsid w:val="327D4BC1"/>
    <w:rsid w:val="328C0BF4"/>
    <w:rsid w:val="32963820"/>
    <w:rsid w:val="32C91500"/>
    <w:rsid w:val="32CC2C84"/>
    <w:rsid w:val="32D16607"/>
    <w:rsid w:val="32D560F7"/>
    <w:rsid w:val="32D8384A"/>
    <w:rsid w:val="32D85BE7"/>
    <w:rsid w:val="32DF6F75"/>
    <w:rsid w:val="32F77329"/>
    <w:rsid w:val="330662B0"/>
    <w:rsid w:val="33072028"/>
    <w:rsid w:val="33093FF2"/>
    <w:rsid w:val="33105381"/>
    <w:rsid w:val="332819AF"/>
    <w:rsid w:val="332B3F69"/>
    <w:rsid w:val="33380434"/>
    <w:rsid w:val="33386686"/>
    <w:rsid w:val="334B460B"/>
    <w:rsid w:val="334B63B9"/>
    <w:rsid w:val="336254B1"/>
    <w:rsid w:val="33641229"/>
    <w:rsid w:val="336C348F"/>
    <w:rsid w:val="33705E1F"/>
    <w:rsid w:val="33707BCD"/>
    <w:rsid w:val="33710457"/>
    <w:rsid w:val="33751688"/>
    <w:rsid w:val="337F42B4"/>
    <w:rsid w:val="33865643"/>
    <w:rsid w:val="3390201E"/>
    <w:rsid w:val="339A2E9C"/>
    <w:rsid w:val="339E473B"/>
    <w:rsid w:val="33B757FC"/>
    <w:rsid w:val="33CA3782"/>
    <w:rsid w:val="33F16F60"/>
    <w:rsid w:val="33F7209D"/>
    <w:rsid w:val="33FE167D"/>
    <w:rsid w:val="34237336"/>
    <w:rsid w:val="34311A53"/>
    <w:rsid w:val="34382116"/>
    <w:rsid w:val="34433534"/>
    <w:rsid w:val="345968B4"/>
    <w:rsid w:val="345B6AD0"/>
    <w:rsid w:val="34677222"/>
    <w:rsid w:val="34757B91"/>
    <w:rsid w:val="347A51A8"/>
    <w:rsid w:val="347B0F20"/>
    <w:rsid w:val="34A51AF9"/>
    <w:rsid w:val="34B344DD"/>
    <w:rsid w:val="34B41D3C"/>
    <w:rsid w:val="34B54432"/>
    <w:rsid w:val="34CE2DFE"/>
    <w:rsid w:val="34DB016F"/>
    <w:rsid w:val="34F5482E"/>
    <w:rsid w:val="34F62354"/>
    <w:rsid w:val="34FC3E0F"/>
    <w:rsid w:val="35044A71"/>
    <w:rsid w:val="350C7DCA"/>
    <w:rsid w:val="35156C7E"/>
    <w:rsid w:val="35284C04"/>
    <w:rsid w:val="35366BF5"/>
    <w:rsid w:val="35373099"/>
    <w:rsid w:val="353A66E5"/>
    <w:rsid w:val="353D61D5"/>
    <w:rsid w:val="354B26A0"/>
    <w:rsid w:val="354D6418"/>
    <w:rsid w:val="355359F9"/>
    <w:rsid w:val="355E6877"/>
    <w:rsid w:val="35683DE9"/>
    <w:rsid w:val="356B2D42"/>
    <w:rsid w:val="357339A5"/>
    <w:rsid w:val="35777939"/>
    <w:rsid w:val="357A4D33"/>
    <w:rsid w:val="35812566"/>
    <w:rsid w:val="358A08C4"/>
    <w:rsid w:val="35A26038"/>
    <w:rsid w:val="35A324DC"/>
    <w:rsid w:val="35BB5A78"/>
    <w:rsid w:val="35C91817"/>
    <w:rsid w:val="35C97A69"/>
    <w:rsid w:val="35D95EFE"/>
    <w:rsid w:val="35EA1EB9"/>
    <w:rsid w:val="35F40F8A"/>
    <w:rsid w:val="35F42D38"/>
    <w:rsid w:val="35FA7C22"/>
    <w:rsid w:val="36154175"/>
    <w:rsid w:val="36162CAE"/>
    <w:rsid w:val="361C228F"/>
    <w:rsid w:val="36201D7F"/>
    <w:rsid w:val="3628478F"/>
    <w:rsid w:val="36453593"/>
    <w:rsid w:val="364610BA"/>
    <w:rsid w:val="36486BE0"/>
    <w:rsid w:val="364F61C0"/>
    <w:rsid w:val="36657792"/>
    <w:rsid w:val="36811BDB"/>
    <w:rsid w:val="368220F2"/>
    <w:rsid w:val="3684230E"/>
    <w:rsid w:val="36877708"/>
    <w:rsid w:val="369116D0"/>
    <w:rsid w:val="369260AD"/>
    <w:rsid w:val="36992A33"/>
    <w:rsid w:val="36A22794"/>
    <w:rsid w:val="36AD2EE7"/>
    <w:rsid w:val="36B129D7"/>
    <w:rsid w:val="36C73FA8"/>
    <w:rsid w:val="36D10539"/>
    <w:rsid w:val="36E94EEA"/>
    <w:rsid w:val="36F275DD"/>
    <w:rsid w:val="36F948DF"/>
    <w:rsid w:val="370B658B"/>
    <w:rsid w:val="371D1E1A"/>
    <w:rsid w:val="372C6501"/>
    <w:rsid w:val="372E2279"/>
    <w:rsid w:val="37517D16"/>
    <w:rsid w:val="37537F32"/>
    <w:rsid w:val="375F68D7"/>
    <w:rsid w:val="376E2676"/>
    <w:rsid w:val="37781747"/>
    <w:rsid w:val="378679C0"/>
    <w:rsid w:val="378E0F6A"/>
    <w:rsid w:val="37906A90"/>
    <w:rsid w:val="37991DE9"/>
    <w:rsid w:val="379E73FF"/>
    <w:rsid w:val="37AF33BA"/>
    <w:rsid w:val="37B207B5"/>
    <w:rsid w:val="37B502A5"/>
    <w:rsid w:val="37C4673A"/>
    <w:rsid w:val="37D20E57"/>
    <w:rsid w:val="37DF17C6"/>
    <w:rsid w:val="37DF3574"/>
    <w:rsid w:val="37E868CC"/>
    <w:rsid w:val="37EE37B7"/>
    <w:rsid w:val="37F25055"/>
    <w:rsid w:val="37F86F59"/>
    <w:rsid w:val="380F5C07"/>
    <w:rsid w:val="38190834"/>
    <w:rsid w:val="381F1BC2"/>
    <w:rsid w:val="382B67B9"/>
    <w:rsid w:val="383E473E"/>
    <w:rsid w:val="384B0C09"/>
    <w:rsid w:val="385B53B3"/>
    <w:rsid w:val="38657F1D"/>
    <w:rsid w:val="386817BB"/>
    <w:rsid w:val="38685317"/>
    <w:rsid w:val="38832151"/>
    <w:rsid w:val="388A7983"/>
    <w:rsid w:val="388C36FB"/>
    <w:rsid w:val="389B393F"/>
    <w:rsid w:val="38A26A7B"/>
    <w:rsid w:val="38B95B73"/>
    <w:rsid w:val="38BD5663"/>
    <w:rsid w:val="38CC58A6"/>
    <w:rsid w:val="38D62BC9"/>
    <w:rsid w:val="38D80EA1"/>
    <w:rsid w:val="38E47094"/>
    <w:rsid w:val="38EA0710"/>
    <w:rsid w:val="38ED3A6E"/>
    <w:rsid w:val="38F90665"/>
    <w:rsid w:val="39007C46"/>
    <w:rsid w:val="390A2872"/>
    <w:rsid w:val="391E1E7A"/>
    <w:rsid w:val="392A081F"/>
    <w:rsid w:val="393578EF"/>
    <w:rsid w:val="393A3157"/>
    <w:rsid w:val="393F42CA"/>
    <w:rsid w:val="39447B32"/>
    <w:rsid w:val="394F0285"/>
    <w:rsid w:val="3958538C"/>
    <w:rsid w:val="39671A73"/>
    <w:rsid w:val="39677CC5"/>
    <w:rsid w:val="396F26D5"/>
    <w:rsid w:val="39777F08"/>
    <w:rsid w:val="39893797"/>
    <w:rsid w:val="398D772B"/>
    <w:rsid w:val="399F745E"/>
    <w:rsid w:val="39B20F40"/>
    <w:rsid w:val="39CB39E5"/>
    <w:rsid w:val="39D32C64"/>
    <w:rsid w:val="39D61D44"/>
    <w:rsid w:val="39DC5FBD"/>
    <w:rsid w:val="39E92488"/>
    <w:rsid w:val="39F07CBA"/>
    <w:rsid w:val="39F850F3"/>
    <w:rsid w:val="39FF7EFD"/>
    <w:rsid w:val="3A0E0140"/>
    <w:rsid w:val="3A157721"/>
    <w:rsid w:val="3A242C9A"/>
    <w:rsid w:val="3A3A0F35"/>
    <w:rsid w:val="3A614714"/>
    <w:rsid w:val="3A8F302F"/>
    <w:rsid w:val="3A9E14C4"/>
    <w:rsid w:val="3AAD7959"/>
    <w:rsid w:val="3AAF722D"/>
    <w:rsid w:val="3AD4138A"/>
    <w:rsid w:val="3AEE244B"/>
    <w:rsid w:val="3AF61300"/>
    <w:rsid w:val="3B0A0C7F"/>
    <w:rsid w:val="3B163750"/>
    <w:rsid w:val="3B186D42"/>
    <w:rsid w:val="3B245E6D"/>
    <w:rsid w:val="3B247C1B"/>
    <w:rsid w:val="3B27770B"/>
    <w:rsid w:val="3B2F036E"/>
    <w:rsid w:val="3B343BD6"/>
    <w:rsid w:val="3B351E28"/>
    <w:rsid w:val="3B365BA1"/>
    <w:rsid w:val="3B424545"/>
    <w:rsid w:val="3B5A363D"/>
    <w:rsid w:val="3B5D687E"/>
    <w:rsid w:val="3B660234"/>
    <w:rsid w:val="3B6B3A9C"/>
    <w:rsid w:val="3B7A5A8D"/>
    <w:rsid w:val="3B84690C"/>
    <w:rsid w:val="3B8763FC"/>
    <w:rsid w:val="3B8A37F6"/>
    <w:rsid w:val="3B912DD7"/>
    <w:rsid w:val="3B9308FD"/>
    <w:rsid w:val="3BA743A8"/>
    <w:rsid w:val="3BB1191E"/>
    <w:rsid w:val="3BB84807"/>
    <w:rsid w:val="3BB865B6"/>
    <w:rsid w:val="3BBB1019"/>
    <w:rsid w:val="3BCB62E9"/>
    <w:rsid w:val="3BD056AD"/>
    <w:rsid w:val="3BD31641"/>
    <w:rsid w:val="3BDF3B42"/>
    <w:rsid w:val="3BE86E9B"/>
    <w:rsid w:val="3BFC46F4"/>
    <w:rsid w:val="3C017F5D"/>
    <w:rsid w:val="3C065573"/>
    <w:rsid w:val="3C1934F8"/>
    <w:rsid w:val="3C291261"/>
    <w:rsid w:val="3C430575"/>
    <w:rsid w:val="3C4E2A76"/>
    <w:rsid w:val="3C5F6A31"/>
    <w:rsid w:val="3C6F3118"/>
    <w:rsid w:val="3C706E90"/>
    <w:rsid w:val="3C722C08"/>
    <w:rsid w:val="3C7C5835"/>
    <w:rsid w:val="3C9A5CBB"/>
    <w:rsid w:val="3CA1704A"/>
    <w:rsid w:val="3CA8662A"/>
    <w:rsid w:val="3CAC611A"/>
    <w:rsid w:val="3CAD3C40"/>
    <w:rsid w:val="3CAE0AD9"/>
    <w:rsid w:val="3CBC20D5"/>
    <w:rsid w:val="3CCD42E3"/>
    <w:rsid w:val="3CD218F9"/>
    <w:rsid w:val="3CD236A7"/>
    <w:rsid w:val="3CD64F45"/>
    <w:rsid w:val="3CD92C87"/>
    <w:rsid w:val="3CDB69FF"/>
    <w:rsid w:val="3CF4361D"/>
    <w:rsid w:val="3CF8135F"/>
    <w:rsid w:val="3CFE624A"/>
    <w:rsid w:val="3D001FC2"/>
    <w:rsid w:val="3D05582A"/>
    <w:rsid w:val="3D115F7D"/>
    <w:rsid w:val="3D145A6E"/>
    <w:rsid w:val="3D17730C"/>
    <w:rsid w:val="3D1B32A0"/>
    <w:rsid w:val="3D2832C7"/>
    <w:rsid w:val="3D417C86"/>
    <w:rsid w:val="3D430101"/>
    <w:rsid w:val="3D4E5423"/>
    <w:rsid w:val="3D566086"/>
    <w:rsid w:val="3D605157"/>
    <w:rsid w:val="3D622C7D"/>
    <w:rsid w:val="3D69400B"/>
    <w:rsid w:val="3D6A38DF"/>
    <w:rsid w:val="3D6E1622"/>
    <w:rsid w:val="3D840E45"/>
    <w:rsid w:val="3D85117A"/>
    <w:rsid w:val="3D8E5820"/>
    <w:rsid w:val="3D913562"/>
    <w:rsid w:val="3D927C8C"/>
    <w:rsid w:val="3D993796"/>
    <w:rsid w:val="3D9F17DB"/>
    <w:rsid w:val="3DB17760"/>
    <w:rsid w:val="3DB8289D"/>
    <w:rsid w:val="3DBC05DF"/>
    <w:rsid w:val="3DBD1576"/>
    <w:rsid w:val="3DD0408A"/>
    <w:rsid w:val="3DE511B8"/>
    <w:rsid w:val="3E06185A"/>
    <w:rsid w:val="3E1723C3"/>
    <w:rsid w:val="3E1A70B4"/>
    <w:rsid w:val="3E1D4B75"/>
    <w:rsid w:val="3E23065E"/>
    <w:rsid w:val="3E2B42CA"/>
    <w:rsid w:val="3E495BEB"/>
    <w:rsid w:val="3E6842C3"/>
    <w:rsid w:val="3E6D7B2B"/>
    <w:rsid w:val="3E75253C"/>
    <w:rsid w:val="3E832EAB"/>
    <w:rsid w:val="3E8409D1"/>
    <w:rsid w:val="3E8B6203"/>
    <w:rsid w:val="3EAE5A4E"/>
    <w:rsid w:val="3EF47905"/>
    <w:rsid w:val="3EFB6EE5"/>
    <w:rsid w:val="3F0538C0"/>
    <w:rsid w:val="3F23643C"/>
    <w:rsid w:val="3F3917BB"/>
    <w:rsid w:val="3F47037C"/>
    <w:rsid w:val="3F6A7BC7"/>
    <w:rsid w:val="3F6F1681"/>
    <w:rsid w:val="3F786788"/>
    <w:rsid w:val="3F7F046E"/>
    <w:rsid w:val="3F8E1B07"/>
    <w:rsid w:val="3F95733A"/>
    <w:rsid w:val="3F9E4390"/>
    <w:rsid w:val="3F9E5AC2"/>
    <w:rsid w:val="3FA118A5"/>
    <w:rsid w:val="3FA532F5"/>
    <w:rsid w:val="3FAF7CCF"/>
    <w:rsid w:val="3FC1012F"/>
    <w:rsid w:val="3FCA4B09"/>
    <w:rsid w:val="3FD414E4"/>
    <w:rsid w:val="3FDD2A8F"/>
    <w:rsid w:val="3FEA0D08"/>
    <w:rsid w:val="4004001B"/>
    <w:rsid w:val="40210BCD"/>
    <w:rsid w:val="4021297B"/>
    <w:rsid w:val="402141CB"/>
    <w:rsid w:val="402266F3"/>
    <w:rsid w:val="4024421A"/>
    <w:rsid w:val="403F2E01"/>
    <w:rsid w:val="40642868"/>
    <w:rsid w:val="406B009A"/>
    <w:rsid w:val="40703E40"/>
    <w:rsid w:val="40880C4C"/>
    <w:rsid w:val="408E5B37"/>
    <w:rsid w:val="409018AF"/>
    <w:rsid w:val="40A35A86"/>
    <w:rsid w:val="40A435AC"/>
    <w:rsid w:val="40A67324"/>
    <w:rsid w:val="40AC21F8"/>
    <w:rsid w:val="40AD67D4"/>
    <w:rsid w:val="40AF61D9"/>
    <w:rsid w:val="40B3559D"/>
    <w:rsid w:val="40B82BB4"/>
    <w:rsid w:val="40C41559"/>
    <w:rsid w:val="40C61775"/>
    <w:rsid w:val="40CB6D8B"/>
    <w:rsid w:val="40D23C76"/>
    <w:rsid w:val="40D519B8"/>
    <w:rsid w:val="40DC4AF4"/>
    <w:rsid w:val="40DE038F"/>
    <w:rsid w:val="40E63D94"/>
    <w:rsid w:val="40F260C6"/>
    <w:rsid w:val="40F7192E"/>
    <w:rsid w:val="40FC6F44"/>
    <w:rsid w:val="41004C87"/>
    <w:rsid w:val="410339D7"/>
    <w:rsid w:val="41061B71"/>
    <w:rsid w:val="410A340F"/>
    <w:rsid w:val="411B386E"/>
    <w:rsid w:val="41200E85"/>
    <w:rsid w:val="41214BFD"/>
    <w:rsid w:val="412C60A3"/>
    <w:rsid w:val="413B5CBF"/>
    <w:rsid w:val="413E755D"/>
    <w:rsid w:val="41483F38"/>
    <w:rsid w:val="414A4154"/>
    <w:rsid w:val="41630D72"/>
    <w:rsid w:val="41735459"/>
    <w:rsid w:val="41792343"/>
    <w:rsid w:val="417E204F"/>
    <w:rsid w:val="418105AD"/>
    <w:rsid w:val="41970A1B"/>
    <w:rsid w:val="41A73354"/>
    <w:rsid w:val="41AC44C7"/>
    <w:rsid w:val="41AC627D"/>
    <w:rsid w:val="41AE46E3"/>
    <w:rsid w:val="41BA3087"/>
    <w:rsid w:val="41BB295C"/>
    <w:rsid w:val="41C9151C"/>
    <w:rsid w:val="41D6046E"/>
    <w:rsid w:val="41E579D9"/>
    <w:rsid w:val="41F45E6E"/>
    <w:rsid w:val="41FF6CEC"/>
    <w:rsid w:val="420267DC"/>
    <w:rsid w:val="420E33D3"/>
    <w:rsid w:val="421502BE"/>
    <w:rsid w:val="421A58D4"/>
    <w:rsid w:val="422B7AE1"/>
    <w:rsid w:val="42312C1E"/>
    <w:rsid w:val="42334BE8"/>
    <w:rsid w:val="42576B28"/>
    <w:rsid w:val="426E79CE"/>
    <w:rsid w:val="42723962"/>
    <w:rsid w:val="42884F34"/>
    <w:rsid w:val="42894808"/>
    <w:rsid w:val="428B3D82"/>
    <w:rsid w:val="428C42F8"/>
    <w:rsid w:val="4292190E"/>
    <w:rsid w:val="42937435"/>
    <w:rsid w:val="429C0C25"/>
    <w:rsid w:val="42A47894"/>
    <w:rsid w:val="42B314E1"/>
    <w:rsid w:val="42C13FA2"/>
    <w:rsid w:val="42CB6BCE"/>
    <w:rsid w:val="42DF08CC"/>
    <w:rsid w:val="42F04887"/>
    <w:rsid w:val="42F51E9D"/>
    <w:rsid w:val="42FE51F6"/>
    <w:rsid w:val="42FF2D1C"/>
    <w:rsid w:val="43035753"/>
    <w:rsid w:val="430976F7"/>
    <w:rsid w:val="430A1DED"/>
    <w:rsid w:val="430F2F5F"/>
    <w:rsid w:val="43560B8E"/>
    <w:rsid w:val="436A288B"/>
    <w:rsid w:val="436D4129"/>
    <w:rsid w:val="43A01E09"/>
    <w:rsid w:val="43AA2C88"/>
    <w:rsid w:val="43B92ECB"/>
    <w:rsid w:val="43C73BDB"/>
    <w:rsid w:val="43CE2E1A"/>
    <w:rsid w:val="43D321DE"/>
    <w:rsid w:val="43D9356D"/>
    <w:rsid w:val="43DE6DD5"/>
    <w:rsid w:val="43EF2D90"/>
    <w:rsid w:val="43F6411F"/>
    <w:rsid w:val="44024872"/>
    <w:rsid w:val="440C749E"/>
    <w:rsid w:val="4411153B"/>
    <w:rsid w:val="44142270"/>
    <w:rsid w:val="441D5B50"/>
    <w:rsid w:val="441E71D2"/>
    <w:rsid w:val="441F5424"/>
    <w:rsid w:val="44224F14"/>
    <w:rsid w:val="442A5B77"/>
    <w:rsid w:val="443B5FD6"/>
    <w:rsid w:val="443D58AA"/>
    <w:rsid w:val="4441183E"/>
    <w:rsid w:val="44427364"/>
    <w:rsid w:val="445A46AE"/>
    <w:rsid w:val="44675AEB"/>
    <w:rsid w:val="4468364C"/>
    <w:rsid w:val="44727C49"/>
    <w:rsid w:val="448654A3"/>
    <w:rsid w:val="44901E7E"/>
    <w:rsid w:val="4492209A"/>
    <w:rsid w:val="44A91191"/>
    <w:rsid w:val="44BA339E"/>
    <w:rsid w:val="44BA6EFA"/>
    <w:rsid w:val="44BC0EC5"/>
    <w:rsid w:val="44C4421D"/>
    <w:rsid w:val="44C63AF1"/>
    <w:rsid w:val="44C85ABB"/>
    <w:rsid w:val="44D31575"/>
    <w:rsid w:val="44E87F0C"/>
    <w:rsid w:val="44EE3048"/>
    <w:rsid w:val="45062140"/>
    <w:rsid w:val="450E2B5C"/>
    <w:rsid w:val="45357EA7"/>
    <w:rsid w:val="4565155C"/>
    <w:rsid w:val="45660E30"/>
    <w:rsid w:val="4574354D"/>
    <w:rsid w:val="45837C34"/>
    <w:rsid w:val="45991206"/>
    <w:rsid w:val="459E05CA"/>
    <w:rsid w:val="45A007E6"/>
    <w:rsid w:val="45AC718B"/>
    <w:rsid w:val="45B95404"/>
    <w:rsid w:val="45CA7611"/>
    <w:rsid w:val="45E05087"/>
    <w:rsid w:val="45F25354"/>
    <w:rsid w:val="45F55107"/>
    <w:rsid w:val="460C7C2A"/>
    <w:rsid w:val="46195EA3"/>
    <w:rsid w:val="461E170B"/>
    <w:rsid w:val="461E795D"/>
    <w:rsid w:val="4622744D"/>
    <w:rsid w:val="46244F73"/>
    <w:rsid w:val="46250CEB"/>
    <w:rsid w:val="463B050F"/>
    <w:rsid w:val="463D7DE3"/>
    <w:rsid w:val="4642189D"/>
    <w:rsid w:val="4642364B"/>
    <w:rsid w:val="465B295F"/>
    <w:rsid w:val="465B470D"/>
    <w:rsid w:val="46690BD8"/>
    <w:rsid w:val="46713F31"/>
    <w:rsid w:val="46715CDF"/>
    <w:rsid w:val="467D0B27"/>
    <w:rsid w:val="4689127A"/>
    <w:rsid w:val="469D0882"/>
    <w:rsid w:val="46BD2CD2"/>
    <w:rsid w:val="46CB53EF"/>
    <w:rsid w:val="46DB13AA"/>
    <w:rsid w:val="46F030A7"/>
    <w:rsid w:val="470A2D16"/>
    <w:rsid w:val="470B6133"/>
    <w:rsid w:val="471F1BDF"/>
    <w:rsid w:val="47217705"/>
    <w:rsid w:val="472B2331"/>
    <w:rsid w:val="47373CCA"/>
    <w:rsid w:val="473C453F"/>
    <w:rsid w:val="47543636"/>
    <w:rsid w:val="476B6BD2"/>
    <w:rsid w:val="478101A3"/>
    <w:rsid w:val="47863A0C"/>
    <w:rsid w:val="479003E6"/>
    <w:rsid w:val="47953C4F"/>
    <w:rsid w:val="479779C7"/>
    <w:rsid w:val="479F062A"/>
    <w:rsid w:val="47B2035D"/>
    <w:rsid w:val="47C06F1E"/>
    <w:rsid w:val="47CA38F8"/>
    <w:rsid w:val="47D26740"/>
    <w:rsid w:val="47DE73A4"/>
    <w:rsid w:val="47E10C42"/>
    <w:rsid w:val="47EB386F"/>
    <w:rsid w:val="48027536"/>
    <w:rsid w:val="480C2163"/>
    <w:rsid w:val="48166B3E"/>
    <w:rsid w:val="482079BC"/>
    <w:rsid w:val="48254FD3"/>
    <w:rsid w:val="48276F9D"/>
    <w:rsid w:val="482A7BEC"/>
    <w:rsid w:val="482C46F7"/>
    <w:rsid w:val="482F19AD"/>
    <w:rsid w:val="48384D06"/>
    <w:rsid w:val="484F2050"/>
    <w:rsid w:val="487321E2"/>
    <w:rsid w:val="48733AF6"/>
    <w:rsid w:val="48733F90"/>
    <w:rsid w:val="488937B4"/>
    <w:rsid w:val="488A12DA"/>
    <w:rsid w:val="48914416"/>
    <w:rsid w:val="48A95C14"/>
    <w:rsid w:val="48B12D0A"/>
    <w:rsid w:val="48BD520B"/>
    <w:rsid w:val="48CE566A"/>
    <w:rsid w:val="48D507A7"/>
    <w:rsid w:val="48D80297"/>
    <w:rsid w:val="48DB38E3"/>
    <w:rsid w:val="48E1539E"/>
    <w:rsid w:val="48E924A4"/>
    <w:rsid w:val="48EB1D78"/>
    <w:rsid w:val="48EC789E"/>
    <w:rsid w:val="48EE1869"/>
    <w:rsid w:val="48F549A5"/>
    <w:rsid w:val="49066BB2"/>
    <w:rsid w:val="490C7F41"/>
    <w:rsid w:val="49284D7B"/>
    <w:rsid w:val="49290AF3"/>
    <w:rsid w:val="492B03C7"/>
    <w:rsid w:val="492F56F0"/>
    <w:rsid w:val="49331971"/>
    <w:rsid w:val="49470F79"/>
    <w:rsid w:val="49523BA5"/>
    <w:rsid w:val="49553696"/>
    <w:rsid w:val="495711BC"/>
    <w:rsid w:val="495913D8"/>
    <w:rsid w:val="495C67D2"/>
    <w:rsid w:val="4961028C"/>
    <w:rsid w:val="496658A3"/>
    <w:rsid w:val="496B4C67"/>
    <w:rsid w:val="49787384"/>
    <w:rsid w:val="49816239"/>
    <w:rsid w:val="49831FB1"/>
    <w:rsid w:val="49843F7B"/>
    <w:rsid w:val="49884A98"/>
    <w:rsid w:val="49885819"/>
    <w:rsid w:val="49997A26"/>
    <w:rsid w:val="499F1387"/>
    <w:rsid w:val="49A10689"/>
    <w:rsid w:val="49AE2DA6"/>
    <w:rsid w:val="49B14177"/>
    <w:rsid w:val="49C01457"/>
    <w:rsid w:val="49CF3448"/>
    <w:rsid w:val="49D56585"/>
    <w:rsid w:val="49E07403"/>
    <w:rsid w:val="49E669E4"/>
    <w:rsid w:val="49EC3FFA"/>
    <w:rsid w:val="49FC7FB5"/>
    <w:rsid w:val="4A0F7CE8"/>
    <w:rsid w:val="4A113A61"/>
    <w:rsid w:val="4A297E99"/>
    <w:rsid w:val="4A5B2F2E"/>
    <w:rsid w:val="4A83441E"/>
    <w:rsid w:val="4A881849"/>
    <w:rsid w:val="4A8A3813"/>
    <w:rsid w:val="4A954692"/>
    <w:rsid w:val="4A985F30"/>
    <w:rsid w:val="4A993A56"/>
    <w:rsid w:val="4AAD305D"/>
    <w:rsid w:val="4AAF5028"/>
    <w:rsid w:val="4ACB00B3"/>
    <w:rsid w:val="4ACC7988"/>
    <w:rsid w:val="4ACE3700"/>
    <w:rsid w:val="4ACE54AE"/>
    <w:rsid w:val="4AD54A8E"/>
    <w:rsid w:val="4AD625B4"/>
    <w:rsid w:val="4AE40168"/>
    <w:rsid w:val="4AEB42B2"/>
    <w:rsid w:val="4AFA2747"/>
    <w:rsid w:val="4B076C12"/>
    <w:rsid w:val="4B0B04B0"/>
    <w:rsid w:val="4B0C5FD6"/>
    <w:rsid w:val="4B1650A7"/>
    <w:rsid w:val="4B217CD3"/>
    <w:rsid w:val="4B223A4B"/>
    <w:rsid w:val="4B481EEC"/>
    <w:rsid w:val="4B4E4840"/>
    <w:rsid w:val="4B7D6ED4"/>
    <w:rsid w:val="4B8D35BB"/>
    <w:rsid w:val="4B906C07"/>
    <w:rsid w:val="4B95246F"/>
    <w:rsid w:val="4BA05606"/>
    <w:rsid w:val="4BB723E6"/>
    <w:rsid w:val="4BBC17AA"/>
    <w:rsid w:val="4BDC1E4C"/>
    <w:rsid w:val="4BE3142D"/>
    <w:rsid w:val="4BED4059"/>
    <w:rsid w:val="4BFC24EE"/>
    <w:rsid w:val="4C066EC9"/>
    <w:rsid w:val="4C15710C"/>
    <w:rsid w:val="4C1C049B"/>
    <w:rsid w:val="4C251A45"/>
    <w:rsid w:val="4C3677AE"/>
    <w:rsid w:val="4C433C79"/>
    <w:rsid w:val="4C4F0870"/>
    <w:rsid w:val="4C4F6AC2"/>
    <w:rsid w:val="4C6D0CF6"/>
    <w:rsid w:val="4C716A38"/>
    <w:rsid w:val="4C793B3F"/>
    <w:rsid w:val="4C7B3413"/>
    <w:rsid w:val="4C7D362F"/>
    <w:rsid w:val="4C7E4CB1"/>
    <w:rsid w:val="4C87000A"/>
    <w:rsid w:val="4C9646F1"/>
    <w:rsid w:val="4C9E7102"/>
    <w:rsid w:val="4CA27D42"/>
    <w:rsid w:val="4CB84667"/>
    <w:rsid w:val="4CD9638C"/>
    <w:rsid w:val="4CDD7C2A"/>
    <w:rsid w:val="4CE27936"/>
    <w:rsid w:val="4CE90CC5"/>
    <w:rsid w:val="4CFD02CC"/>
    <w:rsid w:val="4D007DBC"/>
    <w:rsid w:val="4D1473C4"/>
    <w:rsid w:val="4D2910C1"/>
    <w:rsid w:val="4D3006A2"/>
    <w:rsid w:val="4D386DDA"/>
    <w:rsid w:val="4D40640B"/>
    <w:rsid w:val="4D423F31"/>
    <w:rsid w:val="4D474B46"/>
    <w:rsid w:val="4D4759EB"/>
    <w:rsid w:val="4D4C53EF"/>
    <w:rsid w:val="4D6B16DA"/>
    <w:rsid w:val="4D7F5185"/>
    <w:rsid w:val="4D8B1D7C"/>
    <w:rsid w:val="4D8E53C8"/>
    <w:rsid w:val="4D8E7176"/>
    <w:rsid w:val="4D924EB8"/>
    <w:rsid w:val="4D956757"/>
    <w:rsid w:val="4D986247"/>
    <w:rsid w:val="4D9A3D6D"/>
    <w:rsid w:val="4D9F3131"/>
    <w:rsid w:val="4DA1334D"/>
    <w:rsid w:val="4DA8648A"/>
    <w:rsid w:val="4DB50BA7"/>
    <w:rsid w:val="4DC4703C"/>
    <w:rsid w:val="4DCD7C9F"/>
    <w:rsid w:val="4DD03C33"/>
    <w:rsid w:val="4DF711BF"/>
    <w:rsid w:val="4DFE42FC"/>
    <w:rsid w:val="4E0D09E3"/>
    <w:rsid w:val="4E0F02B7"/>
    <w:rsid w:val="4E141D71"/>
    <w:rsid w:val="4E1753BE"/>
    <w:rsid w:val="4E1A4EAE"/>
    <w:rsid w:val="4E434405"/>
    <w:rsid w:val="4E45017D"/>
    <w:rsid w:val="4E4E112E"/>
    <w:rsid w:val="4E527AAF"/>
    <w:rsid w:val="4E6525CD"/>
    <w:rsid w:val="4E6A7BE3"/>
    <w:rsid w:val="4E742810"/>
    <w:rsid w:val="4E796078"/>
    <w:rsid w:val="4E7C3473"/>
    <w:rsid w:val="4E7E71EB"/>
    <w:rsid w:val="4E9407BC"/>
    <w:rsid w:val="4E964534"/>
    <w:rsid w:val="4E992277"/>
    <w:rsid w:val="4E9D1D67"/>
    <w:rsid w:val="4EA74993"/>
    <w:rsid w:val="4EC70B92"/>
    <w:rsid w:val="4ECD3CCE"/>
    <w:rsid w:val="4ECE0172"/>
    <w:rsid w:val="4EE71234"/>
    <w:rsid w:val="4F1F09CE"/>
    <w:rsid w:val="4F6178F6"/>
    <w:rsid w:val="4F624D5E"/>
    <w:rsid w:val="4F7800DE"/>
    <w:rsid w:val="4F7B372A"/>
    <w:rsid w:val="4F80531E"/>
    <w:rsid w:val="4F822D0B"/>
    <w:rsid w:val="4FA2515B"/>
    <w:rsid w:val="4FA456A9"/>
    <w:rsid w:val="4FD23C92"/>
    <w:rsid w:val="4FD80B7D"/>
    <w:rsid w:val="4FDA66A3"/>
    <w:rsid w:val="4FDF1F0B"/>
    <w:rsid w:val="4FF100B9"/>
    <w:rsid w:val="4FFF435B"/>
    <w:rsid w:val="50011E81"/>
    <w:rsid w:val="50212524"/>
    <w:rsid w:val="502A762A"/>
    <w:rsid w:val="50463D38"/>
    <w:rsid w:val="504908E4"/>
    <w:rsid w:val="504B134F"/>
    <w:rsid w:val="504D156B"/>
    <w:rsid w:val="505226DD"/>
    <w:rsid w:val="50610B72"/>
    <w:rsid w:val="50680152"/>
    <w:rsid w:val="507408A5"/>
    <w:rsid w:val="507E7976"/>
    <w:rsid w:val="508F1B83"/>
    <w:rsid w:val="50903205"/>
    <w:rsid w:val="50964CC0"/>
    <w:rsid w:val="509937A3"/>
    <w:rsid w:val="50AD025B"/>
    <w:rsid w:val="50DB3D34"/>
    <w:rsid w:val="50DD469C"/>
    <w:rsid w:val="50EA6DB9"/>
    <w:rsid w:val="50F47C38"/>
    <w:rsid w:val="50F9524E"/>
    <w:rsid w:val="50FD6AED"/>
    <w:rsid w:val="5100038B"/>
    <w:rsid w:val="51085492"/>
    <w:rsid w:val="51143E36"/>
    <w:rsid w:val="51275918"/>
    <w:rsid w:val="512F0C70"/>
    <w:rsid w:val="51404C2B"/>
    <w:rsid w:val="51426BF5"/>
    <w:rsid w:val="515626A1"/>
    <w:rsid w:val="5167040A"/>
    <w:rsid w:val="516C77CE"/>
    <w:rsid w:val="517B3EB5"/>
    <w:rsid w:val="51816421"/>
    <w:rsid w:val="5184720E"/>
    <w:rsid w:val="518C579C"/>
    <w:rsid w:val="518C5BE1"/>
    <w:rsid w:val="519D2F0D"/>
    <w:rsid w:val="51A451BA"/>
    <w:rsid w:val="51A52CE0"/>
    <w:rsid w:val="51A74CAA"/>
    <w:rsid w:val="51AC22C1"/>
    <w:rsid w:val="51B178D7"/>
    <w:rsid w:val="51D75590"/>
    <w:rsid w:val="51D81308"/>
    <w:rsid w:val="51E63A25"/>
    <w:rsid w:val="51E90E1F"/>
    <w:rsid w:val="51FF4AE6"/>
    <w:rsid w:val="5209326F"/>
    <w:rsid w:val="520C2D5F"/>
    <w:rsid w:val="520D0FB1"/>
    <w:rsid w:val="521F2A93"/>
    <w:rsid w:val="52224331"/>
    <w:rsid w:val="52271947"/>
    <w:rsid w:val="52285DEB"/>
    <w:rsid w:val="522956BF"/>
    <w:rsid w:val="524D7600"/>
    <w:rsid w:val="524E02B9"/>
    <w:rsid w:val="5257047F"/>
    <w:rsid w:val="525C5A95"/>
    <w:rsid w:val="525E180D"/>
    <w:rsid w:val="52770B21"/>
    <w:rsid w:val="528079D5"/>
    <w:rsid w:val="52833022"/>
    <w:rsid w:val="5294522F"/>
    <w:rsid w:val="52A31916"/>
    <w:rsid w:val="52A64F62"/>
    <w:rsid w:val="52AA2CA4"/>
    <w:rsid w:val="52AB4326"/>
    <w:rsid w:val="52DB10B0"/>
    <w:rsid w:val="52EC6E19"/>
    <w:rsid w:val="52F43F1F"/>
    <w:rsid w:val="52F7756C"/>
    <w:rsid w:val="530A729F"/>
    <w:rsid w:val="53130849"/>
    <w:rsid w:val="53195734"/>
    <w:rsid w:val="531C6FD2"/>
    <w:rsid w:val="532A16EF"/>
    <w:rsid w:val="532C190B"/>
    <w:rsid w:val="53407165"/>
    <w:rsid w:val="53422EDD"/>
    <w:rsid w:val="534A7FE3"/>
    <w:rsid w:val="535569D5"/>
    <w:rsid w:val="535B7AFB"/>
    <w:rsid w:val="535D1AC5"/>
    <w:rsid w:val="53603363"/>
    <w:rsid w:val="53672943"/>
    <w:rsid w:val="537137C2"/>
    <w:rsid w:val="537C37DA"/>
    <w:rsid w:val="5382777D"/>
    <w:rsid w:val="538434F5"/>
    <w:rsid w:val="538B4884"/>
    <w:rsid w:val="53915C12"/>
    <w:rsid w:val="53A25729"/>
    <w:rsid w:val="53B76ABF"/>
    <w:rsid w:val="53BF62DB"/>
    <w:rsid w:val="53C75190"/>
    <w:rsid w:val="53D8739D"/>
    <w:rsid w:val="53DD0E57"/>
    <w:rsid w:val="53DD49B3"/>
    <w:rsid w:val="53F266B1"/>
    <w:rsid w:val="53F51CFD"/>
    <w:rsid w:val="5406215C"/>
    <w:rsid w:val="5411465D"/>
    <w:rsid w:val="54177EC5"/>
    <w:rsid w:val="541F321E"/>
    <w:rsid w:val="54210D44"/>
    <w:rsid w:val="5426635A"/>
    <w:rsid w:val="54370568"/>
    <w:rsid w:val="545C0092"/>
    <w:rsid w:val="54662BFB"/>
    <w:rsid w:val="547E7F44"/>
    <w:rsid w:val="548337AD"/>
    <w:rsid w:val="548B2661"/>
    <w:rsid w:val="548D63DA"/>
    <w:rsid w:val="548E5CAE"/>
    <w:rsid w:val="54994D7E"/>
    <w:rsid w:val="549C661D"/>
    <w:rsid w:val="54B576DE"/>
    <w:rsid w:val="54C76FFC"/>
    <w:rsid w:val="54D758A7"/>
    <w:rsid w:val="54E42AC5"/>
    <w:rsid w:val="54E87AB4"/>
    <w:rsid w:val="55061CE8"/>
    <w:rsid w:val="550A7A2A"/>
    <w:rsid w:val="550D751A"/>
    <w:rsid w:val="551663CF"/>
    <w:rsid w:val="55175CA3"/>
    <w:rsid w:val="55306D65"/>
    <w:rsid w:val="55342CF9"/>
    <w:rsid w:val="553625CD"/>
    <w:rsid w:val="553700F3"/>
    <w:rsid w:val="553C395C"/>
    <w:rsid w:val="5563538C"/>
    <w:rsid w:val="5588094F"/>
    <w:rsid w:val="558A0B6B"/>
    <w:rsid w:val="55937A20"/>
    <w:rsid w:val="55A35789"/>
    <w:rsid w:val="55A559A5"/>
    <w:rsid w:val="55AE4859"/>
    <w:rsid w:val="55AF05D2"/>
    <w:rsid w:val="55B13EB6"/>
    <w:rsid w:val="55BB6F76"/>
    <w:rsid w:val="55BE7BFB"/>
    <w:rsid w:val="55C0251B"/>
    <w:rsid w:val="55C23E61"/>
    <w:rsid w:val="55D6790C"/>
    <w:rsid w:val="55DD6EED"/>
    <w:rsid w:val="55E40C52"/>
    <w:rsid w:val="55F04E72"/>
    <w:rsid w:val="55F47CCA"/>
    <w:rsid w:val="55F81F79"/>
    <w:rsid w:val="55FA184D"/>
    <w:rsid w:val="560E354A"/>
    <w:rsid w:val="561072C2"/>
    <w:rsid w:val="5621502B"/>
    <w:rsid w:val="56244B1C"/>
    <w:rsid w:val="56356D29"/>
    <w:rsid w:val="56464A92"/>
    <w:rsid w:val="56660C90"/>
    <w:rsid w:val="56717635"/>
    <w:rsid w:val="56835CE6"/>
    <w:rsid w:val="568F468B"/>
    <w:rsid w:val="569752EE"/>
    <w:rsid w:val="56B23ED5"/>
    <w:rsid w:val="56C360E3"/>
    <w:rsid w:val="56C37E91"/>
    <w:rsid w:val="56C8194B"/>
    <w:rsid w:val="56D7393C"/>
    <w:rsid w:val="56E85B49"/>
    <w:rsid w:val="56FC33A3"/>
    <w:rsid w:val="57016C0B"/>
    <w:rsid w:val="571B5F1F"/>
    <w:rsid w:val="572172AD"/>
    <w:rsid w:val="57250B4B"/>
    <w:rsid w:val="572528F9"/>
    <w:rsid w:val="5726041F"/>
    <w:rsid w:val="57266671"/>
    <w:rsid w:val="573B211D"/>
    <w:rsid w:val="57476D14"/>
    <w:rsid w:val="574D1E50"/>
    <w:rsid w:val="57517B92"/>
    <w:rsid w:val="575256B8"/>
    <w:rsid w:val="575B3465"/>
    <w:rsid w:val="57632CB7"/>
    <w:rsid w:val="57947A7F"/>
    <w:rsid w:val="579655A5"/>
    <w:rsid w:val="57A23F4A"/>
    <w:rsid w:val="57AF6667"/>
    <w:rsid w:val="57B1418D"/>
    <w:rsid w:val="57B43C7D"/>
    <w:rsid w:val="57BC3348"/>
    <w:rsid w:val="57D8796C"/>
    <w:rsid w:val="57D91936"/>
    <w:rsid w:val="57FD5624"/>
    <w:rsid w:val="5805272B"/>
    <w:rsid w:val="580F5357"/>
    <w:rsid w:val="58160494"/>
    <w:rsid w:val="581A7F84"/>
    <w:rsid w:val="581F24A6"/>
    <w:rsid w:val="583628E4"/>
    <w:rsid w:val="583A0626"/>
    <w:rsid w:val="583A3465"/>
    <w:rsid w:val="58586CFE"/>
    <w:rsid w:val="586E02D0"/>
    <w:rsid w:val="587753D7"/>
    <w:rsid w:val="587F072F"/>
    <w:rsid w:val="58931AE5"/>
    <w:rsid w:val="589715D5"/>
    <w:rsid w:val="58A261CC"/>
    <w:rsid w:val="58A67A6A"/>
    <w:rsid w:val="58A75590"/>
    <w:rsid w:val="58A81A34"/>
    <w:rsid w:val="58B8779D"/>
    <w:rsid w:val="58BC103B"/>
    <w:rsid w:val="58D26AB1"/>
    <w:rsid w:val="58D77C23"/>
    <w:rsid w:val="58D81BED"/>
    <w:rsid w:val="58DC348C"/>
    <w:rsid w:val="58EF7663"/>
    <w:rsid w:val="590142CC"/>
    <w:rsid w:val="59060509"/>
    <w:rsid w:val="59097FF9"/>
    <w:rsid w:val="590A1BB3"/>
    <w:rsid w:val="5932754F"/>
    <w:rsid w:val="59376914"/>
    <w:rsid w:val="5947124D"/>
    <w:rsid w:val="59484FC5"/>
    <w:rsid w:val="595474C6"/>
    <w:rsid w:val="596361DB"/>
    <w:rsid w:val="596B480F"/>
    <w:rsid w:val="59725B9E"/>
    <w:rsid w:val="597A4A53"/>
    <w:rsid w:val="597B2CA5"/>
    <w:rsid w:val="59926240"/>
    <w:rsid w:val="59967ADE"/>
    <w:rsid w:val="59AF6DF2"/>
    <w:rsid w:val="59B63CDD"/>
    <w:rsid w:val="59BD32BD"/>
    <w:rsid w:val="59C81C62"/>
    <w:rsid w:val="59D95C1D"/>
    <w:rsid w:val="59DD379F"/>
    <w:rsid w:val="59E52814"/>
    <w:rsid w:val="59EC76FE"/>
    <w:rsid w:val="59EF5441"/>
    <w:rsid w:val="59F12F67"/>
    <w:rsid w:val="59F9006D"/>
    <w:rsid w:val="59FE2AD8"/>
    <w:rsid w:val="5A0031AA"/>
    <w:rsid w:val="5A1153B7"/>
    <w:rsid w:val="5A1B6236"/>
    <w:rsid w:val="5A2A6479"/>
    <w:rsid w:val="5A2F3A8F"/>
    <w:rsid w:val="5A3A2B60"/>
    <w:rsid w:val="5A455061"/>
    <w:rsid w:val="5A47702B"/>
    <w:rsid w:val="5A557999"/>
    <w:rsid w:val="5A64198B"/>
    <w:rsid w:val="5A6776CD"/>
    <w:rsid w:val="5A6A4AC7"/>
    <w:rsid w:val="5A6F20DD"/>
    <w:rsid w:val="5A8B33BB"/>
    <w:rsid w:val="5AA75D1B"/>
    <w:rsid w:val="5AB20948"/>
    <w:rsid w:val="5AC60CE5"/>
    <w:rsid w:val="5AD14B46"/>
    <w:rsid w:val="5ADA1C4D"/>
    <w:rsid w:val="5ADA39FB"/>
    <w:rsid w:val="5ADF1011"/>
    <w:rsid w:val="5B0647F0"/>
    <w:rsid w:val="5B1213E7"/>
    <w:rsid w:val="5B174C4F"/>
    <w:rsid w:val="5B1C4013"/>
    <w:rsid w:val="5B2E3D47"/>
    <w:rsid w:val="5B3C6463"/>
    <w:rsid w:val="5B503CBD"/>
    <w:rsid w:val="5B57329D"/>
    <w:rsid w:val="5B637E94"/>
    <w:rsid w:val="5B6B6D49"/>
    <w:rsid w:val="5B7756EE"/>
    <w:rsid w:val="5B7C4AB2"/>
    <w:rsid w:val="5B800A46"/>
    <w:rsid w:val="5B8322E4"/>
    <w:rsid w:val="5B8A5421"/>
    <w:rsid w:val="5BA04C44"/>
    <w:rsid w:val="5BA34735"/>
    <w:rsid w:val="5BA65FD3"/>
    <w:rsid w:val="5BA81D4B"/>
    <w:rsid w:val="5BA83AF9"/>
    <w:rsid w:val="5BAD7361"/>
    <w:rsid w:val="5BB97AB4"/>
    <w:rsid w:val="5BBB382C"/>
    <w:rsid w:val="5BCD355F"/>
    <w:rsid w:val="5BE82147"/>
    <w:rsid w:val="5BF141C0"/>
    <w:rsid w:val="5BFD2097"/>
    <w:rsid w:val="5BFE5D5C"/>
    <w:rsid w:val="5C05719D"/>
    <w:rsid w:val="5C0E3BCB"/>
    <w:rsid w:val="5C182A2D"/>
    <w:rsid w:val="5C190553"/>
    <w:rsid w:val="5C225659"/>
    <w:rsid w:val="5C237623"/>
    <w:rsid w:val="5C245875"/>
    <w:rsid w:val="5C447CC6"/>
    <w:rsid w:val="5C6E6AF1"/>
    <w:rsid w:val="5C71038F"/>
    <w:rsid w:val="5C7424D0"/>
    <w:rsid w:val="5C763BF7"/>
    <w:rsid w:val="5C853455"/>
    <w:rsid w:val="5C8C51C9"/>
    <w:rsid w:val="5C921E92"/>
    <w:rsid w:val="5C9522CF"/>
    <w:rsid w:val="5C9B365E"/>
    <w:rsid w:val="5CA70254"/>
    <w:rsid w:val="5CB5471F"/>
    <w:rsid w:val="5CC130C4"/>
    <w:rsid w:val="5CD163D5"/>
    <w:rsid w:val="5CD1707F"/>
    <w:rsid w:val="5CD252D1"/>
    <w:rsid w:val="5CD31049"/>
    <w:rsid w:val="5CDF179C"/>
    <w:rsid w:val="5CE45005"/>
    <w:rsid w:val="5CED210B"/>
    <w:rsid w:val="5CF8460C"/>
    <w:rsid w:val="5CFD21A5"/>
    <w:rsid w:val="5D041203"/>
    <w:rsid w:val="5D255365"/>
    <w:rsid w:val="5D2673CB"/>
    <w:rsid w:val="5D557CB0"/>
    <w:rsid w:val="5D5932FD"/>
    <w:rsid w:val="5D6F2B20"/>
    <w:rsid w:val="5D731EE5"/>
    <w:rsid w:val="5D7F1C5E"/>
    <w:rsid w:val="5D814602"/>
    <w:rsid w:val="5D852344"/>
    <w:rsid w:val="5D9F2CDA"/>
    <w:rsid w:val="5DCA244C"/>
    <w:rsid w:val="5DDC3F2E"/>
    <w:rsid w:val="5DE51034"/>
    <w:rsid w:val="5DE84681"/>
    <w:rsid w:val="5DEA21A7"/>
    <w:rsid w:val="5DEC4171"/>
    <w:rsid w:val="5DF9688E"/>
    <w:rsid w:val="5E1611EE"/>
    <w:rsid w:val="5E331DA0"/>
    <w:rsid w:val="5E3B2A02"/>
    <w:rsid w:val="5E4140A8"/>
    <w:rsid w:val="5E437B09"/>
    <w:rsid w:val="5E4F64AE"/>
    <w:rsid w:val="5E5166CA"/>
    <w:rsid w:val="5E6261E1"/>
    <w:rsid w:val="5E652175"/>
    <w:rsid w:val="5E767EDE"/>
    <w:rsid w:val="5E7E6D93"/>
    <w:rsid w:val="5E987E55"/>
    <w:rsid w:val="5EA031AD"/>
    <w:rsid w:val="5EA52572"/>
    <w:rsid w:val="5EAE1426"/>
    <w:rsid w:val="5EAF519E"/>
    <w:rsid w:val="5EB10F16"/>
    <w:rsid w:val="5EB822A5"/>
    <w:rsid w:val="5EC46E9C"/>
    <w:rsid w:val="5ECA7376"/>
    <w:rsid w:val="5ECF75EF"/>
    <w:rsid w:val="5ED510A9"/>
    <w:rsid w:val="5EE412EC"/>
    <w:rsid w:val="5EE50BC0"/>
    <w:rsid w:val="5EE96D37"/>
    <w:rsid w:val="5F0B6879"/>
    <w:rsid w:val="5F16521D"/>
    <w:rsid w:val="5F180F96"/>
    <w:rsid w:val="5F304531"/>
    <w:rsid w:val="5F426012"/>
    <w:rsid w:val="5F443B39"/>
    <w:rsid w:val="5F447FDD"/>
    <w:rsid w:val="5F49114F"/>
    <w:rsid w:val="5F4955F3"/>
    <w:rsid w:val="5F4E49B7"/>
    <w:rsid w:val="5F5244A8"/>
    <w:rsid w:val="5F5521EA"/>
    <w:rsid w:val="5F8108E9"/>
    <w:rsid w:val="5F85487D"/>
    <w:rsid w:val="5FA32F55"/>
    <w:rsid w:val="5FAD16DE"/>
    <w:rsid w:val="5FB40CBE"/>
    <w:rsid w:val="5FBF1411"/>
    <w:rsid w:val="5FC3459E"/>
    <w:rsid w:val="5FC86518"/>
    <w:rsid w:val="5FDA449D"/>
    <w:rsid w:val="5FE01AB3"/>
    <w:rsid w:val="5FE07D05"/>
    <w:rsid w:val="5FE13A7D"/>
    <w:rsid w:val="5FF4730D"/>
    <w:rsid w:val="5FF67529"/>
    <w:rsid w:val="5FF732A1"/>
    <w:rsid w:val="6008725C"/>
    <w:rsid w:val="600F4147"/>
    <w:rsid w:val="60116111"/>
    <w:rsid w:val="602F2A3B"/>
    <w:rsid w:val="6031230F"/>
    <w:rsid w:val="603B13E0"/>
    <w:rsid w:val="60545FFD"/>
    <w:rsid w:val="606721D5"/>
    <w:rsid w:val="606A5821"/>
    <w:rsid w:val="606E3563"/>
    <w:rsid w:val="60762418"/>
    <w:rsid w:val="608F7035"/>
    <w:rsid w:val="6094289E"/>
    <w:rsid w:val="609D79A4"/>
    <w:rsid w:val="60A70823"/>
    <w:rsid w:val="60B30F76"/>
    <w:rsid w:val="60C51A2C"/>
    <w:rsid w:val="60E70C20"/>
    <w:rsid w:val="60E750C3"/>
    <w:rsid w:val="60E96DB8"/>
    <w:rsid w:val="60F11A9E"/>
    <w:rsid w:val="60FD0443"/>
    <w:rsid w:val="60FF065F"/>
    <w:rsid w:val="61001CE1"/>
    <w:rsid w:val="610712C2"/>
    <w:rsid w:val="610C68D8"/>
    <w:rsid w:val="61113EEE"/>
    <w:rsid w:val="6126799A"/>
    <w:rsid w:val="61271964"/>
    <w:rsid w:val="6131633F"/>
    <w:rsid w:val="61371BA7"/>
    <w:rsid w:val="615269E1"/>
    <w:rsid w:val="61572249"/>
    <w:rsid w:val="61706E67"/>
    <w:rsid w:val="61766036"/>
    <w:rsid w:val="618F19E3"/>
    <w:rsid w:val="61994610"/>
    <w:rsid w:val="619D39D4"/>
    <w:rsid w:val="61A1206A"/>
    <w:rsid w:val="61A82AA5"/>
    <w:rsid w:val="61BC20AC"/>
    <w:rsid w:val="61BD7BD2"/>
    <w:rsid w:val="61D76EE6"/>
    <w:rsid w:val="61EB2991"/>
    <w:rsid w:val="61F5736C"/>
    <w:rsid w:val="61F93300"/>
    <w:rsid w:val="62031A89"/>
    <w:rsid w:val="620B4DE2"/>
    <w:rsid w:val="621243C2"/>
    <w:rsid w:val="62173786"/>
    <w:rsid w:val="621E68C3"/>
    <w:rsid w:val="62287742"/>
    <w:rsid w:val="623B7475"/>
    <w:rsid w:val="62404A8B"/>
    <w:rsid w:val="624327CD"/>
    <w:rsid w:val="62522A10"/>
    <w:rsid w:val="625B18C5"/>
    <w:rsid w:val="62726C0F"/>
    <w:rsid w:val="627961EF"/>
    <w:rsid w:val="62922E0D"/>
    <w:rsid w:val="62B66AFB"/>
    <w:rsid w:val="62C21944"/>
    <w:rsid w:val="62C236F2"/>
    <w:rsid w:val="62D43425"/>
    <w:rsid w:val="62EC69C1"/>
    <w:rsid w:val="62F31AFE"/>
    <w:rsid w:val="62F615EE"/>
    <w:rsid w:val="62F91C6B"/>
    <w:rsid w:val="62FF66F4"/>
    <w:rsid w:val="630930CF"/>
    <w:rsid w:val="630E2DDB"/>
    <w:rsid w:val="63422A85"/>
    <w:rsid w:val="634436DA"/>
    <w:rsid w:val="635B76A3"/>
    <w:rsid w:val="635E10C5"/>
    <w:rsid w:val="636C365E"/>
    <w:rsid w:val="637864A7"/>
    <w:rsid w:val="637B1AF3"/>
    <w:rsid w:val="63807109"/>
    <w:rsid w:val="63BD210C"/>
    <w:rsid w:val="63C33BC6"/>
    <w:rsid w:val="63C60FC0"/>
    <w:rsid w:val="63CB65D6"/>
    <w:rsid w:val="63E1229E"/>
    <w:rsid w:val="63E94CAF"/>
    <w:rsid w:val="64030466"/>
    <w:rsid w:val="641C6E32"/>
    <w:rsid w:val="642B176B"/>
    <w:rsid w:val="642B3519"/>
    <w:rsid w:val="6445282D"/>
    <w:rsid w:val="644545DB"/>
    <w:rsid w:val="645B2050"/>
    <w:rsid w:val="646A5DEF"/>
    <w:rsid w:val="647C3D75"/>
    <w:rsid w:val="648D1ADE"/>
    <w:rsid w:val="648F3CAE"/>
    <w:rsid w:val="64917820"/>
    <w:rsid w:val="64923598"/>
    <w:rsid w:val="649E1F3D"/>
    <w:rsid w:val="64B41760"/>
    <w:rsid w:val="64BB489D"/>
    <w:rsid w:val="64BE25DF"/>
    <w:rsid w:val="64C25C2B"/>
    <w:rsid w:val="64C51278"/>
    <w:rsid w:val="64D21BE7"/>
    <w:rsid w:val="64D70FAB"/>
    <w:rsid w:val="64DD4BD5"/>
    <w:rsid w:val="64E831B8"/>
    <w:rsid w:val="64F1206D"/>
    <w:rsid w:val="64F47DAF"/>
    <w:rsid w:val="651B17E0"/>
    <w:rsid w:val="65206DF6"/>
    <w:rsid w:val="65224A49"/>
    <w:rsid w:val="65240694"/>
    <w:rsid w:val="652A557F"/>
    <w:rsid w:val="65474383"/>
    <w:rsid w:val="654752D4"/>
    <w:rsid w:val="65493C57"/>
    <w:rsid w:val="654C72EA"/>
    <w:rsid w:val="6558033E"/>
    <w:rsid w:val="655F16CC"/>
    <w:rsid w:val="6562730B"/>
    <w:rsid w:val="656C5B97"/>
    <w:rsid w:val="65711400"/>
    <w:rsid w:val="657809E0"/>
    <w:rsid w:val="65827169"/>
    <w:rsid w:val="65921AA2"/>
    <w:rsid w:val="65A13A93"/>
    <w:rsid w:val="65A96DEB"/>
    <w:rsid w:val="65B0017A"/>
    <w:rsid w:val="65CD2ADA"/>
    <w:rsid w:val="65EB2F60"/>
    <w:rsid w:val="65EB7404"/>
    <w:rsid w:val="66014531"/>
    <w:rsid w:val="660B3602"/>
    <w:rsid w:val="66124991"/>
    <w:rsid w:val="66212E26"/>
    <w:rsid w:val="66246472"/>
    <w:rsid w:val="66291CDA"/>
    <w:rsid w:val="662E5105"/>
    <w:rsid w:val="66320B8F"/>
    <w:rsid w:val="66377F53"/>
    <w:rsid w:val="66630D48"/>
    <w:rsid w:val="666A0329"/>
    <w:rsid w:val="666B40A1"/>
    <w:rsid w:val="666F3B91"/>
    <w:rsid w:val="667B0788"/>
    <w:rsid w:val="66811B16"/>
    <w:rsid w:val="668F1B3D"/>
    <w:rsid w:val="66925AD1"/>
    <w:rsid w:val="66996E60"/>
    <w:rsid w:val="66A31A8D"/>
    <w:rsid w:val="66AD6467"/>
    <w:rsid w:val="66AF3F8D"/>
    <w:rsid w:val="66B912B0"/>
    <w:rsid w:val="66CD4D5B"/>
    <w:rsid w:val="66D53137"/>
    <w:rsid w:val="66E005EB"/>
    <w:rsid w:val="66ED2D08"/>
    <w:rsid w:val="66F701A2"/>
    <w:rsid w:val="66F916AD"/>
    <w:rsid w:val="670E33AA"/>
    <w:rsid w:val="67206C39"/>
    <w:rsid w:val="6721173E"/>
    <w:rsid w:val="67281F92"/>
    <w:rsid w:val="674212A6"/>
    <w:rsid w:val="6744501E"/>
    <w:rsid w:val="677F7E04"/>
    <w:rsid w:val="67894337"/>
    <w:rsid w:val="679A2E90"/>
    <w:rsid w:val="679F4002"/>
    <w:rsid w:val="67AA29A7"/>
    <w:rsid w:val="67B101D9"/>
    <w:rsid w:val="67BC2E06"/>
    <w:rsid w:val="67BD6B7E"/>
    <w:rsid w:val="67C25F5F"/>
    <w:rsid w:val="67D5211A"/>
    <w:rsid w:val="67D53EC8"/>
    <w:rsid w:val="67DA328C"/>
    <w:rsid w:val="67E81E4D"/>
    <w:rsid w:val="67EE31DB"/>
    <w:rsid w:val="680622D3"/>
    <w:rsid w:val="681F15E7"/>
    <w:rsid w:val="68282249"/>
    <w:rsid w:val="68324E76"/>
    <w:rsid w:val="68394457"/>
    <w:rsid w:val="683A1F7D"/>
    <w:rsid w:val="683A3D2B"/>
    <w:rsid w:val="683C3F47"/>
    <w:rsid w:val="685017A0"/>
    <w:rsid w:val="6850354E"/>
    <w:rsid w:val="685C1EF3"/>
    <w:rsid w:val="686E1C26"/>
    <w:rsid w:val="6885769C"/>
    <w:rsid w:val="68946690"/>
    <w:rsid w:val="689B6EBF"/>
    <w:rsid w:val="68A815DC"/>
    <w:rsid w:val="68B97345"/>
    <w:rsid w:val="68BC5088"/>
    <w:rsid w:val="68C77CB4"/>
    <w:rsid w:val="68D20407"/>
    <w:rsid w:val="68D221B5"/>
    <w:rsid w:val="68D230EC"/>
    <w:rsid w:val="68DC4DE2"/>
    <w:rsid w:val="68F55EA4"/>
    <w:rsid w:val="68FD36D6"/>
    <w:rsid w:val="68FE744E"/>
    <w:rsid w:val="69020CEC"/>
    <w:rsid w:val="690D42CF"/>
    <w:rsid w:val="692A3D9F"/>
    <w:rsid w:val="692D388F"/>
    <w:rsid w:val="692F13B6"/>
    <w:rsid w:val="69313380"/>
    <w:rsid w:val="69390EA2"/>
    <w:rsid w:val="694D7A8E"/>
    <w:rsid w:val="6951757E"/>
    <w:rsid w:val="695232F6"/>
    <w:rsid w:val="695D23C7"/>
    <w:rsid w:val="696D0DB3"/>
    <w:rsid w:val="69763488"/>
    <w:rsid w:val="69766FE4"/>
    <w:rsid w:val="69894F6A"/>
    <w:rsid w:val="698C6808"/>
    <w:rsid w:val="69A267ED"/>
    <w:rsid w:val="69A51678"/>
    <w:rsid w:val="69AC0C58"/>
    <w:rsid w:val="69B53FB1"/>
    <w:rsid w:val="69CA7330"/>
    <w:rsid w:val="69D1246D"/>
    <w:rsid w:val="69DA3ABA"/>
    <w:rsid w:val="69E93C5A"/>
    <w:rsid w:val="69F148BD"/>
    <w:rsid w:val="69F745C9"/>
    <w:rsid w:val="6A0665BA"/>
    <w:rsid w:val="6A070584"/>
    <w:rsid w:val="6A0C7949"/>
    <w:rsid w:val="6A0D287D"/>
    <w:rsid w:val="6A1F3F21"/>
    <w:rsid w:val="6A246A40"/>
    <w:rsid w:val="6A440E91"/>
    <w:rsid w:val="6A4E3ABD"/>
    <w:rsid w:val="6A6908F7"/>
    <w:rsid w:val="6A694D9B"/>
    <w:rsid w:val="6A6B466F"/>
    <w:rsid w:val="6A8B2F63"/>
    <w:rsid w:val="6A9E67F3"/>
    <w:rsid w:val="6AA302AD"/>
    <w:rsid w:val="6AA52131"/>
    <w:rsid w:val="6AA95198"/>
    <w:rsid w:val="6AAA163C"/>
    <w:rsid w:val="6AB26742"/>
    <w:rsid w:val="6AB37DC4"/>
    <w:rsid w:val="6ADA17F5"/>
    <w:rsid w:val="6AE61F48"/>
    <w:rsid w:val="6AE83F12"/>
    <w:rsid w:val="6AF64881"/>
    <w:rsid w:val="6AF6662F"/>
    <w:rsid w:val="6AFC79BD"/>
    <w:rsid w:val="6AFE1987"/>
    <w:rsid w:val="6AFF300A"/>
    <w:rsid w:val="6B036F9E"/>
    <w:rsid w:val="6B0625EA"/>
    <w:rsid w:val="6B32184E"/>
    <w:rsid w:val="6B3727A3"/>
    <w:rsid w:val="6B3C7DBA"/>
    <w:rsid w:val="6B3E3B32"/>
    <w:rsid w:val="6B5C220A"/>
    <w:rsid w:val="6B5E5F82"/>
    <w:rsid w:val="6B8A4FC9"/>
    <w:rsid w:val="6B8E2D0B"/>
    <w:rsid w:val="6B9B71D6"/>
    <w:rsid w:val="6BA20565"/>
    <w:rsid w:val="6BAE0CB8"/>
    <w:rsid w:val="6BCC55E2"/>
    <w:rsid w:val="6BCC7390"/>
    <w:rsid w:val="6BEA3CBA"/>
    <w:rsid w:val="6BEC17E0"/>
    <w:rsid w:val="6BF30DC0"/>
    <w:rsid w:val="6C060AF4"/>
    <w:rsid w:val="6C0905E4"/>
    <w:rsid w:val="6C0D4ACE"/>
    <w:rsid w:val="6C142268"/>
    <w:rsid w:val="6C164AAF"/>
    <w:rsid w:val="6C2C42D2"/>
    <w:rsid w:val="6C305B70"/>
    <w:rsid w:val="6C315445"/>
    <w:rsid w:val="6C33740F"/>
    <w:rsid w:val="6C3D64DF"/>
    <w:rsid w:val="6C4433CA"/>
    <w:rsid w:val="6C6B4DFB"/>
    <w:rsid w:val="6C8B0FF9"/>
    <w:rsid w:val="6C9205D9"/>
    <w:rsid w:val="6CA67E59"/>
    <w:rsid w:val="6CB52DA9"/>
    <w:rsid w:val="6CBA18DE"/>
    <w:rsid w:val="6CBF6EF4"/>
    <w:rsid w:val="6CC60283"/>
    <w:rsid w:val="6CD04C5E"/>
    <w:rsid w:val="6CD56718"/>
    <w:rsid w:val="6CDE737B"/>
    <w:rsid w:val="6CE32BE3"/>
    <w:rsid w:val="6CE626D3"/>
    <w:rsid w:val="6CE801F9"/>
    <w:rsid w:val="6CF30226"/>
    <w:rsid w:val="6CFA7F2C"/>
    <w:rsid w:val="6CFE7A1D"/>
    <w:rsid w:val="6D1A237D"/>
    <w:rsid w:val="6D1E00BF"/>
    <w:rsid w:val="6D1F7993"/>
    <w:rsid w:val="6D2728C0"/>
    <w:rsid w:val="6D325918"/>
    <w:rsid w:val="6D3C6797"/>
    <w:rsid w:val="6D415B5B"/>
    <w:rsid w:val="6D4F0278"/>
    <w:rsid w:val="6D505D9E"/>
    <w:rsid w:val="6D633D24"/>
    <w:rsid w:val="6D702A25"/>
    <w:rsid w:val="6D716441"/>
    <w:rsid w:val="6D8048D6"/>
    <w:rsid w:val="6D9263B7"/>
    <w:rsid w:val="6DA83A16"/>
    <w:rsid w:val="6DB36A59"/>
    <w:rsid w:val="6DBA66E9"/>
    <w:rsid w:val="6DE05374"/>
    <w:rsid w:val="6DE44E65"/>
    <w:rsid w:val="6DE54739"/>
    <w:rsid w:val="6DF64B98"/>
    <w:rsid w:val="6DFD5F26"/>
    <w:rsid w:val="6E0E5B84"/>
    <w:rsid w:val="6E253AAA"/>
    <w:rsid w:val="6E296D1B"/>
    <w:rsid w:val="6E31797E"/>
    <w:rsid w:val="6E3D4575"/>
    <w:rsid w:val="6E3F653F"/>
    <w:rsid w:val="6E407BC1"/>
    <w:rsid w:val="6E4B57C5"/>
    <w:rsid w:val="6E4C47B8"/>
    <w:rsid w:val="6E573888"/>
    <w:rsid w:val="6E7837FF"/>
    <w:rsid w:val="6E7A30D3"/>
    <w:rsid w:val="6E963C85"/>
    <w:rsid w:val="6EA168B2"/>
    <w:rsid w:val="6EB052C5"/>
    <w:rsid w:val="6EC151A6"/>
    <w:rsid w:val="6ED0426E"/>
    <w:rsid w:val="6EE42C42"/>
    <w:rsid w:val="6EE60768"/>
    <w:rsid w:val="6EEB5D7F"/>
    <w:rsid w:val="6EED1AF7"/>
    <w:rsid w:val="6EF235B1"/>
    <w:rsid w:val="6EFA2466"/>
    <w:rsid w:val="6F0B01CF"/>
    <w:rsid w:val="6F1277AF"/>
    <w:rsid w:val="6F152DFC"/>
    <w:rsid w:val="6F1C23DC"/>
    <w:rsid w:val="6F271CAD"/>
    <w:rsid w:val="6F3911E0"/>
    <w:rsid w:val="6F394D3C"/>
    <w:rsid w:val="6F413BF1"/>
    <w:rsid w:val="6F437969"/>
    <w:rsid w:val="6F4575BC"/>
    <w:rsid w:val="6F5E47A3"/>
    <w:rsid w:val="6F653D83"/>
    <w:rsid w:val="6F795A80"/>
    <w:rsid w:val="6F7A7103"/>
    <w:rsid w:val="6F7E6BF3"/>
    <w:rsid w:val="6F802D90"/>
    <w:rsid w:val="6F810491"/>
    <w:rsid w:val="6F9603E0"/>
    <w:rsid w:val="6FA06B69"/>
    <w:rsid w:val="6FA128E1"/>
    <w:rsid w:val="6FAB748D"/>
    <w:rsid w:val="6FB42615"/>
    <w:rsid w:val="6FB50A17"/>
    <w:rsid w:val="6FC54822"/>
    <w:rsid w:val="6FD40F09"/>
    <w:rsid w:val="6FDB5DF3"/>
    <w:rsid w:val="6FDC1571"/>
    <w:rsid w:val="6FE078AE"/>
    <w:rsid w:val="70076BE8"/>
    <w:rsid w:val="7009213F"/>
    <w:rsid w:val="700C2451"/>
    <w:rsid w:val="70205EFC"/>
    <w:rsid w:val="70271038"/>
    <w:rsid w:val="702C2AF3"/>
    <w:rsid w:val="70345611"/>
    <w:rsid w:val="70384FF4"/>
    <w:rsid w:val="704F058F"/>
    <w:rsid w:val="70551791"/>
    <w:rsid w:val="70606CFF"/>
    <w:rsid w:val="706758D9"/>
    <w:rsid w:val="706A7177"/>
    <w:rsid w:val="70926DFA"/>
    <w:rsid w:val="709541F4"/>
    <w:rsid w:val="709A7A5C"/>
    <w:rsid w:val="70AC59E2"/>
    <w:rsid w:val="70B623BC"/>
    <w:rsid w:val="70BF3967"/>
    <w:rsid w:val="70DC62C7"/>
    <w:rsid w:val="70E17439"/>
    <w:rsid w:val="70E35C37"/>
    <w:rsid w:val="70F01D72"/>
    <w:rsid w:val="70F3716D"/>
    <w:rsid w:val="70F55518"/>
    <w:rsid w:val="70F57389"/>
    <w:rsid w:val="70F84783"/>
    <w:rsid w:val="71015D2D"/>
    <w:rsid w:val="7104581E"/>
    <w:rsid w:val="71063344"/>
    <w:rsid w:val="71121CE9"/>
    <w:rsid w:val="711361A6"/>
    <w:rsid w:val="711C4377"/>
    <w:rsid w:val="711F7F62"/>
    <w:rsid w:val="712B2DAA"/>
    <w:rsid w:val="71324139"/>
    <w:rsid w:val="714300F4"/>
    <w:rsid w:val="717C53B4"/>
    <w:rsid w:val="717D2594"/>
    <w:rsid w:val="71834994"/>
    <w:rsid w:val="719063A5"/>
    <w:rsid w:val="71946BA2"/>
    <w:rsid w:val="71950224"/>
    <w:rsid w:val="71A62431"/>
    <w:rsid w:val="71D7083C"/>
    <w:rsid w:val="71DB20DB"/>
    <w:rsid w:val="71DE7E1D"/>
    <w:rsid w:val="71E116BB"/>
    <w:rsid w:val="71F96A05"/>
    <w:rsid w:val="72007D93"/>
    <w:rsid w:val="72035AD5"/>
    <w:rsid w:val="72135D18"/>
    <w:rsid w:val="72190E55"/>
    <w:rsid w:val="721949DC"/>
    <w:rsid w:val="722021E3"/>
    <w:rsid w:val="722C2936"/>
    <w:rsid w:val="72695938"/>
    <w:rsid w:val="72702A7D"/>
    <w:rsid w:val="72710C91"/>
    <w:rsid w:val="728E1843"/>
    <w:rsid w:val="729D04EF"/>
    <w:rsid w:val="72A46970"/>
    <w:rsid w:val="72BD7A32"/>
    <w:rsid w:val="72C2329A"/>
    <w:rsid w:val="72C62D8B"/>
    <w:rsid w:val="72C94629"/>
    <w:rsid w:val="72D40328"/>
    <w:rsid w:val="72DC37A2"/>
    <w:rsid w:val="72DD1E82"/>
    <w:rsid w:val="72F82CBF"/>
    <w:rsid w:val="73047407"/>
    <w:rsid w:val="7306587D"/>
    <w:rsid w:val="730D6C0C"/>
    <w:rsid w:val="73131D74"/>
    <w:rsid w:val="73245D03"/>
    <w:rsid w:val="732950C8"/>
    <w:rsid w:val="732A31CF"/>
    <w:rsid w:val="73316424"/>
    <w:rsid w:val="73384C6C"/>
    <w:rsid w:val="734939BC"/>
    <w:rsid w:val="734B7734"/>
    <w:rsid w:val="734D44BC"/>
    <w:rsid w:val="735C549D"/>
    <w:rsid w:val="735D2FC3"/>
    <w:rsid w:val="735E5441"/>
    <w:rsid w:val="737E3665"/>
    <w:rsid w:val="73813156"/>
    <w:rsid w:val="7386076C"/>
    <w:rsid w:val="739C3AEB"/>
    <w:rsid w:val="73A155A6"/>
    <w:rsid w:val="73AD1526"/>
    <w:rsid w:val="73BC5F3C"/>
    <w:rsid w:val="73BE3A62"/>
    <w:rsid w:val="73C60B68"/>
    <w:rsid w:val="73DC038C"/>
    <w:rsid w:val="73DC4C50"/>
    <w:rsid w:val="73FB4CB6"/>
    <w:rsid w:val="740F0761"/>
    <w:rsid w:val="74116287"/>
    <w:rsid w:val="74130252"/>
    <w:rsid w:val="74161BB3"/>
    <w:rsid w:val="74177616"/>
    <w:rsid w:val="74212243"/>
    <w:rsid w:val="742835D1"/>
    <w:rsid w:val="7447614D"/>
    <w:rsid w:val="745054B7"/>
    <w:rsid w:val="7452064E"/>
    <w:rsid w:val="74542618"/>
    <w:rsid w:val="74620891"/>
    <w:rsid w:val="746740F9"/>
    <w:rsid w:val="747A2167"/>
    <w:rsid w:val="747B7BA5"/>
    <w:rsid w:val="74836A59"/>
    <w:rsid w:val="74844CAB"/>
    <w:rsid w:val="749173C8"/>
    <w:rsid w:val="74A27930"/>
    <w:rsid w:val="74A964C0"/>
    <w:rsid w:val="74B82BA7"/>
    <w:rsid w:val="74BA06CD"/>
    <w:rsid w:val="74CA4688"/>
    <w:rsid w:val="74DB0643"/>
    <w:rsid w:val="75047B9A"/>
    <w:rsid w:val="750B31FF"/>
    <w:rsid w:val="752C70F1"/>
    <w:rsid w:val="753A04DC"/>
    <w:rsid w:val="7544268D"/>
    <w:rsid w:val="75476A2C"/>
    <w:rsid w:val="75483F2B"/>
    <w:rsid w:val="754C32EF"/>
    <w:rsid w:val="75575F1C"/>
    <w:rsid w:val="756B5E6B"/>
    <w:rsid w:val="757271FA"/>
    <w:rsid w:val="75752846"/>
    <w:rsid w:val="758D7B90"/>
    <w:rsid w:val="758F7A00"/>
    <w:rsid w:val="759A22AD"/>
    <w:rsid w:val="759A405B"/>
    <w:rsid w:val="759F7BA9"/>
    <w:rsid w:val="75A90742"/>
    <w:rsid w:val="75B3511C"/>
    <w:rsid w:val="75BA5E27"/>
    <w:rsid w:val="75BE243F"/>
    <w:rsid w:val="75C17839"/>
    <w:rsid w:val="75C630A2"/>
    <w:rsid w:val="75CD66A7"/>
    <w:rsid w:val="75E43528"/>
    <w:rsid w:val="75F53987"/>
    <w:rsid w:val="75FE45EA"/>
    <w:rsid w:val="76191423"/>
    <w:rsid w:val="762304F4"/>
    <w:rsid w:val="762C03C9"/>
    <w:rsid w:val="76375D4D"/>
    <w:rsid w:val="764A5A81"/>
    <w:rsid w:val="765B5EE0"/>
    <w:rsid w:val="765D3A06"/>
    <w:rsid w:val="765E152C"/>
    <w:rsid w:val="76684159"/>
    <w:rsid w:val="766F54E7"/>
    <w:rsid w:val="767B3E8C"/>
    <w:rsid w:val="767D7C04"/>
    <w:rsid w:val="768E1E11"/>
    <w:rsid w:val="7691545E"/>
    <w:rsid w:val="76A81926"/>
    <w:rsid w:val="76AE6010"/>
    <w:rsid w:val="76B850E0"/>
    <w:rsid w:val="76BD44A5"/>
    <w:rsid w:val="76C05D43"/>
    <w:rsid w:val="76E063E5"/>
    <w:rsid w:val="76E71522"/>
    <w:rsid w:val="76EA1012"/>
    <w:rsid w:val="76F65C09"/>
    <w:rsid w:val="7702635B"/>
    <w:rsid w:val="770420D4"/>
    <w:rsid w:val="77277B70"/>
    <w:rsid w:val="772C5186"/>
    <w:rsid w:val="77381D7D"/>
    <w:rsid w:val="77404C59"/>
    <w:rsid w:val="7746449A"/>
    <w:rsid w:val="77466653"/>
    <w:rsid w:val="77470212"/>
    <w:rsid w:val="77471FC0"/>
    <w:rsid w:val="77550B81"/>
    <w:rsid w:val="776942B0"/>
    <w:rsid w:val="7769462C"/>
    <w:rsid w:val="778B00FF"/>
    <w:rsid w:val="77BA4E88"/>
    <w:rsid w:val="77BC650A"/>
    <w:rsid w:val="77D575CC"/>
    <w:rsid w:val="77E45A61"/>
    <w:rsid w:val="77FA34D6"/>
    <w:rsid w:val="78012F47"/>
    <w:rsid w:val="78016613"/>
    <w:rsid w:val="78174088"/>
    <w:rsid w:val="78212811"/>
    <w:rsid w:val="78283BA0"/>
    <w:rsid w:val="782F13D2"/>
    <w:rsid w:val="784B788E"/>
    <w:rsid w:val="785E75C1"/>
    <w:rsid w:val="78713799"/>
    <w:rsid w:val="787E7C64"/>
    <w:rsid w:val="78880AE2"/>
    <w:rsid w:val="78A27DF6"/>
    <w:rsid w:val="78A82F32"/>
    <w:rsid w:val="78AD248D"/>
    <w:rsid w:val="78C134D4"/>
    <w:rsid w:val="78C55892"/>
    <w:rsid w:val="78CC43CD"/>
    <w:rsid w:val="78CC4E73"/>
    <w:rsid w:val="78DE6954"/>
    <w:rsid w:val="79052133"/>
    <w:rsid w:val="79132AA2"/>
    <w:rsid w:val="79144124"/>
    <w:rsid w:val="79420C91"/>
    <w:rsid w:val="794964C4"/>
    <w:rsid w:val="79532039"/>
    <w:rsid w:val="79532E9E"/>
    <w:rsid w:val="79674B9C"/>
    <w:rsid w:val="796B643A"/>
    <w:rsid w:val="796E1A86"/>
    <w:rsid w:val="79725A1A"/>
    <w:rsid w:val="79815C5D"/>
    <w:rsid w:val="79960FDD"/>
    <w:rsid w:val="79A03FCF"/>
    <w:rsid w:val="79A731EA"/>
    <w:rsid w:val="79A74F98"/>
    <w:rsid w:val="79B06543"/>
    <w:rsid w:val="79C36276"/>
    <w:rsid w:val="79CB0C87"/>
    <w:rsid w:val="79DF2984"/>
    <w:rsid w:val="79EE0E19"/>
    <w:rsid w:val="79F006ED"/>
    <w:rsid w:val="79F0693F"/>
    <w:rsid w:val="7A016D9E"/>
    <w:rsid w:val="7A2111EE"/>
    <w:rsid w:val="7A2F7467"/>
    <w:rsid w:val="7A3613CA"/>
    <w:rsid w:val="7A3727C0"/>
    <w:rsid w:val="7A4B626B"/>
    <w:rsid w:val="7A603AC5"/>
    <w:rsid w:val="7A65732D"/>
    <w:rsid w:val="7A6A4943"/>
    <w:rsid w:val="7A8D0632"/>
    <w:rsid w:val="7AA240DD"/>
    <w:rsid w:val="7AAD65DE"/>
    <w:rsid w:val="7AAF05A8"/>
    <w:rsid w:val="7AB20098"/>
    <w:rsid w:val="7ACD0A2E"/>
    <w:rsid w:val="7AD7365B"/>
    <w:rsid w:val="7AE75F94"/>
    <w:rsid w:val="7AF10BC1"/>
    <w:rsid w:val="7AF91823"/>
    <w:rsid w:val="7B0E1773"/>
    <w:rsid w:val="7B334D35"/>
    <w:rsid w:val="7B354F51"/>
    <w:rsid w:val="7B4038F6"/>
    <w:rsid w:val="7B4E6013"/>
    <w:rsid w:val="7B5A6766"/>
    <w:rsid w:val="7B5B0730"/>
    <w:rsid w:val="7B5B0ED5"/>
    <w:rsid w:val="7B5B428C"/>
    <w:rsid w:val="7B64395A"/>
    <w:rsid w:val="7B7470FC"/>
    <w:rsid w:val="7B892BA7"/>
    <w:rsid w:val="7B9D2AF7"/>
    <w:rsid w:val="7BA3331B"/>
    <w:rsid w:val="7BB120FE"/>
    <w:rsid w:val="7BC167E5"/>
    <w:rsid w:val="7BC9569A"/>
    <w:rsid w:val="7BE61DA8"/>
    <w:rsid w:val="7BF24BF0"/>
    <w:rsid w:val="7BFC15CB"/>
    <w:rsid w:val="7C0641F8"/>
    <w:rsid w:val="7C3F595C"/>
    <w:rsid w:val="7C4411C4"/>
    <w:rsid w:val="7C482A62"/>
    <w:rsid w:val="7C490589"/>
    <w:rsid w:val="7C4D62CB"/>
    <w:rsid w:val="7C605FFE"/>
    <w:rsid w:val="7C705B15"/>
    <w:rsid w:val="7C7C095E"/>
    <w:rsid w:val="7C7F3FAA"/>
    <w:rsid w:val="7C8415C1"/>
    <w:rsid w:val="7C8E41ED"/>
    <w:rsid w:val="7C921F30"/>
    <w:rsid w:val="7C9C6069"/>
    <w:rsid w:val="7CA67789"/>
    <w:rsid w:val="7CAA0983"/>
    <w:rsid w:val="7CB63E70"/>
    <w:rsid w:val="7CC0084B"/>
    <w:rsid w:val="7CC12815"/>
    <w:rsid w:val="7CC752E0"/>
    <w:rsid w:val="7CC7607D"/>
    <w:rsid w:val="7CD04806"/>
    <w:rsid w:val="7CD12A58"/>
    <w:rsid w:val="7CD267D0"/>
    <w:rsid w:val="7CD6006E"/>
    <w:rsid w:val="7CDC13FD"/>
    <w:rsid w:val="7CE54755"/>
    <w:rsid w:val="7CF14EA8"/>
    <w:rsid w:val="7CFD384D"/>
    <w:rsid w:val="7CFE5817"/>
    <w:rsid w:val="7D284642"/>
    <w:rsid w:val="7D2A03BA"/>
    <w:rsid w:val="7D2F3C22"/>
    <w:rsid w:val="7D32101D"/>
    <w:rsid w:val="7D44147C"/>
    <w:rsid w:val="7D4E40A8"/>
    <w:rsid w:val="7D52346D"/>
    <w:rsid w:val="7D7828FD"/>
    <w:rsid w:val="7D9A5540"/>
    <w:rsid w:val="7D9D0B8C"/>
    <w:rsid w:val="7D9F4260"/>
    <w:rsid w:val="7DAE4B47"/>
    <w:rsid w:val="7DB14637"/>
    <w:rsid w:val="7DBF4FA6"/>
    <w:rsid w:val="7DC205F3"/>
    <w:rsid w:val="7DC720AD"/>
    <w:rsid w:val="7DC874DD"/>
    <w:rsid w:val="7DD65E4C"/>
    <w:rsid w:val="7DE642E1"/>
    <w:rsid w:val="7DEB7B49"/>
    <w:rsid w:val="7E0B1F99"/>
    <w:rsid w:val="7E152E18"/>
    <w:rsid w:val="7E1626EC"/>
    <w:rsid w:val="7E1846B6"/>
    <w:rsid w:val="7E2117BD"/>
    <w:rsid w:val="7E2E7A36"/>
    <w:rsid w:val="7E3314F0"/>
    <w:rsid w:val="7E33504C"/>
    <w:rsid w:val="7E3A462D"/>
    <w:rsid w:val="7E403C7E"/>
    <w:rsid w:val="7E635932"/>
    <w:rsid w:val="7E6D67B0"/>
    <w:rsid w:val="7E7318ED"/>
    <w:rsid w:val="7E747B3F"/>
    <w:rsid w:val="7E81400A"/>
    <w:rsid w:val="7E8A55B4"/>
    <w:rsid w:val="7E8D0C00"/>
    <w:rsid w:val="7E941F8F"/>
    <w:rsid w:val="7E996EC9"/>
    <w:rsid w:val="7EA128FE"/>
    <w:rsid w:val="7EAB4E7D"/>
    <w:rsid w:val="7EAC0FD8"/>
    <w:rsid w:val="7EB048EF"/>
    <w:rsid w:val="7EB937A4"/>
    <w:rsid w:val="7EBE700C"/>
    <w:rsid w:val="7EC108AA"/>
    <w:rsid w:val="7EC363D0"/>
    <w:rsid w:val="7EC565EC"/>
    <w:rsid w:val="7ECD724F"/>
    <w:rsid w:val="7ECF1219"/>
    <w:rsid w:val="7ED26AAB"/>
    <w:rsid w:val="7ED56104"/>
    <w:rsid w:val="7ED700CE"/>
    <w:rsid w:val="7EDE76AE"/>
    <w:rsid w:val="7EEF3669"/>
    <w:rsid w:val="7EFF16EE"/>
    <w:rsid w:val="7F007624"/>
    <w:rsid w:val="7F01339C"/>
    <w:rsid w:val="7F030EC3"/>
    <w:rsid w:val="7F0569E9"/>
    <w:rsid w:val="7F0F7867"/>
    <w:rsid w:val="7F182BC0"/>
    <w:rsid w:val="7F2D4191"/>
    <w:rsid w:val="7F385010"/>
    <w:rsid w:val="7F413799"/>
    <w:rsid w:val="7F435763"/>
    <w:rsid w:val="7F4C0ABC"/>
    <w:rsid w:val="7F5259A6"/>
    <w:rsid w:val="7F5434CC"/>
    <w:rsid w:val="7F5636E8"/>
    <w:rsid w:val="7F596D35"/>
    <w:rsid w:val="7F625BE9"/>
    <w:rsid w:val="7F721BA4"/>
    <w:rsid w:val="7F7B2EF8"/>
    <w:rsid w:val="7F7B4EFD"/>
    <w:rsid w:val="7F8244DD"/>
    <w:rsid w:val="7F857B2A"/>
    <w:rsid w:val="7F8D69DE"/>
    <w:rsid w:val="7F995383"/>
    <w:rsid w:val="7FA44454"/>
    <w:rsid w:val="7FA77AA0"/>
    <w:rsid w:val="7FAE7080"/>
    <w:rsid w:val="7FB623D9"/>
    <w:rsid w:val="7FBA6FEC"/>
    <w:rsid w:val="7FC06DB4"/>
    <w:rsid w:val="7FCB5E84"/>
    <w:rsid w:val="7FCC7507"/>
    <w:rsid w:val="7FD50AB1"/>
    <w:rsid w:val="7FD716D2"/>
    <w:rsid w:val="7FE02FB2"/>
    <w:rsid w:val="7FF058EB"/>
    <w:rsid w:val="7FFD1DB6"/>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sz w:val="27"/>
      <w:szCs w:val="27"/>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3"/>
    <w:basedOn w:val="1"/>
    <w:next w:val="1"/>
    <w:qFormat/>
    <w:uiPriority w:val="0"/>
    <w:pPr>
      <w:autoSpaceDE w:val="0"/>
      <w:autoSpaceDN w:val="0"/>
      <w:adjustRightInd w:val="0"/>
      <w:spacing w:line="288" w:lineRule="auto"/>
      <w:ind w:left="1260" w:hanging="420"/>
      <w:jc w:val="left"/>
      <w:textAlignment w:val="baseline"/>
    </w:pPr>
    <w:rPr>
      <w:szCs w:val="20"/>
    </w:rPr>
  </w:style>
  <w:style w:type="paragraph" w:styleId="6">
    <w:name w:val="annotation text"/>
    <w:basedOn w:val="1"/>
    <w:link w:val="33"/>
    <w:autoRedefine/>
    <w:qFormat/>
    <w:uiPriority w:val="0"/>
    <w:pPr>
      <w:jc w:val="left"/>
    </w:pPr>
  </w:style>
  <w:style w:type="paragraph" w:styleId="7">
    <w:name w:val="Body Text"/>
    <w:basedOn w:val="1"/>
    <w:next w:val="8"/>
    <w:autoRedefine/>
    <w:qFormat/>
    <w:uiPriority w:val="0"/>
    <w:pPr>
      <w:widowControl/>
      <w:snapToGrid w:val="0"/>
      <w:spacing w:before="60" w:after="160" w:line="259" w:lineRule="auto"/>
      <w:ind w:right="113"/>
    </w:pPr>
    <w:rPr>
      <w:sz w:val="18"/>
      <w:szCs w:val="20"/>
    </w:rPr>
  </w:style>
  <w:style w:type="paragraph" w:customStyle="1" w:styleId="8">
    <w:name w:val="xl27"/>
    <w:basedOn w:val="1"/>
    <w:next w:val="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PMingLiU" w:eastAsia="PMingLiU"/>
      <w:sz w:val="16"/>
      <w:szCs w:val="16"/>
      <w:lang w:eastAsia="zh-TW"/>
    </w:rPr>
  </w:style>
  <w:style w:type="paragraph" w:customStyle="1" w:styleId="9">
    <w:name w:val="A正文"/>
    <w:basedOn w:val="1"/>
    <w:next w:val="7"/>
    <w:autoRedefine/>
    <w:qFormat/>
    <w:uiPriority w:val="0"/>
    <w:pPr>
      <w:widowControl/>
      <w:overflowPunct w:val="0"/>
      <w:autoSpaceDE w:val="0"/>
      <w:autoSpaceDN w:val="0"/>
      <w:jc w:val="left"/>
      <w:textAlignment w:val="baseline"/>
    </w:pPr>
  </w:style>
  <w:style w:type="paragraph" w:styleId="10">
    <w:name w:val="Body Text Indent"/>
    <w:basedOn w:val="1"/>
    <w:next w:val="11"/>
    <w:autoRedefine/>
    <w:qFormat/>
    <w:uiPriority w:val="0"/>
    <w:pPr>
      <w:spacing w:after="120"/>
      <w:ind w:left="420" w:leftChars="200"/>
    </w:pPr>
  </w:style>
  <w:style w:type="paragraph" w:styleId="11">
    <w:name w:val="Body Text First Indent 2"/>
    <w:basedOn w:val="10"/>
    <w:next w:val="1"/>
    <w:autoRedefine/>
    <w:qFormat/>
    <w:uiPriority w:val="0"/>
    <w:pPr>
      <w:ind w:firstLine="420"/>
    </w:pPr>
  </w:style>
  <w:style w:type="paragraph" w:styleId="12">
    <w:name w:val="Plain Text"/>
    <w:basedOn w:val="1"/>
    <w:autoRedefine/>
    <w:qFormat/>
    <w:uiPriority w:val="0"/>
    <w:rPr>
      <w:rFonts w:ascii="宋体" w:hAnsi="Courier New"/>
      <w:sz w:val="20"/>
    </w:rPr>
  </w:style>
  <w:style w:type="paragraph" w:styleId="13">
    <w:name w:val="Body Text Indent 2"/>
    <w:basedOn w:val="1"/>
    <w:next w:val="1"/>
    <w:qFormat/>
    <w:uiPriority w:val="0"/>
    <w:pPr>
      <w:spacing w:line="500" w:lineRule="exact"/>
      <w:ind w:firstLine="556"/>
    </w:pPr>
    <w:rPr>
      <w:bCs/>
      <w:sz w:val="28"/>
      <w:szCs w:val="20"/>
    </w:rPr>
  </w:style>
  <w:style w:type="paragraph" w:styleId="14">
    <w:name w:val="footer"/>
    <w:basedOn w:val="1"/>
    <w:link w:val="36"/>
    <w:autoRedefine/>
    <w:qFormat/>
    <w:uiPriority w:val="0"/>
    <w:pPr>
      <w:tabs>
        <w:tab w:val="center" w:pos="4153"/>
        <w:tab w:val="right" w:pos="8306"/>
      </w:tabs>
      <w:snapToGrid w:val="0"/>
      <w:spacing w:line="240" w:lineRule="auto"/>
      <w:jc w:val="left"/>
    </w:pPr>
    <w:rPr>
      <w:sz w:val="18"/>
      <w:szCs w:val="18"/>
    </w:rPr>
  </w:style>
  <w:style w:type="paragraph" w:styleId="15">
    <w:name w:val="header"/>
    <w:basedOn w:val="1"/>
    <w:next w:val="7"/>
    <w:link w:val="35"/>
    <w:autoRedefine/>
    <w:qFormat/>
    <w:uiPriority w:val="0"/>
    <w:pPr>
      <w:tabs>
        <w:tab w:val="center" w:pos="4153"/>
        <w:tab w:val="right" w:pos="8306"/>
      </w:tabs>
      <w:snapToGrid w:val="0"/>
      <w:spacing w:line="240" w:lineRule="auto"/>
      <w:jc w:val="center"/>
    </w:pPr>
    <w:rPr>
      <w:sz w:val="18"/>
      <w:szCs w:val="18"/>
    </w:rPr>
  </w:style>
  <w:style w:type="paragraph" w:styleId="16">
    <w:name w:val="List"/>
    <w:basedOn w:val="1"/>
    <w:next w:val="7"/>
    <w:qFormat/>
    <w:uiPriority w:val="0"/>
    <w:pPr>
      <w:ind w:left="200" w:hanging="200" w:hangingChars="200"/>
    </w:pPr>
  </w:style>
  <w:style w:type="paragraph" w:styleId="17">
    <w:name w:val="toc 9"/>
    <w:basedOn w:val="1"/>
    <w:next w:val="1"/>
    <w:qFormat/>
    <w:uiPriority w:val="0"/>
    <w:pPr>
      <w:widowControl/>
      <w:wordWrap w:val="0"/>
      <w:spacing w:line="240" w:lineRule="auto"/>
      <w:ind w:left="2975" w:firstLine="0"/>
    </w:pPr>
    <w:rPr>
      <w:sz w:val="21"/>
      <w:szCs w:val="22"/>
    </w:rPr>
  </w:style>
  <w:style w:type="paragraph" w:styleId="18">
    <w:name w:val="Body Text 2"/>
    <w:basedOn w:val="1"/>
    <w:next w:val="1"/>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szCs w:val="20"/>
    </w:rPr>
  </w:style>
  <w:style w:type="paragraph" w:styleId="20">
    <w:name w:val="annotation subject"/>
    <w:basedOn w:val="6"/>
    <w:next w:val="6"/>
    <w:link w:val="34"/>
    <w:autoRedefine/>
    <w:qFormat/>
    <w:uiPriority w:val="0"/>
    <w:rPr>
      <w:b/>
      <w:bCs/>
    </w:rPr>
  </w:style>
  <w:style w:type="paragraph" w:styleId="21">
    <w:name w:val="Body Text First Indent"/>
    <w:basedOn w:val="7"/>
    <w:autoRedefine/>
    <w:qFormat/>
    <w:uiPriority w:val="0"/>
    <w:pPr>
      <w:ind w:firstLine="420" w:firstLineChars="1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A-正文"/>
    <w:basedOn w:val="1"/>
    <w:qFormat/>
    <w:uiPriority w:val="0"/>
    <w:pPr>
      <w:spacing w:line="560" w:lineRule="exact"/>
      <w:ind w:firstLine="560"/>
    </w:pPr>
    <w:rPr>
      <w:rFonts w:eastAsia="仿宋_GB2312"/>
    </w:rPr>
  </w:style>
  <w:style w:type="paragraph" w:customStyle="1" w:styleId="29">
    <w:name w:val="表格文字"/>
    <w:basedOn w:val="1"/>
    <w:autoRedefine/>
    <w:qFormat/>
    <w:uiPriority w:val="0"/>
    <w:pPr>
      <w:spacing w:line="240" w:lineRule="auto"/>
      <w:ind w:firstLine="0" w:firstLineChars="0"/>
      <w:jc w:val="center"/>
    </w:pPr>
    <w:rPr>
      <w:sz w:val="21"/>
      <w:szCs w:val="21"/>
    </w:rPr>
  </w:style>
  <w:style w:type="paragraph" w:customStyle="1" w:styleId="30">
    <w:name w:val="表格标题"/>
    <w:basedOn w:val="16"/>
    <w:next w:val="31"/>
    <w:autoRedefine/>
    <w:qFormat/>
    <w:uiPriority w:val="0"/>
    <w:pPr>
      <w:ind w:firstLine="0" w:firstLineChars="0"/>
      <w:jc w:val="center"/>
      <w:outlineLvl w:val="5"/>
    </w:pPr>
    <w:rPr>
      <w:bCs/>
      <w:szCs w:val="32"/>
      <w:lang w:val="zh-CN"/>
    </w:rPr>
  </w:style>
  <w:style w:type="paragraph" w:customStyle="1" w:styleId="31">
    <w:name w:val="表格内容"/>
    <w:basedOn w:val="30"/>
    <w:autoRedefine/>
    <w:qFormat/>
    <w:uiPriority w:val="0"/>
    <w:pPr>
      <w:adjustRightInd w:val="0"/>
      <w:snapToGrid w:val="0"/>
      <w:spacing w:line="300" w:lineRule="auto"/>
    </w:pPr>
    <w:rPr>
      <w:sz w:val="21"/>
      <w:szCs w:val="20"/>
      <w:lang w:val="en-US"/>
    </w:rPr>
  </w:style>
  <w:style w:type="paragraph" w:customStyle="1" w:styleId="32">
    <w:name w:val="表标题"/>
    <w:basedOn w:val="1"/>
    <w:autoRedefine/>
    <w:qFormat/>
    <w:uiPriority w:val="0"/>
    <w:pPr>
      <w:spacing w:line="240" w:lineRule="auto"/>
      <w:ind w:firstLine="0" w:firstLineChars="0"/>
      <w:jc w:val="center"/>
    </w:pPr>
    <w:rPr>
      <w:rFonts w:hint="eastAsia"/>
      <w:b/>
    </w:rPr>
  </w:style>
  <w:style w:type="character" w:customStyle="1" w:styleId="33">
    <w:name w:val="批注文字 字符"/>
    <w:basedOn w:val="24"/>
    <w:link w:val="6"/>
    <w:autoRedefine/>
    <w:qFormat/>
    <w:uiPriority w:val="0"/>
    <w:rPr>
      <w:sz w:val="24"/>
      <w:szCs w:val="24"/>
    </w:rPr>
  </w:style>
  <w:style w:type="character" w:customStyle="1" w:styleId="34">
    <w:name w:val="批注主题 字符"/>
    <w:basedOn w:val="33"/>
    <w:link w:val="20"/>
    <w:autoRedefine/>
    <w:qFormat/>
    <w:uiPriority w:val="0"/>
    <w:rPr>
      <w:b/>
      <w:bCs/>
      <w:sz w:val="24"/>
      <w:szCs w:val="24"/>
    </w:rPr>
  </w:style>
  <w:style w:type="character" w:customStyle="1" w:styleId="35">
    <w:name w:val="页眉 字符"/>
    <w:basedOn w:val="24"/>
    <w:link w:val="15"/>
    <w:autoRedefine/>
    <w:qFormat/>
    <w:uiPriority w:val="0"/>
    <w:rPr>
      <w:sz w:val="18"/>
      <w:szCs w:val="18"/>
    </w:rPr>
  </w:style>
  <w:style w:type="character" w:customStyle="1" w:styleId="36">
    <w:name w:val="页脚 字符"/>
    <w:basedOn w:val="24"/>
    <w:link w:val="14"/>
    <w:autoRedefine/>
    <w:qFormat/>
    <w:uiPriority w:val="0"/>
    <w:rPr>
      <w:sz w:val="18"/>
      <w:szCs w:val="18"/>
    </w:rPr>
  </w:style>
  <w:style w:type="paragraph" w:customStyle="1" w:styleId="37">
    <w:name w:val="表格"/>
    <w:basedOn w:val="1"/>
    <w:autoRedefine/>
    <w:qFormat/>
    <w:uiPriority w:val="0"/>
    <w:pPr>
      <w:adjustRightInd w:val="0"/>
      <w:snapToGrid w:val="0"/>
      <w:spacing w:line="240" w:lineRule="auto"/>
      <w:ind w:firstLine="0" w:firstLineChars="0"/>
      <w:jc w:val="center"/>
    </w:pPr>
    <w:rPr>
      <w:sz w:val="21"/>
      <w:szCs w:val="21"/>
    </w:rPr>
  </w:style>
  <w:style w:type="paragraph" w:customStyle="1" w:styleId="38">
    <w:name w:val="正文1"/>
    <w:basedOn w:val="1"/>
    <w:next w:val="1"/>
    <w:autoRedefine/>
    <w:qFormat/>
    <w:uiPriority w:val="0"/>
  </w:style>
  <w:style w:type="paragraph" w:customStyle="1" w:styleId="39">
    <w:name w:val="正文001"/>
    <w:basedOn w:val="1"/>
    <w:autoRedefine/>
    <w:qFormat/>
    <w:uiPriority w:val="0"/>
    <w:pPr>
      <w:adjustRightInd w:val="0"/>
      <w:spacing w:before="60" w:line="420" w:lineRule="exact"/>
      <w:ind w:firstLine="482"/>
    </w:pPr>
    <w:rPr>
      <w:rFonts w:ascii="宋体" w:hAnsi="宋体"/>
    </w:rPr>
  </w:style>
  <w:style w:type="paragraph" w:customStyle="1" w:styleId="40">
    <w:name w:val="Default"/>
    <w:basedOn w:val="41"/>
    <w:next w:val="5"/>
    <w:autoRedefine/>
    <w:qFormat/>
    <w:uiPriority w:val="0"/>
    <w:pPr>
      <w:autoSpaceDE w:val="0"/>
      <w:autoSpaceDN w:val="0"/>
    </w:pPr>
    <w:rPr>
      <w:rFonts w:ascii="Times New Roman" w:hAnsi="Times New Roman"/>
      <w:color w:val="000000"/>
      <w:szCs w:val="24"/>
    </w:rPr>
  </w:style>
  <w:style w:type="paragraph" w:customStyle="1" w:styleId="41">
    <w:name w:val="纯文本1"/>
    <w:basedOn w:val="1"/>
    <w:autoRedefine/>
    <w:qFormat/>
    <w:uiPriority w:val="0"/>
    <w:pPr>
      <w:adjustRightInd w:val="0"/>
    </w:pPr>
    <w:rPr>
      <w:rFonts w:ascii="宋体" w:hAnsi="Courier New"/>
      <w:szCs w:val="20"/>
    </w:rPr>
  </w:style>
  <w:style w:type="paragraph" w:customStyle="1" w:styleId="42">
    <w:name w:val="正文 + 仿宋_GB2312"/>
    <w:basedOn w:val="1"/>
    <w:autoRedefine/>
    <w:qFormat/>
    <w:uiPriority w:val="99"/>
    <w:rPr>
      <w:rFonts w:ascii="仿宋_GB2312" w:hAnsi="Calibri" w:eastAsia="仿宋_GB2312"/>
    </w:rPr>
  </w:style>
  <w:style w:type="paragraph" w:customStyle="1" w:styleId="43">
    <w:name w:val="报告表正文"/>
    <w:basedOn w:val="1"/>
    <w:qFormat/>
    <w:uiPriority w:val="0"/>
    <w:pPr>
      <w:adjustRightInd w:val="0"/>
      <w:spacing w:line="312" w:lineRule="auto"/>
      <w:ind w:left="113" w:right="113" w:firstLine="482"/>
      <w:jc w:val="left"/>
    </w:pPr>
    <w:rPr>
      <w:rFonts w:ascii="宋体" w:hAnsi="宋体"/>
      <w:szCs w:val="20"/>
    </w:rPr>
  </w:style>
  <w:style w:type="paragraph" w:customStyle="1" w:styleId="44">
    <w:name w:val="Table Text"/>
    <w:basedOn w:val="1"/>
    <w:autoRedefine/>
    <w:semiHidden/>
    <w:qFormat/>
    <w:uiPriority w:val="0"/>
    <w:rPr>
      <w:rFonts w:ascii="宋体" w:hAnsi="宋体" w:cs="宋体"/>
      <w:sz w:val="20"/>
      <w:szCs w:val="20"/>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styleId="46">
    <w:name w:val="No Spacing"/>
    <w:basedOn w:val="1"/>
    <w:autoRedefine/>
    <w:qFormat/>
    <w:uiPriority w:val="1"/>
    <w:rPr>
      <w:rFonts w:eastAsia="仿宋"/>
      <w:w w:val="90"/>
    </w:rPr>
  </w:style>
  <w:style w:type="character" w:customStyle="1" w:styleId="47">
    <w:name w:val="不明显强调1"/>
    <w:qFormat/>
    <w:uiPriority w:val="99"/>
    <w:rPr>
      <w:rFonts w:ascii="Times New Roman" w:hAnsi="Times New Roman" w:eastAsia="宋体" w:cs="Times New Roman"/>
      <w:sz w:val="21"/>
      <w:szCs w:val="21"/>
    </w:rPr>
  </w:style>
  <w:style w:type="character" w:customStyle="1" w:styleId="48">
    <w:name w:val="font181"/>
    <w:basedOn w:val="24"/>
    <w:qFormat/>
    <w:uiPriority w:val="0"/>
    <w:rPr>
      <w:rFonts w:hint="eastAsia" w:ascii="仿宋" w:hAnsi="仿宋" w:eastAsia="仿宋" w:cs="仿宋"/>
      <w:b/>
      <w:color w:val="000000"/>
      <w:sz w:val="22"/>
      <w:szCs w:val="22"/>
      <w:u w:val="none"/>
    </w:rPr>
  </w:style>
  <w:style w:type="character" w:customStyle="1" w:styleId="49">
    <w:name w:val="font6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5" Type="http://schemas.microsoft.com/office/2011/relationships/people" Target="people.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footnotes" Target="footnotes.xml"/><Relationship Id="rId49" Type="http://schemas.openxmlformats.org/officeDocument/2006/relationships/image" Target="media/image22.png"/><Relationship Id="rId48" Type="http://schemas.openxmlformats.org/officeDocument/2006/relationships/image" Target="media/image21.wmf"/><Relationship Id="rId47" Type="http://schemas.openxmlformats.org/officeDocument/2006/relationships/image" Target="media/image20.wmf"/><Relationship Id="rId46" Type="http://schemas.openxmlformats.org/officeDocument/2006/relationships/oleObject" Target="embeddings/oleObject13.bin"/><Relationship Id="rId45" Type="http://schemas.openxmlformats.org/officeDocument/2006/relationships/image" Target="media/image19.wmf"/><Relationship Id="rId44" Type="http://schemas.openxmlformats.org/officeDocument/2006/relationships/oleObject" Target="embeddings/oleObject12.bin"/><Relationship Id="rId43" Type="http://schemas.openxmlformats.org/officeDocument/2006/relationships/image" Target="media/image18.wmf"/><Relationship Id="rId42" Type="http://schemas.openxmlformats.org/officeDocument/2006/relationships/oleObject" Target="embeddings/oleObject11.bin"/><Relationship Id="rId41" Type="http://schemas.openxmlformats.org/officeDocument/2006/relationships/image" Target="media/image17.wmf"/><Relationship Id="rId40" Type="http://schemas.openxmlformats.org/officeDocument/2006/relationships/image" Target="media/image16.wmf"/><Relationship Id="rId4" Type="http://schemas.microsoft.com/office/2011/relationships/commentsExtended" Target="commentsExtended.xml"/><Relationship Id="rId39" Type="http://schemas.openxmlformats.org/officeDocument/2006/relationships/oleObject" Target="embeddings/oleObject10.bin"/><Relationship Id="rId38" Type="http://schemas.openxmlformats.org/officeDocument/2006/relationships/image" Target="media/image15.wmf"/><Relationship Id="rId37" Type="http://schemas.openxmlformats.org/officeDocument/2006/relationships/oleObject" Target="embeddings/oleObject9.bin"/><Relationship Id="rId36" Type="http://schemas.openxmlformats.org/officeDocument/2006/relationships/image" Target="media/image14.wmf"/><Relationship Id="rId35" Type="http://schemas.openxmlformats.org/officeDocument/2006/relationships/image" Target="media/image13.wmf"/><Relationship Id="rId34" Type="http://schemas.openxmlformats.org/officeDocument/2006/relationships/image" Target="media/image12.wmf"/><Relationship Id="rId33" Type="http://schemas.openxmlformats.org/officeDocument/2006/relationships/image" Target="media/image11.wmf"/><Relationship Id="rId32" Type="http://schemas.openxmlformats.org/officeDocument/2006/relationships/image" Target="media/image10.wmf"/><Relationship Id="rId31" Type="http://schemas.openxmlformats.org/officeDocument/2006/relationships/image" Target="media/image9.wmf"/><Relationship Id="rId30" Type="http://schemas.openxmlformats.org/officeDocument/2006/relationships/oleObject" Target="embeddings/oleObject8.bin"/><Relationship Id="rId3" Type="http://schemas.openxmlformats.org/officeDocument/2006/relationships/comments" Target="comments.xml"/><Relationship Id="rId29" Type="http://schemas.openxmlformats.org/officeDocument/2006/relationships/image" Target="media/image8.png"/><Relationship Id="rId28" Type="http://schemas.openxmlformats.org/officeDocument/2006/relationships/image" Target="media/image7.emf"/><Relationship Id="rId27" Type="http://schemas.openxmlformats.org/officeDocument/2006/relationships/oleObject" Target="embeddings/oleObject7.bin"/><Relationship Id="rId26" Type="http://schemas.openxmlformats.org/officeDocument/2006/relationships/image" Target="media/image6.emf"/><Relationship Id="rId25" Type="http://schemas.openxmlformats.org/officeDocument/2006/relationships/oleObject" Target="embeddings/oleObject6.bin"/><Relationship Id="rId24" Type="http://schemas.openxmlformats.org/officeDocument/2006/relationships/image" Target="media/image5.emf"/><Relationship Id="rId23" Type="http://schemas.openxmlformats.org/officeDocument/2006/relationships/oleObject" Target="embeddings/oleObject5.bin"/><Relationship Id="rId22" Type="http://schemas.openxmlformats.org/officeDocument/2006/relationships/image" Target="media/image4.emf"/><Relationship Id="rId21" Type="http://schemas.openxmlformats.org/officeDocument/2006/relationships/oleObject" Target="embeddings/oleObject4.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14478</Words>
  <Characters>15215</Characters>
  <Lines>397</Lines>
  <Paragraphs>111</Paragraphs>
  <TotalTime>42</TotalTime>
  <ScaleCrop>false</ScaleCrop>
  <LinksUpToDate>false</LinksUpToDate>
  <CharactersWithSpaces>15281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2023-12-18T06:16:00Z</dcterms:created>
  <dc:creator>苗</dc:creator>
  <cp:lastModifiedBy>775群秘书长关纪章</cp:lastModifiedBy>
  <cp:lastPrinted>2024-01-30T02:04:00Z</cp:lastPrinted>
  <dcterms:modified xsi:type="dcterms:W3CDTF">2024-10-22T03:31:55Z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33DD6B2D16724B4A83F53758A29DE6D6_13</vt:lpwstr>
  </property>
</Properties>
</file>