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firstLine="883" w:firstLineChars="200"/>
        <w:rPr>
          <w:rFonts w:hint="default" w:ascii="Times New Roman" w:hAnsi="Times New Roman" w:cs="Times New Roman" w:eastAsiaTheme="majorEastAsia"/>
          <w:b/>
          <w:bCs/>
          <w:sz w:val="44"/>
          <w:szCs w:val="44"/>
          <w:lang w:val="en-US" w:eastAsia="zh-CN"/>
        </w:rPr>
      </w:pPr>
      <w:r>
        <w:rPr>
          <w:rFonts w:hint="default" w:ascii="Times New Roman" w:hAnsi="Times New Roman" w:cs="Times New Roman" w:eastAsiaTheme="majorEastAsia"/>
          <w:b/>
          <w:bCs/>
          <w:sz w:val="44"/>
          <w:szCs w:val="44"/>
          <w:lang w:val="en-US" w:eastAsia="zh-CN"/>
        </w:rPr>
        <w:t>2023年招商引资工作经费项目绩效</w:t>
      </w:r>
    </w:p>
    <w:p>
      <w:pPr>
        <w:numPr>
          <w:ilvl w:val="0"/>
          <w:numId w:val="0"/>
        </w:numPr>
        <w:ind w:firstLine="3534" w:firstLineChars="800"/>
        <w:rPr>
          <w:rFonts w:hint="default" w:ascii="Times New Roman" w:hAnsi="Times New Roman" w:cs="Times New Roman" w:eastAsiaTheme="majorEastAsia"/>
          <w:b/>
          <w:bCs/>
          <w:sz w:val="44"/>
          <w:szCs w:val="44"/>
          <w:lang w:val="en-US" w:eastAsia="zh-CN"/>
        </w:rPr>
      </w:pPr>
      <w:r>
        <w:rPr>
          <w:rFonts w:hint="default" w:ascii="Times New Roman" w:hAnsi="Times New Roman" w:cs="Times New Roman" w:eastAsiaTheme="majorEastAsia"/>
          <w:b/>
          <w:bCs/>
          <w:sz w:val="44"/>
          <w:szCs w:val="44"/>
          <w:lang w:val="en-US" w:eastAsia="zh-CN"/>
        </w:rPr>
        <w:t>自评报告</w:t>
      </w:r>
    </w:p>
    <w:p>
      <w:pPr>
        <w:numPr>
          <w:ilvl w:val="0"/>
          <w:numId w:val="0"/>
        </w:numPr>
        <w:ind w:firstLine="964" w:firstLineChars="300"/>
        <w:rPr>
          <w:rFonts w:hint="default" w:ascii="Times New Roman" w:hAnsi="Times New Roman" w:cs="Times New Roman" w:eastAsiaTheme="majorEastAsia"/>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4" w:firstLineChars="300"/>
        <w:textAlignment w:val="auto"/>
        <w:outlineLvl w:val="9"/>
        <w:rPr>
          <w:rFonts w:hint="default" w:ascii="Times New Roman" w:hAnsi="Times New Roman" w:cs="Times New Roman" w:eastAsiaTheme="majorEastAsia"/>
          <w:b/>
          <w:bCs/>
          <w:sz w:val="32"/>
          <w:szCs w:val="32"/>
          <w:lang w:val="en-US" w:eastAsia="zh-CN"/>
        </w:rPr>
      </w:pPr>
      <w:r>
        <w:rPr>
          <w:rFonts w:hint="default" w:ascii="Times New Roman" w:hAnsi="Times New Roman" w:cs="Times New Roman" w:eastAsiaTheme="majorEastAsia"/>
          <w:b/>
          <w:bCs/>
          <w:sz w:val="32"/>
          <w:szCs w:val="32"/>
          <w:lang w:val="en-US" w:eastAsia="zh-CN"/>
        </w:rPr>
        <w:t>一、项目基本情况</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cs="Times New Roman" w:eastAsiaTheme="majorEastAsia"/>
          <w:sz w:val="32"/>
          <w:szCs w:val="32"/>
          <w:lang w:val="en-US" w:eastAsia="zh-CN"/>
        </w:rPr>
      </w:pPr>
      <w:r>
        <w:rPr>
          <w:rFonts w:hint="default" w:ascii="Times New Roman" w:hAnsi="Times New Roman" w:cs="Times New Roman" w:eastAsiaTheme="majorEastAsia"/>
          <w:sz w:val="32"/>
          <w:szCs w:val="32"/>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1、项目背景</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2023年是全面贯彻落实党的二十大精神的开局之年，是三年新冠疫情防控转段后经济恢复发展的一年，也是</w:t>
      </w:r>
      <w:r>
        <w:rPr>
          <w:rFonts w:hint="default" w:ascii="Times New Roman" w:hAnsi="Times New Roman" w:eastAsia="仿宋_GB2312" w:cs="Times New Roman"/>
          <w:color w:val="000000"/>
          <w:sz w:val="32"/>
          <w:szCs w:val="32"/>
          <w:lang w:val="en-US" w:eastAsia="zh-CN"/>
        </w:rPr>
        <w:t>相山</w:t>
      </w:r>
      <w:r>
        <w:rPr>
          <w:rFonts w:hint="default" w:ascii="Times New Roman" w:hAnsi="Times New Roman" w:eastAsia="仿宋_GB2312" w:cs="Times New Roman"/>
          <w:color w:val="000000"/>
          <w:sz w:val="32"/>
          <w:szCs w:val="32"/>
        </w:rPr>
        <w:t>发展进程中极具挑战、极为不易的一年。全区上下坚持以习近平新时代中国特色社会主义思想为指导，深入学习贯彻党的二十大和二十届二中全会精神，在市委、市政府和区委的坚强领导下，</w:t>
      </w:r>
      <w:r>
        <w:rPr>
          <w:rFonts w:hint="default" w:ascii="Times New Roman" w:hAnsi="Times New Roman" w:eastAsia="仿宋_GB2312" w:cs="Times New Roman"/>
          <w:color w:val="000000"/>
          <w:sz w:val="32"/>
          <w:szCs w:val="32"/>
          <w:lang w:val="en-US" w:eastAsia="zh-CN"/>
        </w:rPr>
        <w:t>区委、区政府</w:t>
      </w:r>
      <w:r>
        <w:rPr>
          <w:rFonts w:hint="default" w:ascii="Times New Roman" w:hAnsi="Times New Roman" w:eastAsia="仿宋_GB2312" w:cs="Times New Roman"/>
          <w:color w:val="000000"/>
          <w:sz w:val="32"/>
          <w:szCs w:val="32"/>
        </w:rPr>
        <w:t>坚持“五个更加突出”--更加突出招大引强、谋大上强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更加突出项目实际完成投资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更加突出亩均效益导向，更加突出投资入库纳统和企业投产入规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更加突出引进和利用外资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坚定不移推进招商引资强势攻坚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全</w:t>
      </w:r>
      <w:r>
        <w:rPr>
          <w:rFonts w:hint="default" w:ascii="Times New Roman" w:hAnsi="Times New Roman" w:eastAsia="仿宋_GB2312" w:cs="Times New Roman"/>
          <w:color w:val="000000"/>
          <w:sz w:val="32"/>
          <w:szCs w:val="32"/>
          <w:lang w:eastAsia="zh-CN"/>
        </w:rPr>
        <w:t>区</w:t>
      </w:r>
      <w:r>
        <w:rPr>
          <w:rFonts w:hint="default" w:ascii="Times New Roman" w:hAnsi="Times New Roman" w:eastAsia="仿宋_GB2312" w:cs="Times New Roman"/>
          <w:color w:val="000000"/>
          <w:sz w:val="32"/>
          <w:szCs w:val="32"/>
        </w:rPr>
        <w:t>招商引资呈现出总量扩大、效益凸显、整体提升的良好态势。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2、主要内容及实施情况</w:t>
      </w:r>
    </w:p>
    <w:p>
      <w:pPr>
        <w:keepNext w:val="0"/>
        <w:keepLines w:val="0"/>
        <w:pageBreakBefore w:val="0"/>
        <w:widowControl w:val="0"/>
        <w:kinsoku/>
        <w:wordWrap/>
        <w:overflowPunct/>
        <w:topLinePunct w:val="0"/>
        <w:autoSpaceDE/>
        <w:autoSpaceDN/>
        <w:bidi w:val="0"/>
        <w:spacing w:beforeAutospacing="0" w:afterAutospacing="0" w:line="560" w:lineRule="exact"/>
        <w:ind w:firstLine="643"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楷体" w:cs="Times New Roman"/>
          <w:b/>
          <w:bCs/>
          <w:color w:val="000000"/>
          <w:sz w:val="32"/>
          <w:szCs w:val="32"/>
        </w:rPr>
        <w:t>一</w:t>
      </w:r>
      <w:r>
        <w:rPr>
          <w:rFonts w:hint="default" w:ascii="Times New Roman" w:hAnsi="Times New Roman" w:eastAsia="楷体" w:cs="Times New Roman"/>
          <w:b/>
          <w:bCs/>
          <w:color w:val="000000"/>
          <w:sz w:val="32"/>
          <w:szCs w:val="32"/>
          <w:lang w:val="en-US" w:eastAsia="zh-CN"/>
        </w:rPr>
        <w:t>是</w:t>
      </w:r>
      <w:r>
        <w:rPr>
          <w:rFonts w:hint="default" w:ascii="Times New Roman" w:hAnsi="Times New Roman" w:eastAsia="楷体" w:cs="Times New Roman"/>
          <w:b/>
          <w:bCs/>
          <w:color w:val="000000"/>
          <w:sz w:val="32"/>
          <w:szCs w:val="32"/>
          <w:lang w:eastAsia="zh-CN"/>
        </w:rPr>
        <w:t>抓产业、增动能，</w:t>
      </w:r>
      <w:r>
        <w:rPr>
          <w:rFonts w:hint="default" w:ascii="Times New Roman" w:hAnsi="Times New Roman" w:eastAsia="楷体" w:cs="Times New Roman"/>
          <w:b/>
          <w:bCs/>
          <w:color w:val="000000"/>
          <w:sz w:val="32"/>
          <w:szCs w:val="32"/>
          <w:lang w:val="en-US" w:eastAsia="zh-CN"/>
        </w:rPr>
        <w:t>招商质效</w:t>
      </w:r>
      <w:r>
        <w:rPr>
          <w:rFonts w:hint="default" w:ascii="Times New Roman" w:hAnsi="Times New Roman" w:eastAsia="楷体" w:cs="Times New Roman"/>
          <w:b/>
          <w:bCs/>
          <w:color w:val="000000"/>
          <w:sz w:val="32"/>
          <w:szCs w:val="32"/>
          <w:lang w:eastAsia="zh-CN"/>
        </w:rPr>
        <w:t>实现更好提升</w:t>
      </w:r>
      <w:r>
        <w:rPr>
          <w:rFonts w:hint="default" w:ascii="Times New Roman" w:hAnsi="Times New Roman" w:eastAsia="楷体" w:cs="Times New Roman"/>
          <w:b/>
          <w:bCs/>
          <w:color w:val="000000"/>
          <w:sz w:val="32"/>
          <w:szCs w:val="32"/>
        </w:rPr>
        <w:t>。</w:t>
      </w:r>
      <w:r>
        <w:rPr>
          <w:rFonts w:hint="default" w:ascii="Times New Roman" w:hAnsi="Times New Roman" w:eastAsia="仿宋_GB2312" w:cs="Times New Roman"/>
          <w:color w:val="000000"/>
          <w:sz w:val="32"/>
          <w:szCs w:val="32"/>
          <w:lang w:val="en-US" w:eastAsia="zh-CN"/>
        </w:rPr>
        <w:t>一年来，我们高位谋划，高位推进，抢抓省委、省政府重点支持皖北</w:t>
      </w:r>
      <w:r>
        <w:rPr>
          <w:rFonts w:hint="default" w:ascii="Times New Roman" w:hAnsi="Times New Roman" w:eastAsia="仿宋_GB2312" w:cs="Times New Roman"/>
          <w:color w:val="auto"/>
          <w:kern w:val="0"/>
          <w:sz w:val="32"/>
          <w:szCs w:val="32"/>
          <w:highlight w:val="none"/>
          <w:shd w:val="clear" w:color="auto" w:fill="FFFFFF"/>
          <w:lang w:val="en-US" w:eastAsia="zh-CN" w:bidi="ar"/>
        </w:rPr>
        <w:t>汽车零部件、新能源、新材料、高端绿色食品等产业发展契机，建立链长牵头、专班跟进的产业链发展工作机制，梳理产业链上下游企业，研究形成产业链图、全景图、分布图、路线图和企业库等产业链招商图谱体系，</w:t>
      </w:r>
      <w:r>
        <w:rPr>
          <w:rFonts w:hint="default" w:ascii="Times New Roman" w:hAnsi="Times New Roman" w:eastAsia="仿宋_GB2312" w:cs="Times New Roman"/>
          <w:b w:val="0"/>
          <w:bCs w:val="0"/>
          <w:i w:val="0"/>
          <w:iCs w:val="0"/>
          <w:color w:val="000000"/>
          <w:spacing w:val="0"/>
          <w:w w:val="100"/>
          <w:sz w:val="32"/>
          <w:szCs w:val="32"/>
          <w:vertAlign w:val="baseline"/>
        </w:rPr>
        <w:t>组建15个招商组和3个驻外招商中心，聘请10名专业招商顾问，</w:t>
      </w:r>
      <w:r>
        <w:rPr>
          <w:rFonts w:hint="default" w:ascii="Times New Roman" w:hAnsi="Times New Roman" w:eastAsia="仿宋_GB2312" w:cs="Times New Roman"/>
          <w:sz w:val="32"/>
          <w:szCs w:val="32"/>
        </w:rPr>
        <w:t>举办</w:t>
      </w:r>
      <w:r>
        <w:rPr>
          <w:rFonts w:hint="default" w:ascii="Times New Roman" w:hAnsi="Times New Roman" w:eastAsia="仿宋_GB2312" w:cs="Times New Roman"/>
          <w:sz w:val="32"/>
          <w:szCs w:val="32"/>
          <w:lang w:val="en-US" w:eastAsia="zh-CN"/>
        </w:rPr>
        <w:t>2023食品工业博览会、2023</w:t>
      </w:r>
      <w:r>
        <w:rPr>
          <w:rFonts w:hint="default" w:ascii="Times New Roman" w:hAnsi="Times New Roman" w:eastAsia="仿宋_GB2312" w:cs="Times New Roman"/>
          <w:sz w:val="32"/>
          <w:szCs w:val="32"/>
        </w:rPr>
        <w:t>中国（淮北）新型半导体融合创新技术产业高峰论坛</w:t>
      </w:r>
      <w:r>
        <w:rPr>
          <w:rFonts w:hint="default" w:ascii="Times New Roman" w:hAnsi="Times New Roman" w:eastAsia="仿宋_GB2312" w:cs="Times New Roman"/>
          <w:sz w:val="32"/>
          <w:szCs w:val="32"/>
          <w:lang w:eastAsia="zh-CN"/>
        </w:rPr>
        <w:t>等活动，</w:t>
      </w:r>
      <w:r>
        <w:rPr>
          <w:rFonts w:hint="default" w:ascii="Times New Roman" w:hAnsi="Times New Roman" w:eastAsia="仿宋_GB2312" w:cs="Times New Roman"/>
          <w:color w:val="auto"/>
          <w:kern w:val="0"/>
          <w:sz w:val="32"/>
          <w:szCs w:val="32"/>
          <w:highlight w:val="none"/>
          <w:shd w:val="clear" w:color="auto" w:fill="FFFFFF"/>
          <w:lang w:val="en-US" w:eastAsia="zh-CN" w:bidi="ar"/>
        </w:rPr>
        <w:t>大力开展联动招商、精准招商</w:t>
      </w:r>
      <w:r>
        <w:rPr>
          <w:rFonts w:hint="default" w:ascii="Times New Roman" w:hAnsi="Times New Roman" w:eastAsia="仿宋_GB2312" w:cs="Times New Roman"/>
          <w:sz w:val="32"/>
          <w:szCs w:val="32"/>
        </w:rPr>
        <w:t>，</w:t>
      </w:r>
      <w:r>
        <w:rPr>
          <w:rFonts w:hint="default" w:ascii="Times New Roman" w:hAnsi="Times New Roman" w:eastAsia="仿宋_GB2312" w:cs="Times New Roman"/>
          <w:b w:val="0"/>
          <w:bCs w:val="0"/>
          <w:i w:val="0"/>
          <w:iCs w:val="0"/>
          <w:color w:val="auto"/>
          <w:spacing w:val="0"/>
          <w:w w:val="100"/>
          <w:sz w:val="32"/>
          <w:szCs w:val="32"/>
          <w:highlight w:val="none"/>
          <w:vertAlign w:val="baseline"/>
        </w:rPr>
        <w:t>做好建链强链补链延链文章</w:t>
      </w:r>
      <w:r>
        <w:rPr>
          <w:rFonts w:hint="default" w:ascii="Times New Roman" w:hAnsi="Times New Roman" w:eastAsia="仿宋_GB2312" w:cs="Times New Roman"/>
          <w:color w:val="auto"/>
          <w:kern w:val="0"/>
          <w:sz w:val="32"/>
          <w:szCs w:val="32"/>
          <w:highlight w:val="none"/>
          <w:shd w:val="clear" w:color="auto" w:fill="FFFFFF"/>
          <w:lang w:val="en-US" w:eastAsia="zh-CN" w:bidi="ar"/>
        </w:rPr>
        <w:t>。</w:t>
      </w:r>
      <w:r>
        <w:rPr>
          <w:rFonts w:hint="default" w:ascii="Times New Roman" w:hAnsi="Times New Roman" w:eastAsia="仿宋_GB2312" w:cs="Times New Roman"/>
          <w:b w:val="0"/>
          <w:bCs w:val="0"/>
          <w:i w:val="0"/>
          <w:iCs w:val="0"/>
          <w:color w:val="000000"/>
          <w:spacing w:val="0"/>
          <w:w w:val="100"/>
          <w:sz w:val="32"/>
          <w:szCs w:val="32"/>
          <w:vertAlign w:val="baseline"/>
        </w:rPr>
        <w:t>全年新签约亿元以上项目36个，其中10亿元以上项目2个</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新签约项目与主导产业契合度90%以上。</w:t>
      </w:r>
      <w:r>
        <w:rPr>
          <w:rFonts w:hint="default" w:ascii="Times New Roman" w:hAnsi="Times New Roman" w:eastAsia="仿宋_GB2312" w:cs="Times New Roman"/>
          <w:color w:val="auto"/>
          <w:kern w:val="0"/>
          <w:sz w:val="32"/>
          <w:szCs w:val="32"/>
          <w:highlight w:val="none"/>
          <w:shd w:val="clear" w:color="auto" w:fill="FFFFFF"/>
          <w:lang w:val="en-US" w:eastAsia="zh-CN" w:bidi="ar"/>
        </w:rPr>
        <w:t>汽车零部件产业方面，</w:t>
      </w:r>
      <w:r>
        <w:rPr>
          <w:rFonts w:hint="default" w:ascii="Times New Roman" w:hAnsi="Times New Roman" w:eastAsia="仿宋_GB2312" w:cs="Times New Roman"/>
          <w:b w:val="0"/>
          <w:bCs w:val="0"/>
          <w:i w:val="0"/>
          <w:iCs w:val="0"/>
          <w:color w:val="000000"/>
          <w:spacing w:val="0"/>
          <w:w w:val="100"/>
          <w:sz w:val="32"/>
          <w:szCs w:val="32"/>
          <w:vertAlign w:val="baseline"/>
        </w:rPr>
        <w:t>投资20亿元的翌光科技项目建成投产，OLED屏体</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aps w:val="0"/>
          <w:color w:val="000000"/>
          <w:spacing w:val="0"/>
          <w:sz w:val="32"/>
          <w:szCs w:val="32"/>
          <w:highlight w:val="none"/>
        </w:rPr>
        <w:t>车灯模组</w:t>
      </w:r>
      <w:r>
        <w:rPr>
          <w:rFonts w:hint="default" w:ascii="Times New Roman" w:hAnsi="Times New Roman" w:eastAsia="仿宋_GB2312" w:cs="Times New Roman"/>
          <w:b w:val="0"/>
          <w:bCs w:val="0"/>
          <w:i w:val="0"/>
          <w:iCs w:val="0"/>
          <w:caps w:val="0"/>
          <w:color w:val="000000"/>
          <w:spacing w:val="0"/>
          <w:sz w:val="32"/>
          <w:szCs w:val="32"/>
          <w:highlight w:val="none"/>
          <w:lang w:val="en-US" w:eastAsia="zh-CN"/>
        </w:rPr>
        <w:t>等汽车零部件产品等关键零部件产业集群</w:t>
      </w:r>
      <w:r>
        <w:rPr>
          <w:rFonts w:hint="default" w:ascii="Times New Roman" w:hAnsi="Times New Roman" w:eastAsia="仿宋_GB2312" w:cs="Times New Roman"/>
          <w:b w:val="0"/>
          <w:bCs w:val="0"/>
          <w:i w:val="0"/>
          <w:iCs w:val="0"/>
          <w:color w:val="000000"/>
          <w:spacing w:val="0"/>
          <w:w w:val="100"/>
          <w:sz w:val="32"/>
          <w:szCs w:val="32"/>
          <w:vertAlign w:val="baseline"/>
        </w:rPr>
        <w:t>取得巨大突破；</w:t>
      </w:r>
      <w:r>
        <w:rPr>
          <w:rFonts w:hint="default" w:ascii="Times New Roman" w:hAnsi="Times New Roman" w:eastAsia="仿宋_GB2312" w:cs="Times New Roman"/>
          <w:color w:val="auto"/>
          <w:kern w:val="0"/>
          <w:sz w:val="32"/>
          <w:szCs w:val="32"/>
          <w:highlight w:val="none"/>
          <w:shd w:val="clear" w:color="auto" w:fill="FFFFFF"/>
          <w:lang w:val="en-US" w:eastAsia="zh-CN" w:bidi="ar"/>
        </w:rPr>
        <w:t>高端绿色食品产业方面，</w:t>
      </w:r>
      <w:r>
        <w:rPr>
          <w:rFonts w:hint="default" w:ascii="Times New Roman" w:hAnsi="Times New Roman" w:eastAsia="仿宋_GB2312" w:cs="Times New Roman"/>
          <w:b w:val="0"/>
          <w:bCs w:val="0"/>
          <w:i w:val="0"/>
          <w:iCs w:val="0"/>
          <w:color w:val="000000"/>
          <w:spacing w:val="0"/>
          <w:w w:val="100"/>
          <w:sz w:val="32"/>
          <w:szCs w:val="32"/>
          <w:vertAlign w:val="baseline"/>
        </w:rPr>
        <w:t>投资11.6亿元的肆季良品“休闲食品生产”项目</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签约并</w:t>
      </w:r>
      <w:r>
        <w:rPr>
          <w:rFonts w:hint="default" w:ascii="Times New Roman" w:hAnsi="Times New Roman" w:eastAsia="仿宋_GB2312" w:cs="Times New Roman"/>
          <w:b w:val="0"/>
          <w:bCs w:val="0"/>
          <w:i w:val="0"/>
          <w:iCs w:val="0"/>
          <w:color w:val="000000"/>
          <w:spacing w:val="0"/>
          <w:w w:val="100"/>
          <w:sz w:val="32"/>
          <w:szCs w:val="32"/>
          <w:vertAlign w:val="baseline"/>
        </w:rPr>
        <w:t>开工建设，</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是我区</w:t>
      </w:r>
      <w:r>
        <w:rPr>
          <w:rFonts w:hint="default" w:ascii="Times New Roman" w:hAnsi="Times New Roman" w:eastAsia="仿宋_GB2312" w:cs="Times New Roman"/>
          <w:b w:val="0"/>
          <w:bCs w:val="0"/>
          <w:i w:val="0"/>
          <w:iCs w:val="0"/>
          <w:color w:val="000000"/>
          <w:spacing w:val="0"/>
          <w:w w:val="100"/>
          <w:sz w:val="32"/>
          <w:szCs w:val="32"/>
          <w:vertAlign w:val="baseline"/>
        </w:rPr>
        <w:t>食品产业</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单体投资最大的项目；</w:t>
      </w: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现代服务业方面，</w:t>
      </w:r>
      <w:r>
        <w:rPr>
          <w:rFonts w:hint="default" w:ascii="Times New Roman" w:hAnsi="Times New Roman" w:eastAsia="仿宋_GB2312" w:cs="Times New Roman"/>
          <w:b w:val="0"/>
          <w:bCs w:val="0"/>
          <w:i w:val="0"/>
          <w:iCs w:val="0"/>
          <w:color w:val="000000"/>
          <w:spacing w:val="0"/>
          <w:w w:val="100"/>
          <w:sz w:val="32"/>
          <w:szCs w:val="32"/>
          <w:vertAlign w:val="baseline"/>
        </w:rPr>
        <w:t>投资30亿元的</w:t>
      </w: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相山区</w:t>
      </w:r>
      <w:r>
        <w:rPr>
          <w:rFonts w:hint="default" w:ascii="Times New Roman" w:hAnsi="Times New Roman" w:eastAsia="仿宋_GB2312" w:cs="Times New Roman"/>
          <w:b w:val="0"/>
          <w:bCs w:val="0"/>
          <w:i w:val="0"/>
          <w:iCs w:val="0"/>
          <w:color w:val="000000"/>
          <w:spacing w:val="0"/>
          <w:w w:val="100"/>
          <w:sz w:val="32"/>
          <w:szCs w:val="32"/>
          <w:vertAlign w:val="baseline"/>
        </w:rPr>
        <w:t>啤酒厂文创街区项目签约落地，服务业大项目招商实现新突破</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pPr>
      <w:r>
        <w:rPr>
          <w:rFonts w:hint="default" w:ascii="Times New Roman" w:hAnsi="Times New Roman" w:eastAsia="楷体" w:cs="Times New Roman"/>
          <w:b/>
          <w:bCs/>
          <w:color w:val="000000"/>
          <w:kern w:val="2"/>
          <w:sz w:val="32"/>
          <w:szCs w:val="32"/>
          <w:lang w:val="en-US" w:eastAsia="zh-CN" w:bidi="ar-SA"/>
        </w:rPr>
        <w:t>二是抓方法、善创新，招商打法得到增效赋能。</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一年来，我们开拓思路、创新思维，各扬所长，想尽一切办法，用好市场力量和人脉资源，大力开展基金招商、产业链招商、以商招商等，打开招商引资工作新局面。</w:t>
      </w:r>
      <w:r>
        <w:rPr>
          <w:rFonts w:hint="default" w:ascii="Times New Roman" w:hAnsi="Times New Roman" w:eastAsia="仿宋_GB2312" w:cs="Times New Roman"/>
          <w:b/>
          <w:bCs/>
          <w:i w:val="0"/>
          <w:iCs w:val="0"/>
          <w:color w:val="000000"/>
          <w:spacing w:val="0"/>
          <w:w w:val="100"/>
          <w:kern w:val="2"/>
          <w:sz w:val="32"/>
          <w:szCs w:val="32"/>
          <w:vertAlign w:val="baseline"/>
          <w:lang w:val="en-US" w:eastAsia="zh-CN" w:bidi="ar-SA"/>
        </w:rPr>
        <w:t>借助基金招商</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发挥政府引导基金杠杆作用，善用市场的逻辑谋事、资本的力量干事、平台的思维成事，加强与省高新投、省铁投等国资平台深度合作，借助上海诺铁等外部金融机构力量，加快实现基金投资“滚雪球”效应，成功组建总规模10亿元的淮北市新能网联产业基金，助力产业发展。</w:t>
      </w:r>
      <w:r>
        <w:rPr>
          <w:rFonts w:hint="default" w:ascii="Times New Roman" w:hAnsi="Times New Roman" w:eastAsia="仿宋_GB2312" w:cs="Times New Roman"/>
          <w:b/>
          <w:bCs/>
          <w:i w:val="0"/>
          <w:iCs w:val="0"/>
          <w:color w:val="000000"/>
          <w:spacing w:val="0"/>
          <w:w w:val="100"/>
          <w:kern w:val="2"/>
          <w:sz w:val="32"/>
          <w:szCs w:val="32"/>
          <w:vertAlign w:val="baseline"/>
          <w:lang w:val="en-US" w:eastAsia="zh-CN" w:bidi="ar-SA"/>
        </w:rPr>
        <w:t>聚焦产业链招商</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。实施主导产业链长制，围绕绿色食品（生物科技）、信息技术等主导产业，在招商实践中，定向招引与主导产业高度契合的上中下游配套产业。今年签约的36个项目中，绿色食品（生物科技）及配套项目</w:t>
      </w:r>
      <w:r>
        <w:rPr>
          <w:rFonts w:hint="default" w:ascii="Times New Roman" w:hAnsi="Times New Roman" w:eastAsia="仿宋_GB2312" w:cs="Times New Roman"/>
          <w:b w:val="0"/>
          <w:bCs w:val="0"/>
          <w:i w:val="0"/>
          <w:iCs w:val="0"/>
          <w:color w:val="000000"/>
          <w:spacing w:val="0"/>
          <w:w w:val="100"/>
          <w:kern w:val="2"/>
          <w:sz w:val="32"/>
          <w:szCs w:val="32"/>
          <w:highlight w:val="none"/>
          <w:vertAlign w:val="baseline"/>
          <w:lang w:val="en-US" w:eastAsia="zh-CN" w:bidi="ar-SA"/>
        </w:rPr>
        <w:t>8个，新一代信息技术项目20个，新能源和节能环保项目5个</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，主导产业链条更加完善，产业层次不断提高。</w:t>
      </w:r>
      <w:r>
        <w:rPr>
          <w:rFonts w:hint="default" w:ascii="Times New Roman" w:hAnsi="Times New Roman" w:eastAsia="仿宋_GB2312" w:cs="Times New Roman"/>
          <w:b/>
          <w:bCs/>
          <w:i w:val="0"/>
          <w:iCs w:val="0"/>
          <w:color w:val="000000"/>
          <w:spacing w:val="0"/>
          <w:w w:val="100"/>
          <w:kern w:val="2"/>
          <w:sz w:val="32"/>
          <w:szCs w:val="32"/>
          <w:vertAlign w:val="baseline"/>
          <w:lang w:val="en-US" w:eastAsia="zh-CN" w:bidi="ar-SA"/>
        </w:rPr>
        <w:t>开展以商招商</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。建立良好的服务机制，为落地企业特别是链主企业提供优质服务，打造亲商、稳商的投资发展环境，并通过企业间的口碑效应吸引更多的企业，带动产业链关键环节、上下游配套企业入驻，2023</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年</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通过以商招商引进了“肆季良品”等28个项目，占招商工业项目个数80%以上，形</w:t>
      </w:r>
      <w:r>
        <w:rPr>
          <w:rFonts w:hint="default" w:ascii="Times New Roman" w:hAnsi="Times New Roman" w:eastAsia="仿宋_GB2312" w:cs="Times New Roman"/>
          <w:sz w:val="32"/>
          <w:szCs w:val="32"/>
        </w:rPr>
        <w:t>成“引进一个、带来一批、辐射一片”的连锁效应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提升产业整体竞争力。</w:t>
      </w:r>
    </w:p>
    <w:p>
      <w:pPr>
        <w:pStyle w:val="1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 w:cs="Times New Roman"/>
          <w:b/>
          <w:bCs/>
          <w:color w:val="000000"/>
          <w:kern w:val="2"/>
          <w:sz w:val="32"/>
          <w:szCs w:val="32"/>
          <w:lang w:val="en-US" w:eastAsia="zh-CN" w:bidi="ar-SA"/>
        </w:rPr>
        <w:t>三是抓考核、优服务，发展环境释放更优引力。</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一年来，我们坚持把项目落地建成见效作为检验招商引资成效的重要标</w:t>
      </w:r>
      <w:r>
        <w:rPr>
          <w:rFonts w:hint="default" w:ascii="Times New Roman" w:hAnsi="Times New Roman" w:eastAsia="仿宋_GB2312" w:cs="Times New Roman"/>
          <w:b w:val="0"/>
          <w:bCs w:val="0"/>
          <w:i w:val="0"/>
          <w:iCs w:val="0"/>
          <w:color w:val="000000"/>
          <w:spacing w:val="0"/>
          <w:w w:val="100"/>
          <w:sz w:val="32"/>
          <w:szCs w:val="32"/>
          <w:vertAlign w:val="baseline"/>
        </w:rPr>
        <w:t>尺，强化考核机制，畅通政企沟通渠道，加强对投资企业的服务，确保</w:t>
      </w: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签约</w:t>
      </w:r>
      <w:r>
        <w:rPr>
          <w:rFonts w:hint="default" w:ascii="Times New Roman" w:hAnsi="Times New Roman" w:eastAsia="仿宋_GB2312" w:cs="Times New Roman"/>
          <w:b w:val="0"/>
          <w:bCs w:val="0"/>
          <w:i w:val="0"/>
          <w:iCs w:val="0"/>
          <w:color w:val="000000"/>
          <w:spacing w:val="0"/>
          <w:w w:val="100"/>
          <w:sz w:val="32"/>
          <w:szCs w:val="32"/>
          <w:vertAlign w:val="baseline"/>
        </w:rPr>
        <w:t>项目早开工、早竣工、早投产、早见效。</w:t>
      </w:r>
      <w:r>
        <w:rPr>
          <w:rFonts w:hint="default" w:ascii="Times New Roman" w:hAnsi="Times New Roman" w:eastAsia="仿宋_GB2312" w:cs="Times New Roman"/>
          <w:b/>
          <w:bCs/>
          <w:sz w:val="32"/>
          <w:szCs w:val="32"/>
          <w:lang w:val="en-US" w:eastAsia="zh-CN"/>
        </w:rPr>
        <w:t>加强调度考核。</w:t>
      </w:r>
      <w:r>
        <w:rPr>
          <w:rFonts w:hint="default" w:ascii="Times New Roman" w:hAnsi="Times New Roman" w:eastAsia="仿宋_GB2312" w:cs="Times New Roman"/>
          <w:sz w:val="32"/>
          <w:szCs w:val="32"/>
          <w:lang w:val="en-US" w:eastAsia="zh-CN"/>
        </w:rPr>
        <w:t>聚焦招商重点目标任务，定期召开调度会，解决重点项目推进过程中的难点、堵点。建立健全招商快报制度，重点对各招商组、驻外招商中心协议签订、重点项目跟踪洽谈、信息报送等工作完成情况进行通报，充分调动全区各部门、单位的招商积极性、主动性，确保全区招商引资工作顺利推进。</w:t>
      </w:r>
      <w:r>
        <w:rPr>
          <w:rFonts w:hint="default" w:ascii="Times New Roman" w:hAnsi="Times New Roman" w:eastAsia="仿宋_GB2312" w:cs="Times New Roman"/>
          <w:b/>
          <w:bCs/>
          <w:sz w:val="32"/>
          <w:szCs w:val="32"/>
          <w:lang w:val="en-US" w:eastAsia="zh-CN"/>
        </w:rPr>
        <w:t>规范工作流程。</w:t>
      </w:r>
      <w:r>
        <w:rPr>
          <w:rFonts w:hint="default" w:ascii="Times New Roman" w:hAnsi="Times New Roman" w:eastAsia="仿宋_GB2312" w:cs="Times New Roman"/>
          <w:b w:val="0"/>
          <w:bCs w:val="0"/>
          <w:sz w:val="32"/>
          <w:szCs w:val="32"/>
          <w:lang w:val="en-US" w:eastAsia="zh-CN"/>
        </w:rPr>
        <w:t>出台《招商引资项目推进签约工作机制》，</w:t>
      </w:r>
      <w:r>
        <w:rPr>
          <w:rFonts w:hint="default" w:ascii="Times New Roman" w:hAnsi="Times New Roman" w:eastAsia="仿宋_GB2312" w:cs="Times New Roman"/>
          <w:sz w:val="32"/>
          <w:szCs w:val="32"/>
          <w:lang w:val="en-US" w:eastAsia="zh-CN"/>
        </w:rPr>
        <w:t>规范畅通招商工作流程，有效破解信息获取、洽谈对接、引进落地过程中遇到的要素瓶颈，推动项目早落地、早见效。建立</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sz w:val="32"/>
          <w:szCs w:val="32"/>
          <w:lang w:val="en-US" w:eastAsia="zh-CN"/>
        </w:rPr>
        <w:t>分类分层谈判签约机制</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sz w:val="32"/>
          <w:szCs w:val="32"/>
          <w:lang w:val="en-US" w:eastAsia="zh-CN"/>
        </w:rPr>
        <w:t>，督促载体单位对拟合作项目，依法依规开展项目研判、尽职调查、风险评估、项目预审、项目决策等程序，优化签约环节，切实提高招引项目质量。</w:t>
      </w:r>
      <w:r>
        <w:rPr>
          <w:rFonts w:hint="default" w:ascii="Times New Roman" w:hAnsi="Times New Roman" w:eastAsia="仿宋_GB2312" w:cs="Times New Roman"/>
          <w:b/>
          <w:bCs/>
          <w:sz w:val="32"/>
          <w:szCs w:val="32"/>
          <w:lang w:val="en-US" w:eastAsia="zh-CN"/>
        </w:rPr>
        <w:t>加大走访力度。</w:t>
      </w:r>
      <w:r>
        <w:rPr>
          <w:rFonts w:hint="default" w:ascii="Times New Roman" w:hAnsi="Times New Roman" w:eastAsia="仿宋_GB2312" w:cs="Times New Roman"/>
          <w:b w:val="0"/>
          <w:bCs w:val="0"/>
          <w:sz w:val="32"/>
          <w:szCs w:val="32"/>
          <w:lang w:val="en-US" w:eastAsia="zh-CN"/>
        </w:rPr>
        <w:t>制定走访企业计划表，深入园区在建或已投产企业实地走访调研，了解企业建设经营情况，及时为企业排忧解难</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val="0"/>
          <w:bCs w:val="0"/>
          <w:sz w:val="32"/>
          <w:szCs w:val="32"/>
          <w:lang w:val="en-US" w:eastAsia="zh-CN"/>
        </w:rPr>
        <w:t>2023年走访企业活动共开展20余次，走访企业50余家，收集反馈问题35个，目前已解决28个，切实推动营商环境不断优化改进。</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caps w:val="0"/>
          <w:color w:val="auto"/>
          <w:spacing w:val="0"/>
          <w:w w:val="100"/>
          <w:sz w:val="32"/>
          <w:szCs w:val="32"/>
          <w:lang w:val="en-US" w:eastAsia="zh-CN"/>
        </w:rPr>
      </w:pPr>
      <w:r>
        <w:rPr>
          <w:rFonts w:hint="default" w:ascii="Times New Roman" w:hAnsi="Times New Roman" w:eastAsia="仿宋_GB2312" w:cs="Times New Roman"/>
          <w:b w:val="0"/>
          <w:bCs w:val="0"/>
          <w:i w:val="0"/>
          <w:caps w:val="0"/>
          <w:color w:val="auto"/>
          <w:spacing w:val="0"/>
          <w:w w:val="100"/>
          <w:sz w:val="32"/>
          <w:szCs w:val="32"/>
          <w:lang w:val="en-US" w:eastAsia="zh-CN"/>
        </w:rPr>
        <w:t>资金投入和使用情况：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val="0"/>
          <w:bCs w:val="0"/>
          <w:i w:val="0"/>
          <w:caps w:val="0"/>
          <w:color w:val="auto"/>
          <w:spacing w:val="0"/>
          <w:w w:val="100"/>
          <w:sz w:val="32"/>
          <w:szCs w:val="32"/>
          <w:lang w:val="en-US" w:eastAsia="zh-CN"/>
        </w:rPr>
        <w:t>2023年招商引资工作经费区级年初预算17.8万元，</w:t>
      </w:r>
      <w:r>
        <w:rPr>
          <w:rFonts w:hint="default" w:ascii="Times New Roman" w:hAnsi="Times New Roman" w:eastAsia="仿宋_GB2312" w:cs="Times New Roman"/>
          <w:kern w:val="2"/>
          <w:sz w:val="32"/>
          <w:szCs w:val="32"/>
          <w:lang w:val="en-US" w:eastAsia="zh-CN" w:bidi="ar-SA"/>
        </w:rPr>
        <w:t>全年实际执行数为182.77万元，执行率100%。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caps w:val="0"/>
          <w:color w:val="auto"/>
          <w:spacing w:val="0"/>
          <w:w w:val="100"/>
          <w:kern w:val="2"/>
          <w:sz w:val="32"/>
          <w:szCs w:val="32"/>
          <w:lang w:val="en-US" w:eastAsia="zh-CN" w:bidi="ar-SA"/>
        </w:rPr>
      </w:pPr>
      <w:r>
        <w:rPr>
          <w:rFonts w:hint="default" w:ascii="Times New Roman" w:hAnsi="Times New Roman" w:eastAsia="仿宋_GB2312" w:cs="Times New Roman"/>
          <w:b w:val="0"/>
          <w:bCs w:val="0"/>
          <w:i w:val="0"/>
          <w:caps w:val="0"/>
          <w:color w:val="auto"/>
          <w:spacing w:val="0"/>
          <w:w w:val="100"/>
          <w:kern w:val="2"/>
          <w:sz w:val="32"/>
          <w:szCs w:val="32"/>
          <w:lang w:val="en-US" w:eastAsia="zh-CN" w:bidi="ar-SA"/>
        </w:rPr>
        <w:t xml:space="preserve">（二）项目绩效目标  </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rPr>
        <w:t>全</w:t>
      </w:r>
      <w:r>
        <w:rPr>
          <w:rFonts w:hint="default" w:ascii="Times New Roman" w:hAnsi="Times New Roman" w:eastAsia="仿宋_GB2312" w:cs="Times New Roman"/>
          <w:color w:val="auto"/>
          <w:sz w:val="32"/>
          <w:szCs w:val="32"/>
          <w:lang w:val="en-US" w:eastAsia="zh-CN"/>
        </w:rPr>
        <w:t>区</w:t>
      </w:r>
      <w:r>
        <w:rPr>
          <w:rFonts w:hint="default" w:ascii="Times New Roman" w:hAnsi="Times New Roman" w:eastAsia="仿宋_GB2312" w:cs="Times New Roman"/>
          <w:color w:val="auto"/>
          <w:sz w:val="32"/>
          <w:szCs w:val="32"/>
        </w:rPr>
        <w:t>招商引资工作的主要目标任务是：签约亿元以上项目117个，新开工亿元以上项目79个，力争50亿元以上项目实现突破，拉动制造业投资增长38.8个百分点。努力开创招商引资工作新局面，为奋力谱写中国式现代化相山新篇章作出新的更大贡献！</w:t>
      </w:r>
    </w:p>
    <w:p>
      <w:pPr>
        <w:pStyle w:val="5"/>
        <w:keepNext w:val="0"/>
        <w:keepLines w:val="0"/>
        <w:pageBreakBefore w:val="0"/>
        <w:widowControl w:val="0"/>
        <w:kinsoku/>
        <w:wordWrap/>
        <w:overflowPunct/>
        <w:topLinePunct w:val="0"/>
        <w:autoSpaceDE/>
        <w:autoSpaceDN/>
        <w:bidi w:val="0"/>
        <w:adjustRightInd/>
        <w:snapToGrid/>
        <w:spacing w:before="149" w:line="560" w:lineRule="exact"/>
        <w:ind w:left="751"/>
        <w:textAlignment w:val="auto"/>
        <w:rPr>
          <w:rFonts w:hint="default" w:ascii="Times New Roman" w:hAnsi="Times New Roman" w:cs="Times New Roman"/>
        </w:rPr>
      </w:pPr>
      <w:r>
        <w:rPr>
          <w:rFonts w:hint="default" w:ascii="Times New Roman" w:hAnsi="Times New Roman" w:eastAsia="黑体" w:cs="Times New Roman"/>
        </w:rPr>
        <w:t>二、绩效评价工作开展情况</w:t>
      </w:r>
    </w:p>
    <w:p>
      <w:pPr>
        <w:pStyle w:val="5"/>
        <w:keepNext w:val="0"/>
        <w:keepLines w:val="0"/>
        <w:pageBreakBefore w:val="0"/>
        <w:widowControl w:val="0"/>
        <w:kinsoku/>
        <w:wordWrap/>
        <w:overflowPunct/>
        <w:topLinePunct w:val="0"/>
        <w:autoSpaceDE/>
        <w:autoSpaceDN/>
        <w:bidi w:val="0"/>
        <w:adjustRightInd/>
        <w:snapToGrid/>
        <w:spacing w:before="149"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（一）绩效评价目的、对象和范围。</w:t>
      </w:r>
    </w:p>
    <w:p>
      <w:pPr>
        <w:pStyle w:val="5"/>
        <w:keepNext w:val="0"/>
        <w:keepLines w:val="0"/>
        <w:pageBreakBefore w:val="0"/>
        <w:widowControl w:val="0"/>
        <w:kinsoku/>
        <w:wordWrap/>
        <w:overflowPunct/>
        <w:topLinePunct w:val="0"/>
        <w:autoSpaceDE/>
        <w:autoSpaceDN/>
        <w:bidi w:val="0"/>
        <w:adjustRightInd/>
        <w:snapToGrid/>
        <w:spacing w:before="149"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为保障招商引资业务正常开展，费用支出及时，针对本单位2023年招商引资工作预算执行情况进行绩效评价。</w:t>
      </w:r>
    </w:p>
    <w:p>
      <w:pPr>
        <w:pStyle w:val="5"/>
        <w:keepNext w:val="0"/>
        <w:keepLines w:val="0"/>
        <w:pageBreakBefore w:val="0"/>
        <w:widowControl w:val="0"/>
        <w:kinsoku/>
        <w:wordWrap/>
        <w:overflowPunct/>
        <w:topLinePunct w:val="0"/>
        <w:autoSpaceDE/>
        <w:autoSpaceDN/>
        <w:bidi w:val="0"/>
        <w:adjustRightInd/>
        <w:snapToGrid/>
        <w:spacing w:before="149"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（二）绩效评价原则、评价指标体系、评价方法、评价标准等。</w:t>
      </w:r>
    </w:p>
    <w:p>
      <w:pPr>
        <w:pStyle w:val="5"/>
        <w:keepNext w:val="0"/>
        <w:keepLines w:val="0"/>
        <w:pageBreakBefore w:val="0"/>
        <w:widowControl w:val="0"/>
        <w:kinsoku/>
        <w:wordWrap/>
        <w:overflowPunct/>
        <w:topLinePunct w:val="0"/>
        <w:autoSpaceDE/>
        <w:autoSpaceDN/>
        <w:bidi w:val="0"/>
        <w:adjustRightInd/>
        <w:snapToGrid/>
        <w:spacing w:before="3" w:line="560" w:lineRule="exact"/>
        <w:ind w:left="751"/>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招商引资工作项目支出绩效评价严格按照</w:t>
      </w: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"javascript:void(0);"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淮北市招商引资工作领导小组关于印发《淮北市2023年度招商引资工作考核办法》、</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相山区招商引资工作领导小组关于印发《2023年度相山区招商引资工作考核办法》执行。</w:t>
      </w:r>
    </w:p>
    <w:p>
      <w:pPr>
        <w:pStyle w:val="5"/>
        <w:keepNext w:val="0"/>
        <w:keepLines w:val="0"/>
        <w:pageBreakBefore w:val="0"/>
        <w:widowControl w:val="0"/>
        <w:kinsoku/>
        <w:wordWrap/>
        <w:overflowPunct/>
        <w:topLinePunct w:val="0"/>
        <w:autoSpaceDE/>
        <w:autoSpaceDN/>
        <w:bidi w:val="0"/>
        <w:adjustRightInd/>
        <w:snapToGrid/>
        <w:spacing w:before="3" w:line="560" w:lineRule="exact"/>
        <w:ind w:left="751"/>
        <w:textAlignment w:val="auto"/>
        <w:rPr>
          <w:rFonts w:hint="default" w:ascii="Times New Roman" w:hAnsi="Times New Roman" w:cs="Times New Roman"/>
        </w:rPr>
      </w:pPr>
      <w:r>
        <w:rPr>
          <w:rFonts w:hint="default" w:ascii="Times New Roman" w:hAnsi="Times New Roman" w:cs="Times New Roman"/>
        </w:rPr>
        <w:t>（三）绩效评价工作过程。</w:t>
      </w:r>
    </w:p>
    <w:p>
      <w:pPr>
        <w:pStyle w:val="5"/>
        <w:keepNext w:val="0"/>
        <w:keepLines w:val="0"/>
        <w:pageBreakBefore w:val="0"/>
        <w:widowControl w:val="0"/>
        <w:kinsoku/>
        <w:wordWrap/>
        <w:overflowPunct/>
        <w:topLinePunct w:val="0"/>
        <w:autoSpaceDE/>
        <w:autoSpaceDN/>
        <w:bidi w:val="0"/>
        <w:adjustRightInd/>
        <w:snapToGrid/>
        <w:spacing w:before="149"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由办公室承担对招商引资工作中心绩效完成情况进行自评并编制绩效报告；财务室对该绩效目标完成情况进行初步审核，按照有关规定组织绩效评价，编写绩效评价报告。</w:t>
      </w:r>
    </w:p>
    <w:p>
      <w:pPr>
        <w:pStyle w:val="5"/>
        <w:keepNext w:val="0"/>
        <w:keepLines w:val="0"/>
        <w:pageBreakBefore w:val="0"/>
        <w:widowControl w:val="0"/>
        <w:kinsoku/>
        <w:wordWrap/>
        <w:overflowPunct/>
        <w:topLinePunct w:val="0"/>
        <w:autoSpaceDE/>
        <w:autoSpaceDN/>
        <w:bidi w:val="0"/>
        <w:adjustRightInd/>
        <w:snapToGrid/>
        <w:spacing w:before="151" w:line="560" w:lineRule="exact"/>
        <w:ind w:left="751" w:right="1534"/>
        <w:textAlignment w:val="auto"/>
        <w:rPr>
          <w:rFonts w:hint="default" w:ascii="Times New Roman" w:hAnsi="Times New Roman" w:cs="Times New Roman"/>
        </w:rPr>
      </w:pPr>
      <w:r>
        <w:rPr>
          <w:rFonts w:hint="default" w:ascii="Times New Roman" w:hAnsi="Times New Roman" w:eastAsia="黑体" w:cs="Times New Roman"/>
        </w:rPr>
        <w:t>三、综合评价情况及评价结论</w:t>
      </w:r>
    </w:p>
    <w:p>
      <w:pPr>
        <w:pStyle w:val="5"/>
        <w:keepNext w:val="0"/>
        <w:keepLines w:val="0"/>
        <w:pageBreakBefore w:val="0"/>
        <w:widowControl w:val="0"/>
        <w:kinsoku/>
        <w:wordWrap/>
        <w:overflowPunct/>
        <w:topLinePunct w:val="0"/>
        <w:autoSpaceDE/>
        <w:autoSpaceDN/>
        <w:bidi w:val="0"/>
        <w:adjustRightInd/>
        <w:snapToGrid/>
        <w:spacing w:before="149"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根据综合评价结果得评价结论，评价等级：优</w:t>
      </w:r>
    </w:p>
    <w:p>
      <w:pPr>
        <w:pStyle w:val="5"/>
        <w:keepNext w:val="0"/>
        <w:keepLines w:val="0"/>
        <w:pageBreakBefore w:val="0"/>
        <w:widowControl w:val="0"/>
        <w:numPr>
          <w:ilvl w:val="0"/>
          <w:numId w:val="2"/>
        </w:numPr>
        <w:kinsoku/>
        <w:wordWrap/>
        <w:overflowPunct/>
        <w:topLinePunct w:val="0"/>
        <w:autoSpaceDE/>
        <w:autoSpaceDN/>
        <w:bidi w:val="0"/>
        <w:adjustRightInd/>
        <w:snapToGrid/>
        <w:spacing w:before="149" w:line="560" w:lineRule="exact"/>
        <w:ind w:left="800" w:leftChars="0" w:firstLine="0" w:firstLineChars="0"/>
        <w:textAlignment w:val="auto"/>
        <w:rPr>
          <w:rFonts w:hint="default" w:ascii="Times New Roman" w:hAnsi="Times New Roman" w:eastAsia="黑体" w:cs="Times New Roman"/>
        </w:rPr>
      </w:pPr>
      <w:r>
        <w:rPr>
          <w:rFonts w:hint="default" w:ascii="Times New Roman" w:hAnsi="Times New Roman" w:eastAsia="黑体" w:cs="Times New Roman"/>
        </w:rPr>
        <w:t>绩效评价指标分析</w:t>
      </w:r>
    </w:p>
    <w:p>
      <w:pPr>
        <w:pStyle w:val="5"/>
        <w:keepNext w:val="0"/>
        <w:keepLines w:val="0"/>
        <w:pageBreakBefore w:val="0"/>
        <w:widowControl w:val="0"/>
        <w:numPr>
          <w:ilvl w:val="0"/>
          <w:numId w:val="3"/>
        </w:numPr>
        <w:kinsoku/>
        <w:wordWrap/>
        <w:overflowPunct/>
        <w:topLinePunct w:val="0"/>
        <w:autoSpaceDE/>
        <w:autoSpaceDN/>
        <w:bidi w:val="0"/>
        <w:adjustRightInd/>
        <w:snapToGrid/>
        <w:spacing w:before="149" w:line="560" w:lineRule="exact"/>
        <w:ind w:left="800" w:leftChars="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项目决策情况</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149" w:line="560" w:lineRule="exac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 xml:space="preserve">      项目经费支出按</w:t>
      </w:r>
      <w:r>
        <w:rPr>
          <w:rFonts w:hint="default" w:ascii="Times New Roman" w:hAnsi="Times New Roman" w:cs="Times New Roman"/>
          <w:lang w:val="en-US" w:eastAsia="zh-CN"/>
        </w:rPr>
        <w:t>照</w:t>
      </w:r>
      <w:r>
        <w:rPr>
          <w:rFonts w:hint="default" w:ascii="Times New Roman" w:hAnsi="Times New Roman" w:eastAsia="仿宋_GB2312" w:cs="Times New Roman"/>
          <w:lang w:val="en-US" w:eastAsia="zh-CN"/>
        </w:rPr>
        <w:t>财务</w:t>
      </w:r>
      <w:r>
        <w:rPr>
          <w:rFonts w:hint="default" w:ascii="Times New Roman" w:hAnsi="Times New Roman" w:cs="Times New Roman"/>
          <w:lang w:val="en-US" w:eastAsia="zh-CN"/>
        </w:rPr>
        <w:t>管理</w:t>
      </w:r>
      <w:r>
        <w:rPr>
          <w:rFonts w:hint="default" w:ascii="Times New Roman" w:hAnsi="Times New Roman" w:eastAsia="仿宋_GB2312" w:cs="Times New Roman"/>
          <w:lang w:val="en-US" w:eastAsia="zh-CN"/>
        </w:rPr>
        <w:t>规定，根据金额大小进行先审批后支出，金额超过500元的需通过局长办公会研究才能支付。</w:t>
      </w:r>
    </w:p>
    <w:p>
      <w:pPr>
        <w:pStyle w:val="5"/>
        <w:keepNext w:val="0"/>
        <w:keepLines w:val="0"/>
        <w:pageBreakBefore w:val="0"/>
        <w:widowControl w:val="0"/>
        <w:numPr>
          <w:ilvl w:val="0"/>
          <w:numId w:val="3"/>
        </w:numPr>
        <w:kinsoku/>
        <w:wordWrap/>
        <w:overflowPunct/>
        <w:topLinePunct w:val="0"/>
        <w:autoSpaceDE/>
        <w:autoSpaceDN/>
        <w:bidi w:val="0"/>
        <w:adjustRightInd/>
        <w:snapToGrid/>
        <w:spacing w:before="149" w:line="560" w:lineRule="exact"/>
        <w:ind w:left="800" w:leftChars="0" w:firstLine="0" w:firstLineChars="0"/>
        <w:textAlignment w:val="auto"/>
        <w:rPr>
          <w:rFonts w:hint="default" w:ascii="Times New Roman" w:hAnsi="Times New Roman" w:cs="Times New Roman"/>
          <w:w w:val="95"/>
        </w:rPr>
      </w:pPr>
      <w:r>
        <w:rPr>
          <w:rFonts w:hint="default" w:ascii="Times New Roman" w:hAnsi="Times New Roman" w:cs="Times New Roman"/>
          <w:w w:val="95"/>
        </w:rPr>
        <w:t>项目过程情况。</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149" w:line="560" w:lineRule="exact"/>
        <w:ind w:left="0" w:leftChars="0" w:firstLine="799" w:firstLineChars="263"/>
        <w:textAlignment w:val="auto"/>
        <w:rPr>
          <w:rFonts w:hint="default" w:ascii="Times New Roman" w:hAnsi="Times New Roman" w:cs="Times New Roman"/>
          <w:w w:val="95"/>
          <w:lang w:val="en-US" w:eastAsia="zh-CN"/>
        </w:rPr>
      </w:pPr>
      <w:r>
        <w:rPr>
          <w:rFonts w:hint="default" w:ascii="Times New Roman" w:hAnsi="Times New Roman" w:cs="Times New Roman"/>
          <w:w w:val="95"/>
          <w:lang w:val="en-US" w:eastAsia="zh-CN"/>
        </w:rPr>
        <w:t xml:space="preserve"> 项目目标设定依据充分、合理；项目建设符合区委、区政府及上级部门相关规定；实现项目与过程管理有机结合。</w:t>
      </w:r>
    </w:p>
    <w:p>
      <w:pPr>
        <w:pStyle w:val="5"/>
        <w:keepNext w:val="0"/>
        <w:keepLines w:val="0"/>
        <w:pageBreakBefore w:val="0"/>
        <w:widowControl w:val="0"/>
        <w:numPr>
          <w:ilvl w:val="0"/>
          <w:numId w:val="3"/>
        </w:numPr>
        <w:kinsoku/>
        <w:wordWrap/>
        <w:overflowPunct/>
        <w:topLinePunct w:val="0"/>
        <w:autoSpaceDE/>
        <w:autoSpaceDN/>
        <w:bidi w:val="0"/>
        <w:adjustRightInd/>
        <w:snapToGrid/>
        <w:spacing w:before="149" w:line="560" w:lineRule="exact"/>
        <w:ind w:left="800" w:leftChars="0" w:firstLine="0" w:firstLineChars="0"/>
        <w:textAlignment w:val="auto"/>
        <w:rPr>
          <w:rFonts w:hint="default" w:ascii="Times New Roman" w:hAnsi="Times New Roman" w:cs="Times New Roman"/>
          <w:w w:val="95"/>
        </w:rPr>
      </w:pPr>
      <w:r>
        <w:rPr>
          <w:rFonts w:hint="default" w:ascii="Times New Roman" w:hAnsi="Times New Roman" w:cs="Times New Roman"/>
          <w:w w:val="95"/>
        </w:rPr>
        <w:t>项目产出情况。</w:t>
      </w:r>
    </w:p>
    <w:p>
      <w:pPr>
        <w:pStyle w:val="1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Times New Roman" w:hAnsi="Times New Roman" w:cs="Times New Roman"/>
          <w:w w:val="95"/>
        </w:rPr>
      </w:pP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2023</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年</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通过以商招商引进了“肆季良品”等28个项目，占招商工业项目个数80%以上，形</w:t>
      </w:r>
      <w:r>
        <w:rPr>
          <w:rFonts w:hint="default" w:ascii="Times New Roman" w:hAnsi="Times New Roman" w:eastAsia="仿宋_GB2312" w:cs="Times New Roman"/>
          <w:sz w:val="32"/>
          <w:szCs w:val="32"/>
        </w:rPr>
        <w:t>成“引进一个、带来一批、辐射一片”的连锁效应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提升产业整体竞争力。</w:t>
      </w:r>
      <w:r>
        <w:rPr>
          <w:rFonts w:hint="default" w:ascii="Times New Roman" w:hAnsi="Times New Roman" w:eastAsia="仿宋_GB2312" w:cs="Times New Roman"/>
          <w:b w:val="0"/>
          <w:bCs w:val="0"/>
          <w:sz w:val="32"/>
          <w:szCs w:val="32"/>
          <w:lang w:val="en-US" w:eastAsia="zh-CN"/>
        </w:rPr>
        <w:t>2023年走访企业活动共开展20余次，走访企业50余家，收集反馈问题35个，目前已解决28个，切实推动营商环境不断优化改进。</w:t>
      </w:r>
    </w:p>
    <w:p>
      <w:pPr>
        <w:pStyle w:val="5"/>
        <w:keepNext w:val="0"/>
        <w:keepLines w:val="0"/>
        <w:pageBreakBefore w:val="0"/>
        <w:widowControl w:val="0"/>
        <w:kinsoku/>
        <w:wordWrap/>
        <w:overflowPunct/>
        <w:topLinePunct w:val="0"/>
        <w:autoSpaceDE/>
        <w:autoSpaceDN/>
        <w:bidi w:val="0"/>
        <w:adjustRightInd/>
        <w:snapToGrid/>
        <w:spacing w:before="150" w:line="560" w:lineRule="exact"/>
        <w:ind w:firstLine="608" w:firstLineChars="200"/>
        <w:textAlignment w:val="auto"/>
        <w:outlineLvl w:val="9"/>
        <w:rPr>
          <w:rFonts w:hint="default" w:ascii="Times New Roman" w:hAnsi="Times New Roman" w:cs="Times New Roman"/>
          <w:b w:val="0"/>
          <w:bCs w:val="0"/>
          <w:i w:val="0"/>
          <w:caps w:val="0"/>
          <w:color w:val="auto"/>
          <w:spacing w:val="0"/>
          <w:w w:val="100"/>
          <w:sz w:val="32"/>
          <w:szCs w:val="32"/>
          <w:lang w:val="en-US" w:eastAsia="zh-CN"/>
        </w:rPr>
      </w:pPr>
      <w:r>
        <w:rPr>
          <w:rFonts w:hint="default" w:ascii="Times New Roman" w:hAnsi="Times New Roman" w:cs="Times New Roman"/>
          <w:w w:val="95"/>
        </w:rPr>
        <w:t>（四）项目效益情况。</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149" w:line="560" w:lineRule="exact"/>
        <w:ind w:left="0" w:leftChars="0" w:firstLine="640" w:firstLineChars="2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全</w:t>
      </w:r>
      <w:r>
        <w:rPr>
          <w:rFonts w:hint="default" w:ascii="Times New Roman" w:hAnsi="Times New Roman" w:eastAsia="仿宋_GB2312" w:cs="Times New Roman"/>
          <w:color w:val="000000"/>
          <w:sz w:val="32"/>
          <w:szCs w:val="32"/>
          <w:lang w:eastAsia="zh-CN"/>
        </w:rPr>
        <w:t>区</w:t>
      </w:r>
      <w:r>
        <w:rPr>
          <w:rFonts w:hint="default" w:ascii="Times New Roman" w:hAnsi="Times New Roman" w:eastAsia="仿宋_GB2312" w:cs="Times New Roman"/>
          <w:color w:val="000000"/>
          <w:sz w:val="32"/>
          <w:szCs w:val="32"/>
        </w:rPr>
        <w:t>招商引资呈现出总量扩大、效益凸显、整体提升的良好态势。</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149" w:line="560" w:lineRule="exact"/>
        <w:ind w:left="0" w:leftChars="0" w:firstLine="608" w:firstLineChars="200"/>
        <w:textAlignment w:val="auto"/>
        <w:outlineLvl w:val="9"/>
        <w:rPr>
          <w:rFonts w:hint="default" w:ascii="Times New Roman" w:hAnsi="Times New Roman" w:eastAsia="黑体" w:cs="Times New Roman"/>
          <w:w w:val="95"/>
          <w:lang w:val="en-US" w:eastAsia="zh-CN"/>
        </w:rPr>
      </w:pPr>
      <w:r>
        <w:rPr>
          <w:rFonts w:hint="default" w:ascii="Times New Roman" w:hAnsi="Times New Roman" w:eastAsia="黑体" w:cs="Times New Roman"/>
          <w:w w:val="95"/>
          <w:lang w:val="en-US" w:eastAsia="zh-CN"/>
        </w:rPr>
        <w:t>五、存在问题及原因分析</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149" w:line="560" w:lineRule="exact"/>
        <w:ind w:left="0" w:leftChars="0" w:firstLine="640" w:firstLineChars="200"/>
        <w:textAlignment w:val="auto"/>
        <w:outlineLvl w:val="9"/>
        <w:rPr>
          <w:rFonts w:hint="default" w:ascii="Times New Roman" w:hAnsi="Times New Roman" w:cs="Times New Roman"/>
          <w:w w:val="100"/>
          <w:lang w:val="en-US" w:eastAsia="zh-CN"/>
        </w:rPr>
      </w:pPr>
      <w:r>
        <w:rPr>
          <w:rFonts w:hint="default" w:ascii="Times New Roman" w:hAnsi="Times New Roman" w:cs="Times New Roman"/>
          <w:w w:val="100"/>
          <w:lang w:val="en-US" w:eastAsia="zh-CN"/>
        </w:rPr>
        <w:t xml:space="preserve">1. 绩效目标设定不够科学，预算编制不够精确，预算编制绩效导向性有待加强。 </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cs="Times New Roman"/>
          <w:w w:val="100"/>
          <w:lang w:val="en-US" w:eastAsia="zh-CN"/>
        </w:rPr>
      </w:pPr>
      <w:r>
        <w:rPr>
          <w:rFonts w:hint="default" w:ascii="Times New Roman" w:hAnsi="Times New Roman" w:cs="Times New Roman"/>
          <w:w w:val="100"/>
          <w:lang w:val="en-US" w:eastAsia="zh-CN"/>
        </w:rPr>
        <w:t>2. 绩效目标设置不够具体明确，预算编制绩效导向性有待加强。项目的监督管理责任意识还需进一步加强，需要进一步加强对项目的使用过程中的合规性、问题解决反馈 的及时性等过程绩效的重视。</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黑体" w:cs="Times New Roman"/>
          <w:b w:val="0"/>
          <w:bCs w:val="0"/>
          <w:w w:val="100"/>
          <w:lang w:val="en-US" w:eastAsia="zh-CN"/>
        </w:rPr>
      </w:pPr>
      <w:r>
        <w:rPr>
          <w:rFonts w:hint="default" w:ascii="Times New Roman" w:hAnsi="Times New Roman" w:eastAsia="黑体" w:cs="Times New Roman"/>
          <w:b w:val="0"/>
          <w:bCs w:val="0"/>
          <w:w w:val="100"/>
          <w:lang w:val="en-US" w:eastAsia="zh-CN"/>
        </w:rPr>
        <w:t>六、下一步工作打算和整改措施</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cs="Times New Roman"/>
          <w:w w:val="100"/>
          <w:lang w:val="en-US" w:eastAsia="zh-CN"/>
        </w:rPr>
      </w:pPr>
      <w:r>
        <w:rPr>
          <w:rFonts w:hint="default" w:ascii="Times New Roman" w:hAnsi="Times New Roman" w:cs="Times New Roman"/>
          <w:w w:val="100"/>
          <w:lang w:val="en-US" w:eastAsia="zh-CN"/>
        </w:rPr>
        <w:t>1、细化预算工作，认真做好项目预算。进一步加强内部机构的预算管理意识，严格按照预算的相关制度和要求，本着“勤俭节约，保障运转”的原则进行预算；尽可能的全面不漏项，进一步提高预算的科学性、合理性、严谨性和可控性。</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cs="Times New Roman"/>
          <w:w w:val="100"/>
          <w:lang w:val="en-US" w:eastAsia="zh-CN"/>
        </w:rPr>
      </w:pPr>
      <w:r>
        <w:rPr>
          <w:rFonts w:hint="default" w:ascii="Times New Roman" w:hAnsi="Times New Roman" w:cs="Times New Roman"/>
          <w:w w:val="100"/>
          <w:lang w:val="en-US" w:eastAsia="zh-CN"/>
        </w:rPr>
        <w:t>2、在日常项目预算管理中，进一步加强项目预算概念的宣传以及预算执行情况分析，通过加强预算收支管理，不断建立健全内部管理制度， 梳理内部管理流程，部门整体支出管理情况得到提升。</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黑体" w:cs="Times New Roman"/>
          <w:w w:val="100"/>
          <w:lang w:val="en-US" w:eastAsia="zh-CN"/>
        </w:rPr>
      </w:pPr>
      <w:r>
        <w:rPr>
          <w:rFonts w:hint="default" w:ascii="Times New Roman" w:hAnsi="Times New Roman" w:eastAsia="黑体" w:cs="Times New Roman"/>
          <w:w w:val="100"/>
          <w:lang w:val="en-US" w:eastAsia="zh-CN"/>
        </w:rPr>
        <w:t>七、绩效自评结果拟应用和公开情况</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cs="Times New Roman"/>
          <w:w w:val="100"/>
          <w:lang w:val="en-US" w:eastAsia="zh-CN"/>
        </w:rPr>
        <w:sectPr>
          <w:footerReference r:id="rId3" w:type="default"/>
          <w:pgSz w:w="11911" w:h="16838"/>
          <w:pgMar w:top="1582" w:right="1417" w:bottom="1582" w:left="1480" w:header="0" w:footer="1383" w:gutter="0"/>
          <w:pgNumType w:fmt="decimal" w:start="1"/>
          <w:cols w:space="0" w:num="1"/>
          <w:rtlGutter w:val="0"/>
          <w:docGrid w:linePitch="0" w:charSpace="0"/>
        </w:sectPr>
      </w:pPr>
      <w:r>
        <w:rPr>
          <w:rFonts w:hint="default" w:ascii="Times New Roman" w:hAnsi="Times New Roman" w:cs="Times New Roman"/>
          <w:w w:val="100"/>
          <w:lang w:val="en-US" w:eastAsia="zh-CN"/>
        </w:rPr>
        <w:t>项目绩效自评结果100分，较好地完成了年初预算规划的各项工作，履行了各项职责，达到了年初绩效目标所设立的主要目标。并且及时在相山区政务服务平台公开。</w:t>
      </w:r>
    </w:p>
    <w:p>
      <w:pPr>
        <w:pStyle w:val="5"/>
        <w:keepNext w:val="0"/>
        <w:keepLines w:val="0"/>
        <w:pageBreakBefore w:val="0"/>
        <w:widowControl w:val="0"/>
        <w:kinsoku/>
        <w:wordWrap/>
        <w:overflowPunct/>
        <w:topLinePunct w:val="0"/>
        <w:autoSpaceDE/>
        <w:autoSpaceDN/>
        <w:bidi w:val="0"/>
        <w:adjustRightInd/>
        <w:snapToGrid/>
        <w:spacing w:before="150" w:line="560" w:lineRule="exact"/>
        <w:ind w:left="751"/>
        <w:textAlignment w:val="auto"/>
        <w:rPr>
          <w:rFonts w:hint="default" w:ascii="Times New Roman" w:hAnsi="Times New Roman" w:cs="Times New Roman"/>
          <w:w w:val="95"/>
          <w:lang w:val="en-US" w:eastAsia="zh-CN"/>
        </w:rPr>
      </w:pPr>
    </w:p>
    <w:sectPr>
      <w:footerReference r:id="rId4" w:type="default"/>
      <w:pgSz w:w="11906" w:h="16838"/>
      <w:pgMar w:top="1440" w:right="1486" w:bottom="1440" w:left="16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507"/>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posOffset>2791460</wp:posOffset>
              </wp:positionH>
              <wp:positionV relativeFrom="paragraph">
                <wp:posOffset>0</wp:posOffset>
              </wp:positionV>
              <wp:extent cx="121920" cy="16891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21920" cy="168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9.8pt;margin-top:0pt;height:13.3pt;width:9.6pt;mso-position-horizontal-relative:margin;z-index:251661312;mso-width-relative:page;mso-height-relative:page;" filled="f" stroked="f" coordsize="21600,21600" o:gfxdata="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Aig/WAAAABwEAAA8A&#10;AAAAAAAAAQAgAAAAIgAAAGRycy9kb3ducmV2LnhtbFBLAQIUABQAAAAIAIdO4kA+76T9GQIAABME&#10;AAAOAAAAAAAAAAEAIAAAACUBAABkcnMvZTJvRG9jLnhtbFBLBQYAAAAABgAGAFkBAACwBQAAAAA=&#10;">
              <v:fill on="f" focussize="0,0"/>
              <v:stroke on="f" weight="0.5pt"/>
              <v:imagedata o:title=""/>
              <o:lock v:ext="edit" aspectratio="f"/>
              <v:textbox inset="0mm,0mm,0mm,0mm">
                <w:txbxContent>
                  <w:p>
                    <w:pPr>
                      <w:rPr>
                        <w:rFonts w:hint="eastAsia"/>
                        <w:lang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val="en-US" w:eastAsia="zh-CN"/>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val="en-US" w:eastAsia="zh-CN"/>
                      </w:rPr>
                      <w:t>1</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3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6828790</wp:posOffset>
              </wp:positionV>
              <wp:extent cx="381000" cy="2032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81000" cy="203200"/>
                      </a:xfrm>
                      <a:prstGeom prst="rect">
                        <a:avLst/>
                      </a:prstGeom>
                      <a:noFill/>
                      <a:ln>
                        <a:noFill/>
                      </a:ln>
                    </wps:spPr>
                    <wps:txbx>
                      <w:txbxContent>
                        <w:p>
                          <w:pPr>
                            <w:spacing w:before="0" w:line="320" w:lineRule="exact"/>
                            <w:ind w:right="0"/>
                            <w:jc w:val="left"/>
                            <w:rPr>
                              <w:rFonts w:ascii="宋体"/>
                              <w:sz w:val="28"/>
                            </w:rPr>
                          </w:pPr>
                        </w:p>
                      </w:txbxContent>
                    </wps:txbx>
                    <wps:bodyPr lIns="0" tIns="0" rIns="0" bIns="0" upright="1"/>
                  </wps:wsp>
                </a:graphicData>
              </a:graphic>
            </wp:anchor>
          </w:drawing>
        </mc:Choice>
        <mc:Fallback>
          <w:pict>
            <v:shape id="_x0000_s1026" o:spid="_x0000_s1026" o:spt="202" type="#_x0000_t202" style="position:absolute;left:0pt;margin-top:537.7pt;height:16pt;width:30pt;mso-position-horizontal:center;mso-position-horizontal-relative:margin;mso-position-vertical-relative:page;z-index:251659264;mso-width-relative:page;mso-height-relative:page;" filled="f" stroked="f" coordsize="21600,21600" o:gfxdata="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MET0jTVAAAACQEAAA8AAAAAAAAAAQAgAAAA&#10;IgAAAGRycy9kb3ducmV2LnhtbFBLAQIUABQAAAAIAIdO4kAYiLfUnAEAACMDAAAOAAAAAAAAAAEA&#10;IAAAACQBAABkcnMvZTJvRG9jLnhtbFBLBQYAAAAABgAGAFkBAAAyBQAAAAA=&#10;">
              <v:fill on="f" focussize="0,0"/>
              <v:stroke on="f"/>
              <v:imagedata o:title=""/>
              <o:lock v:ext="edit" aspectratio="f"/>
              <v:textbox inset="0mm,0mm,0mm,0mm">
                <w:txbxContent>
                  <w:p>
                    <w:pPr>
                      <w:spacing w:before="0" w:line="320" w:lineRule="exact"/>
                      <w:ind w:right="0"/>
                      <w:jc w:val="left"/>
                      <w:rPr>
                        <w:rFonts w:ascii="宋体"/>
                        <w:sz w:val="2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58DA6B"/>
    <w:multiLevelType w:val="singleLevel"/>
    <w:tmpl w:val="8E58DA6B"/>
    <w:lvl w:ilvl="0" w:tentative="0">
      <w:start w:val="1"/>
      <w:numFmt w:val="chineseCounting"/>
      <w:suff w:val="nothing"/>
      <w:lvlText w:val="（%1）"/>
      <w:lvlJc w:val="left"/>
      <w:rPr>
        <w:rFonts w:hint="eastAsia"/>
      </w:rPr>
    </w:lvl>
  </w:abstractNum>
  <w:abstractNum w:abstractNumId="1">
    <w:nsid w:val="AA51CC6A"/>
    <w:multiLevelType w:val="singleLevel"/>
    <w:tmpl w:val="AA51CC6A"/>
    <w:lvl w:ilvl="0" w:tentative="0">
      <w:start w:val="4"/>
      <w:numFmt w:val="chineseCounting"/>
      <w:suff w:val="nothing"/>
      <w:lvlText w:val="%1、"/>
      <w:lvlJc w:val="left"/>
      <w:pPr>
        <w:ind w:left="800" w:leftChars="0" w:firstLine="0" w:firstLineChars="0"/>
      </w:pPr>
      <w:rPr>
        <w:rFonts w:hint="eastAsia"/>
      </w:rPr>
    </w:lvl>
  </w:abstractNum>
  <w:abstractNum w:abstractNumId="2">
    <w:nsid w:val="D02D106F"/>
    <w:multiLevelType w:val="singleLevel"/>
    <w:tmpl w:val="D02D106F"/>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0"/>
  <w:bordersDoNotSurroundFooter w:val="0"/>
  <w:documentProtection w:enforcement="0"/>
  <w:defaultTabStop w:val="2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ZjJlN2M0NzBkZDYzNjc1MWYxMTJkMzRjYTBlOWQifQ=="/>
  </w:docVars>
  <w:rsids>
    <w:rsidRoot w:val="00000000"/>
    <w:rsid w:val="001152C9"/>
    <w:rsid w:val="0014407D"/>
    <w:rsid w:val="001C3495"/>
    <w:rsid w:val="00321F28"/>
    <w:rsid w:val="00331C5F"/>
    <w:rsid w:val="004A1860"/>
    <w:rsid w:val="004F32B1"/>
    <w:rsid w:val="005D6A0D"/>
    <w:rsid w:val="0063437F"/>
    <w:rsid w:val="008253FA"/>
    <w:rsid w:val="008709A5"/>
    <w:rsid w:val="00916098"/>
    <w:rsid w:val="00A80DB6"/>
    <w:rsid w:val="00A969C4"/>
    <w:rsid w:val="00AC1D5A"/>
    <w:rsid w:val="00B03A60"/>
    <w:rsid w:val="00BB7A55"/>
    <w:rsid w:val="00BD013B"/>
    <w:rsid w:val="00CC6AB9"/>
    <w:rsid w:val="00D459F5"/>
    <w:rsid w:val="00EE7FFF"/>
    <w:rsid w:val="00F715D9"/>
    <w:rsid w:val="01082E64"/>
    <w:rsid w:val="0110503D"/>
    <w:rsid w:val="01154575"/>
    <w:rsid w:val="011A692A"/>
    <w:rsid w:val="0123201F"/>
    <w:rsid w:val="013B1F42"/>
    <w:rsid w:val="013F32F8"/>
    <w:rsid w:val="015B6D94"/>
    <w:rsid w:val="016B41DE"/>
    <w:rsid w:val="017D2CBA"/>
    <w:rsid w:val="01974424"/>
    <w:rsid w:val="01A47AFB"/>
    <w:rsid w:val="01CD4A85"/>
    <w:rsid w:val="01DA4F15"/>
    <w:rsid w:val="01E316BF"/>
    <w:rsid w:val="01FB2258"/>
    <w:rsid w:val="020403B3"/>
    <w:rsid w:val="0226143F"/>
    <w:rsid w:val="023072AD"/>
    <w:rsid w:val="023E3F58"/>
    <w:rsid w:val="02651BC0"/>
    <w:rsid w:val="02683451"/>
    <w:rsid w:val="026F78F6"/>
    <w:rsid w:val="02706662"/>
    <w:rsid w:val="02D62764"/>
    <w:rsid w:val="03003D06"/>
    <w:rsid w:val="030752C5"/>
    <w:rsid w:val="03243F60"/>
    <w:rsid w:val="035D325B"/>
    <w:rsid w:val="03796535"/>
    <w:rsid w:val="038C7EF3"/>
    <w:rsid w:val="03915752"/>
    <w:rsid w:val="03977875"/>
    <w:rsid w:val="039F2212"/>
    <w:rsid w:val="03A01D61"/>
    <w:rsid w:val="03A119C3"/>
    <w:rsid w:val="03B350D8"/>
    <w:rsid w:val="03D968E6"/>
    <w:rsid w:val="042167B1"/>
    <w:rsid w:val="045329EA"/>
    <w:rsid w:val="047F26A1"/>
    <w:rsid w:val="048A043C"/>
    <w:rsid w:val="048E2BF5"/>
    <w:rsid w:val="049B68B9"/>
    <w:rsid w:val="04AD1737"/>
    <w:rsid w:val="04C22413"/>
    <w:rsid w:val="04E46225"/>
    <w:rsid w:val="053B0789"/>
    <w:rsid w:val="05615BB3"/>
    <w:rsid w:val="05674D6E"/>
    <w:rsid w:val="056F549A"/>
    <w:rsid w:val="05850260"/>
    <w:rsid w:val="05A0436A"/>
    <w:rsid w:val="05A571F1"/>
    <w:rsid w:val="05B86742"/>
    <w:rsid w:val="05B91869"/>
    <w:rsid w:val="05E87D3B"/>
    <w:rsid w:val="05F52CDC"/>
    <w:rsid w:val="05FC18E4"/>
    <w:rsid w:val="05FC3CF7"/>
    <w:rsid w:val="061A53DE"/>
    <w:rsid w:val="061A6381"/>
    <w:rsid w:val="062101B0"/>
    <w:rsid w:val="06306138"/>
    <w:rsid w:val="06526AC1"/>
    <w:rsid w:val="068515F4"/>
    <w:rsid w:val="06892C50"/>
    <w:rsid w:val="06AD1435"/>
    <w:rsid w:val="06F7174A"/>
    <w:rsid w:val="070C26F1"/>
    <w:rsid w:val="071200BC"/>
    <w:rsid w:val="071B50BC"/>
    <w:rsid w:val="07422DEF"/>
    <w:rsid w:val="075A60C1"/>
    <w:rsid w:val="076733C0"/>
    <w:rsid w:val="076F2AB1"/>
    <w:rsid w:val="078318FE"/>
    <w:rsid w:val="07944647"/>
    <w:rsid w:val="079C118F"/>
    <w:rsid w:val="07C05B9A"/>
    <w:rsid w:val="07CD2B3C"/>
    <w:rsid w:val="07D450D4"/>
    <w:rsid w:val="07F02804"/>
    <w:rsid w:val="07F910CA"/>
    <w:rsid w:val="081A41F6"/>
    <w:rsid w:val="081C5984"/>
    <w:rsid w:val="081E708A"/>
    <w:rsid w:val="0829644F"/>
    <w:rsid w:val="082B5101"/>
    <w:rsid w:val="08440D31"/>
    <w:rsid w:val="084F059B"/>
    <w:rsid w:val="08645A0F"/>
    <w:rsid w:val="087D1071"/>
    <w:rsid w:val="08CA1DF7"/>
    <w:rsid w:val="08D80772"/>
    <w:rsid w:val="08DA2C94"/>
    <w:rsid w:val="08FA3001"/>
    <w:rsid w:val="094456A8"/>
    <w:rsid w:val="094C543D"/>
    <w:rsid w:val="09651155"/>
    <w:rsid w:val="096F75F2"/>
    <w:rsid w:val="09810290"/>
    <w:rsid w:val="09924C3E"/>
    <w:rsid w:val="099A13F5"/>
    <w:rsid w:val="09A15C8F"/>
    <w:rsid w:val="09A22229"/>
    <w:rsid w:val="09D22799"/>
    <w:rsid w:val="09D23F15"/>
    <w:rsid w:val="09E358C4"/>
    <w:rsid w:val="0A0B3EC3"/>
    <w:rsid w:val="0A193F63"/>
    <w:rsid w:val="0A392197"/>
    <w:rsid w:val="0A4A1587"/>
    <w:rsid w:val="0A6C1B54"/>
    <w:rsid w:val="0A7E63B7"/>
    <w:rsid w:val="0A910557"/>
    <w:rsid w:val="0A9638A1"/>
    <w:rsid w:val="0AA063AA"/>
    <w:rsid w:val="0ABE35EC"/>
    <w:rsid w:val="0ACB712A"/>
    <w:rsid w:val="0ACD6D11"/>
    <w:rsid w:val="0AD246E3"/>
    <w:rsid w:val="0AD86CE4"/>
    <w:rsid w:val="0AE62B71"/>
    <w:rsid w:val="0AF117DA"/>
    <w:rsid w:val="0B064692"/>
    <w:rsid w:val="0B170DDB"/>
    <w:rsid w:val="0B5A5C61"/>
    <w:rsid w:val="0B651EDF"/>
    <w:rsid w:val="0B696BBD"/>
    <w:rsid w:val="0B6B2034"/>
    <w:rsid w:val="0B7A4DBD"/>
    <w:rsid w:val="0B8F6A2E"/>
    <w:rsid w:val="0B902B15"/>
    <w:rsid w:val="0BD11078"/>
    <w:rsid w:val="0BDE73E2"/>
    <w:rsid w:val="0C16481F"/>
    <w:rsid w:val="0C25535D"/>
    <w:rsid w:val="0C573AD3"/>
    <w:rsid w:val="0C5A2165"/>
    <w:rsid w:val="0C662231"/>
    <w:rsid w:val="0C8D2DC1"/>
    <w:rsid w:val="0CC05E3B"/>
    <w:rsid w:val="0CC11591"/>
    <w:rsid w:val="0CD071CE"/>
    <w:rsid w:val="0CE400C4"/>
    <w:rsid w:val="0CFF17A8"/>
    <w:rsid w:val="0D0F07C6"/>
    <w:rsid w:val="0D1420C3"/>
    <w:rsid w:val="0D2D1937"/>
    <w:rsid w:val="0D3411FC"/>
    <w:rsid w:val="0D37472D"/>
    <w:rsid w:val="0D396152"/>
    <w:rsid w:val="0D3A6062"/>
    <w:rsid w:val="0D6F6CDF"/>
    <w:rsid w:val="0D733E98"/>
    <w:rsid w:val="0D8A2416"/>
    <w:rsid w:val="0D9B12CB"/>
    <w:rsid w:val="0D9D2E8C"/>
    <w:rsid w:val="0DB870E4"/>
    <w:rsid w:val="0DDF2EEB"/>
    <w:rsid w:val="0DED2694"/>
    <w:rsid w:val="0DF22C5A"/>
    <w:rsid w:val="0E065CC3"/>
    <w:rsid w:val="0E2D3347"/>
    <w:rsid w:val="0E363E16"/>
    <w:rsid w:val="0E442D79"/>
    <w:rsid w:val="0E51569B"/>
    <w:rsid w:val="0E7B73B1"/>
    <w:rsid w:val="0E832AFF"/>
    <w:rsid w:val="0E9C4641"/>
    <w:rsid w:val="0EA36778"/>
    <w:rsid w:val="0EAB1080"/>
    <w:rsid w:val="0EAF24B6"/>
    <w:rsid w:val="0EDB060F"/>
    <w:rsid w:val="0EE218C9"/>
    <w:rsid w:val="0F6F4BA8"/>
    <w:rsid w:val="0FA84792"/>
    <w:rsid w:val="0FB825B4"/>
    <w:rsid w:val="0FBD4D66"/>
    <w:rsid w:val="0FD5626D"/>
    <w:rsid w:val="0FDC045E"/>
    <w:rsid w:val="101E6F28"/>
    <w:rsid w:val="10232199"/>
    <w:rsid w:val="10487AD6"/>
    <w:rsid w:val="104E40B2"/>
    <w:rsid w:val="104F15D4"/>
    <w:rsid w:val="106A2839"/>
    <w:rsid w:val="107E3B6D"/>
    <w:rsid w:val="10897027"/>
    <w:rsid w:val="10D200AD"/>
    <w:rsid w:val="10F83C11"/>
    <w:rsid w:val="11183DC4"/>
    <w:rsid w:val="112A2315"/>
    <w:rsid w:val="11315231"/>
    <w:rsid w:val="11334A9C"/>
    <w:rsid w:val="113B14E0"/>
    <w:rsid w:val="115C641C"/>
    <w:rsid w:val="11644E7F"/>
    <w:rsid w:val="11A44B13"/>
    <w:rsid w:val="11BA195E"/>
    <w:rsid w:val="11F32A9A"/>
    <w:rsid w:val="11FD55F5"/>
    <w:rsid w:val="12001BFE"/>
    <w:rsid w:val="120D0AA0"/>
    <w:rsid w:val="12200750"/>
    <w:rsid w:val="12265702"/>
    <w:rsid w:val="124A6E7A"/>
    <w:rsid w:val="125B1543"/>
    <w:rsid w:val="12770E53"/>
    <w:rsid w:val="12845CE8"/>
    <w:rsid w:val="12AC7470"/>
    <w:rsid w:val="12AD3804"/>
    <w:rsid w:val="12C166CD"/>
    <w:rsid w:val="12F510F6"/>
    <w:rsid w:val="12FC55B4"/>
    <w:rsid w:val="13374B55"/>
    <w:rsid w:val="138052C0"/>
    <w:rsid w:val="138F65C7"/>
    <w:rsid w:val="13A9119F"/>
    <w:rsid w:val="13AD23D8"/>
    <w:rsid w:val="13FE3C3D"/>
    <w:rsid w:val="142202D0"/>
    <w:rsid w:val="14541F9C"/>
    <w:rsid w:val="145C5066"/>
    <w:rsid w:val="14792A1A"/>
    <w:rsid w:val="14B4518F"/>
    <w:rsid w:val="14CC3786"/>
    <w:rsid w:val="14D11B79"/>
    <w:rsid w:val="14D16A36"/>
    <w:rsid w:val="14DC1A0B"/>
    <w:rsid w:val="14F7270A"/>
    <w:rsid w:val="14FF5855"/>
    <w:rsid w:val="1513481D"/>
    <w:rsid w:val="1524269C"/>
    <w:rsid w:val="15612810"/>
    <w:rsid w:val="159059A3"/>
    <w:rsid w:val="159D65C7"/>
    <w:rsid w:val="15B641A1"/>
    <w:rsid w:val="15BB0090"/>
    <w:rsid w:val="15E35F75"/>
    <w:rsid w:val="15E930C4"/>
    <w:rsid w:val="15F7414C"/>
    <w:rsid w:val="16004E3A"/>
    <w:rsid w:val="1602022F"/>
    <w:rsid w:val="1607443F"/>
    <w:rsid w:val="16116865"/>
    <w:rsid w:val="162B41B5"/>
    <w:rsid w:val="16402785"/>
    <w:rsid w:val="164069F7"/>
    <w:rsid w:val="16436AC7"/>
    <w:rsid w:val="16553FA1"/>
    <w:rsid w:val="165700D6"/>
    <w:rsid w:val="168B7078"/>
    <w:rsid w:val="16915DCB"/>
    <w:rsid w:val="16FE56DF"/>
    <w:rsid w:val="174E253E"/>
    <w:rsid w:val="175C6A00"/>
    <w:rsid w:val="1777574C"/>
    <w:rsid w:val="17890748"/>
    <w:rsid w:val="179F447C"/>
    <w:rsid w:val="17C165ED"/>
    <w:rsid w:val="17CE491F"/>
    <w:rsid w:val="17D67A52"/>
    <w:rsid w:val="17DF57BA"/>
    <w:rsid w:val="17E118B8"/>
    <w:rsid w:val="17F34382"/>
    <w:rsid w:val="18037B9A"/>
    <w:rsid w:val="181C68EB"/>
    <w:rsid w:val="18502A27"/>
    <w:rsid w:val="185F4A64"/>
    <w:rsid w:val="186B1052"/>
    <w:rsid w:val="18875D6A"/>
    <w:rsid w:val="18AE0651"/>
    <w:rsid w:val="18C278BF"/>
    <w:rsid w:val="18C37321"/>
    <w:rsid w:val="18E749F2"/>
    <w:rsid w:val="1920148F"/>
    <w:rsid w:val="192221D2"/>
    <w:rsid w:val="19222E9D"/>
    <w:rsid w:val="19223DF3"/>
    <w:rsid w:val="19267ECD"/>
    <w:rsid w:val="194070AC"/>
    <w:rsid w:val="19426F8A"/>
    <w:rsid w:val="194D0C75"/>
    <w:rsid w:val="196E000F"/>
    <w:rsid w:val="197223CE"/>
    <w:rsid w:val="197F5CC5"/>
    <w:rsid w:val="19BC6B65"/>
    <w:rsid w:val="19CC3CE5"/>
    <w:rsid w:val="19DF3681"/>
    <w:rsid w:val="1A2046FE"/>
    <w:rsid w:val="1A234046"/>
    <w:rsid w:val="1A35713B"/>
    <w:rsid w:val="1A765243"/>
    <w:rsid w:val="1A7908FE"/>
    <w:rsid w:val="1A7D74D1"/>
    <w:rsid w:val="1A920211"/>
    <w:rsid w:val="1A937DF1"/>
    <w:rsid w:val="1AA721A5"/>
    <w:rsid w:val="1AB25E71"/>
    <w:rsid w:val="1AD148B7"/>
    <w:rsid w:val="1B197AB9"/>
    <w:rsid w:val="1B21547B"/>
    <w:rsid w:val="1B245DC0"/>
    <w:rsid w:val="1B694425"/>
    <w:rsid w:val="1B7C46E9"/>
    <w:rsid w:val="1B8874DB"/>
    <w:rsid w:val="1B8B633D"/>
    <w:rsid w:val="1B9666F4"/>
    <w:rsid w:val="1B9B30C9"/>
    <w:rsid w:val="1BB4584B"/>
    <w:rsid w:val="1BB5551B"/>
    <w:rsid w:val="1BF7300B"/>
    <w:rsid w:val="1C075535"/>
    <w:rsid w:val="1C0757AB"/>
    <w:rsid w:val="1C36248F"/>
    <w:rsid w:val="1C553E16"/>
    <w:rsid w:val="1C5F7599"/>
    <w:rsid w:val="1C6C2514"/>
    <w:rsid w:val="1C6C6A0C"/>
    <w:rsid w:val="1C6D1F3E"/>
    <w:rsid w:val="1C6E4450"/>
    <w:rsid w:val="1C6E4853"/>
    <w:rsid w:val="1C824F5E"/>
    <w:rsid w:val="1C87018B"/>
    <w:rsid w:val="1C963DE1"/>
    <w:rsid w:val="1C9D0057"/>
    <w:rsid w:val="1CA559EA"/>
    <w:rsid w:val="1CBD5FF9"/>
    <w:rsid w:val="1CC06832"/>
    <w:rsid w:val="1CC10E89"/>
    <w:rsid w:val="1CEE391B"/>
    <w:rsid w:val="1D0B66FA"/>
    <w:rsid w:val="1D0C5C9F"/>
    <w:rsid w:val="1D156C45"/>
    <w:rsid w:val="1D235922"/>
    <w:rsid w:val="1D264915"/>
    <w:rsid w:val="1D4165E4"/>
    <w:rsid w:val="1D490C5E"/>
    <w:rsid w:val="1D6375C1"/>
    <w:rsid w:val="1D6953A9"/>
    <w:rsid w:val="1D6B57AC"/>
    <w:rsid w:val="1D6C3AF6"/>
    <w:rsid w:val="1D71353B"/>
    <w:rsid w:val="1D760281"/>
    <w:rsid w:val="1DA05040"/>
    <w:rsid w:val="1DA42509"/>
    <w:rsid w:val="1DBF2991"/>
    <w:rsid w:val="1DDA1B59"/>
    <w:rsid w:val="1DE24338"/>
    <w:rsid w:val="1E043133"/>
    <w:rsid w:val="1E0B63F4"/>
    <w:rsid w:val="1E254BC0"/>
    <w:rsid w:val="1E2A7EA3"/>
    <w:rsid w:val="1E3241A7"/>
    <w:rsid w:val="1E4051B3"/>
    <w:rsid w:val="1E4B12EA"/>
    <w:rsid w:val="1E541528"/>
    <w:rsid w:val="1E574903"/>
    <w:rsid w:val="1E591F60"/>
    <w:rsid w:val="1E5C49F6"/>
    <w:rsid w:val="1E612527"/>
    <w:rsid w:val="1E871CF6"/>
    <w:rsid w:val="1E891173"/>
    <w:rsid w:val="1E8B3A4A"/>
    <w:rsid w:val="1E953D71"/>
    <w:rsid w:val="1EA3440E"/>
    <w:rsid w:val="1EB813C4"/>
    <w:rsid w:val="1EC51E28"/>
    <w:rsid w:val="1ED06A61"/>
    <w:rsid w:val="1EF047B4"/>
    <w:rsid w:val="1F022210"/>
    <w:rsid w:val="1F106B89"/>
    <w:rsid w:val="1F670E1D"/>
    <w:rsid w:val="1F6B5864"/>
    <w:rsid w:val="1F757339"/>
    <w:rsid w:val="1F883F27"/>
    <w:rsid w:val="1F912B68"/>
    <w:rsid w:val="1FA44A73"/>
    <w:rsid w:val="1FA80502"/>
    <w:rsid w:val="1FC43090"/>
    <w:rsid w:val="20102094"/>
    <w:rsid w:val="20242F0B"/>
    <w:rsid w:val="2039621A"/>
    <w:rsid w:val="2047440A"/>
    <w:rsid w:val="20594E81"/>
    <w:rsid w:val="20695F18"/>
    <w:rsid w:val="206D5662"/>
    <w:rsid w:val="20726CF9"/>
    <w:rsid w:val="20900651"/>
    <w:rsid w:val="20BF31CF"/>
    <w:rsid w:val="20CB5511"/>
    <w:rsid w:val="20E7499C"/>
    <w:rsid w:val="20EA35AC"/>
    <w:rsid w:val="20EF3AD7"/>
    <w:rsid w:val="210E585C"/>
    <w:rsid w:val="212464C3"/>
    <w:rsid w:val="21393E2B"/>
    <w:rsid w:val="214E6767"/>
    <w:rsid w:val="2156515C"/>
    <w:rsid w:val="21991140"/>
    <w:rsid w:val="219C4F4C"/>
    <w:rsid w:val="21A36435"/>
    <w:rsid w:val="21CE2EE5"/>
    <w:rsid w:val="21FE0CEE"/>
    <w:rsid w:val="220A6CA5"/>
    <w:rsid w:val="221F5FAA"/>
    <w:rsid w:val="22331F3C"/>
    <w:rsid w:val="22383582"/>
    <w:rsid w:val="224048FE"/>
    <w:rsid w:val="22561710"/>
    <w:rsid w:val="225F0162"/>
    <w:rsid w:val="227A5CE0"/>
    <w:rsid w:val="22897AF5"/>
    <w:rsid w:val="22901CEF"/>
    <w:rsid w:val="229E1854"/>
    <w:rsid w:val="22A44F2C"/>
    <w:rsid w:val="22B76FBB"/>
    <w:rsid w:val="22D06376"/>
    <w:rsid w:val="22DF64A3"/>
    <w:rsid w:val="22E21CAD"/>
    <w:rsid w:val="23014C99"/>
    <w:rsid w:val="23174557"/>
    <w:rsid w:val="231D2183"/>
    <w:rsid w:val="232B6B66"/>
    <w:rsid w:val="23401296"/>
    <w:rsid w:val="236A5AEC"/>
    <w:rsid w:val="238A2F78"/>
    <w:rsid w:val="239662B3"/>
    <w:rsid w:val="23C06EE3"/>
    <w:rsid w:val="23E60CCB"/>
    <w:rsid w:val="23E82978"/>
    <w:rsid w:val="23FF3C2D"/>
    <w:rsid w:val="24300E2B"/>
    <w:rsid w:val="24584009"/>
    <w:rsid w:val="2479394B"/>
    <w:rsid w:val="24802A1A"/>
    <w:rsid w:val="24A0571E"/>
    <w:rsid w:val="24CC74B0"/>
    <w:rsid w:val="24D739B5"/>
    <w:rsid w:val="251215F9"/>
    <w:rsid w:val="251552E5"/>
    <w:rsid w:val="25257CB9"/>
    <w:rsid w:val="25273CF2"/>
    <w:rsid w:val="252E255F"/>
    <w:rsid w:val="25765420"/>
    <w:rsid w:val="257F19CC"/>
    <w:rsid w:val="258B6224"/>
    <w:rsid w:val="25A0391E"/>
    <w:rsid w:val="25A93ED6"/>
    <w:rsid w:val="25B93AAD"/>
    <w:rsid w:val="25EA3A95"/>
    <w:rsid w:val="26053295"/>
    <w:rsid w:val="2631735F"/>
    <w:rsid w:val="26420251"/>
    <w:rsid w:val="267B3E0C"/>
    <w:rsid w:val="26EE3990"/>
    <w:rsid w:val="27105F5F"/>
    <w:rsid w:val="27203840"/>
    <w:rsid w:val="27254B09"/>
    <w:rsid w:val="273E5B3C"/>
    <w:rsid w:val="27556A60"/>
    <w:rsid w:val="27766D9E"/>
    <w:rsid w:val="27777F95"/>
    <w:rsid w:val="27873A75"/>
    <w:rsid w:val="27884AD4"/>
    <w:rsid w:val="27C25B52"/>
    <w:rsid w:val="27C61BFF"/>
    <w:rsid w:val="27D457AD"/>
    <w:rsid w:val="27D843EB"/>
    <w:rsid w:val="27DB6A9A"/>
    <w:rsid w:val="27E33A54"/>
    <w:rsid w:val="27F22AA8"/>
    <w:rsid w:val="27FE44D7"/>
    <w:rsid w:val="28151853"/>
    <w:rsid w:val="2818766F"/>
    <w:rsid w:val="28292C08"/>
    <w:rsid w:val="282B5848"/>
    <w:rsid w:val="288955B2"/>
    <w:rsid w:val="288B13D4"/>
    <w:rsid w:val="28940DE2"/>
    <w:rsid w:val="28A44E06"/>
    <w:rsid w:val="28B77895"/>
    <w:rsid w:val="28C755AA"/>
    <w:rsid w:val="290645E0"/>
    <w:rsid w:val="293D4D99"/>
    <w:rsid w:val="2965697F"/>
    <w:rsid w:val="297B3BC8"/>
    <w:rsid w:val="297D3891"/>
    <w:rsid w:val="2990282F"/>
    <w:rsid w:val="29C34372"/>
    <w:rsid w:val="29D14AA1"/>
    <w:rsid w:val="29DC0CC1"/>
    <w:rsid w:val="29F534A0"/>
    <w:rsid w:val="2A17634E"/>
    <w:rsid w:val="2A1A2C8A"/>
    <w:rsid w:val="2A1A3BE5"/>
    <w:rsid w:val="2A20512E"/>
    <w:rsid w:val="2A2417BD"/>
    <w:rsid w:val="2A5E6A91"/>
    <w:rsid w:val="2A5F0BDF"/>
    <w:rsid w:val="2A703ABA"/>
    <w:rsid w:val="2A86296A"/>
    <w:rsid w:val="2A886059"/>
    <w:rsid w:val="2AC17178"/>
    <w:rsid w:val="2AC364C3"/>
    <w:rsid w:val="2AEA47B4"/>
    <w:rsid w:val="2B064FA5"/>
    <w:rsid w:val="2B1056BA"/>
    <w:rsid w:val="2B1256C9"/>
    <w:rsid w:val="2B2257EC"/>
    <w:rsid w:val="2B9B38C0"/>
    <w:rsid w:val="2BC35CF7"/>
    <w:rsid w:val="2BE842C2"/>
    <w:rsid w:val="2BFF558F"/>
    <w:rsid w:val="2C001F29"/>
    <w:rsid w:val="2C174DE6"/>
    <w:rsid w:val="2C400A6C"/>
    <w:rsid w:val="2C590B9D"/>
    <w:rsid w:val="2C681664"/>
    <w:rsid w:val="2C725353"/>
    <w:rsid w:val="2C857435"/>
    <w:rsid w:val="2C8D484F"/>
    <w:rsid w:val="2CA81642"/>
    <w:rsid w:val="2CFB1C79"/>
    <w:rsid w:val="2D066EE8"/>
    <w:rsid w:val="2D0B2D74"/>
    <w:rsid w:val="2D0B2FE8"/>
    <w:rsid w:val="2D1630F5"/>
    <w:rsid w:val="2D2C7E48"/>
    <w:rsid w:val="2D2E6280"/>
    <w:rsid w:val="2D3A6854"/>
    <w:rsid w:val="2D3B34B9"/>
    <w:rsid w:val="2D465CFD"/>
    <w:rsid w:val="2D5B01D5"/>
    <w:rsid w:val="2D650192"/>
    <w:rsid w:val="2D682C47"/>
    <w:rsid w:val="2D6C0573"/>
    <w:rsid w:val="2D801E89"/>
    <w:rsid w:val="2D862CC8"/>
    <w:rsid w:val="2D8E7AB8"/>
    <w:rsid w:val="2DC1785B"/>
    <w:rsid w:val="2DF216E9"/>
    <w:rsid w:val="2E1738A5"/>
    <w:rsid w:val="2E17605F"/>
    <w:rsid w:val="2E5931F2"/>
    <w:rsid w:val="2E5C48C3"/>
    <w:rsid w:val="2E640AEF"/>
    <w:rsid w:val="2E7B0AC6"/>
    <w:rsid w:val="2E8439BA"/>
    <w:rsid w:val="2E9620B2"/>
    <w:rsid w:val="2E9D1D65"/>
    <w:rsid w:val="2EB36D85"/>
    <w:rsid w:val="2EBC5CF6"/>
    <w:rsid w:val="2EBD7AD2"/>
    <w:rsid w:val="2EC56EC2"/>
    <w:rsid w:val="2ECC7965"/>
    <w:rsid w:val="2F262F11"/>
    <w:rsid w:val="2F561F53"/>
    <w:rsid w:val="2F5A38EE"/>
    <w:rsid w:val="2F6B4132"/>
    <w:rsid w:val="2F966F6E"/>
    <w:rsid w:val="2FA828E1"/>
    <w:rsid w:val="2FAC7EC0"/>
    <w:rsid w:val="2FCA2D75"/>
    <w:rsid w:val="2FF7040F"/>
    <w:rsid w:val="302238C9"/>
    <w:rsid w:val="305D4CCA"/>
    <w:rsid w:val="307A6EF1"/>
    <w:rsid w:val="30810CE3"/>
    <w:rsid w:val="30863F29"/>
    <w:rsid w:val="30A8583C"/>
    <w:rsid w:val="30AF4A51"/>
    <w:rsid w:val="30B50980"/>
    <w:rsid w:val="30C4262A"/>
    <w:rsid w:val="30D80D36"/>
    <w:rsid w:val="30DE51FD"/>
    <w:rsid w:val="31166D0F"/>
    <w:rsid w:val="313A3259"/>
    <w:rsid w:val="313F651C"/>
    <w:rsid w:val="314917E0"/>
    <w:rsid w:val="31506A33"/>
    <w:rsid w:val="31544FC9"/>
    <w:rsid w:val="31672AA5"/>
    <w:rsid w:val="318F1AB0"/>
    <w:rsid w:val="31931099"/>
    <w:rsid w:val="319D3BE8"/>
    <w:rsid w:val="31B62B54"/>
    <w:rsid w:val="31EC5443"/>
    <w:rsid w:val="31F46111"/>
    <w:rsid w:val="323606FB"/>
    <w:rsid w:val="32373212"/>
    <w:rsid w:val="32417019"/>
    <w:rsid w:val="324475F2"/>
    <w:rsid w:val="32574418"/>
    <w:rsid w:val="325F4D40"/>
    <w:rsid w:val="32623C1F"/>
    <w:rsid w:val="32703663"/>
    <w:rsid w:val="32844E7F"/>
    <w:rsid w:val="328A7650"/>
    <w:rsid w:val="329043BF"/>
    <w:rsid w:val="32AE1DDA"/>
    <w:rsid w:val="32B329CC"/>
    <w:rsid w:val="32BD0119"/>
    <w:rsid w:val="32D13D00"/>
    <w:rsid w:val="32DD77CB"/>
    <w:rsid w:val="32E34CC3"/>
    <w:rsid w:val="32E53361"/>
    <w:rsid w:val="33076088"/>
    <w:rsid w:val="330B26D5"/>
    <w:rsid w:val="33140C7E"/>
    <w:rsid w:val="331B01AC"/>
    <w:rsid w:val="332D0367"/>
    <w:rsid w:val="337B68CC"/>
    <w:rsid w:val="33911182"/>
    <w:rsid w:val="339960C9"/>
    <w:rsid w:val="33A34A63"/>
    <w:rsid w:val="33B13C60"/>
    <w:rsid w:val="33DC7EC4"/>
    <w:rsid w:val="33F95575"/>
    <w:rsid w:val="341707ED"/>
    <w:rsid w:val="341C3BCE"/>
    <w:rsid w:val="342B311B"/>
    <w:rsid w:val="344A7248"/>
    <w:rsid w:val="345943C2"/>
    <w:rsid w:val="34707F9F"/>
    <w:rsid w:val="347A341B"/>
    <w:rsid w:val="34AB2461"/>
    <w:rsid w:val="34CA3DBE"/>
    <w:rsid w:val="34CC076C"/>
    <w:rsid w:val="34D041E7"/>
    <w:rsid w:val="34D37C1B"/>
    <w:rsid w:val="34EE5547"/>
    <w:rsid w:val="34FF3366"/>
    <w:rsid w:val="356E7BCC"/>
    <w:rsid w:val="357009F0"/>
    <w:rsid w:val="357E11DE"/>
    <w:rsid w:val="35B17360"/>
    <w:rsid w:val="35B32CE5"/>
    <w:rsid w:val="35BF70E3"/>
    <w:rsid w:val="35E3426F"/>
    <w:rsid w:val="35E82EDC"/>
    <w:rsid w:val="360F561F"/>
    <w:rsid w:val="36155C6E"/>
    <w:rsid w:val="361A0044"/>
    <w:rsid w:val="36293F70"/>
    <w:rsid w:val="363B3215"/>
    <w:rsid w:val="367E236B"/>
    <w:rsid w:val="368B3161"/>
    <w:rsid w:val="369E15DC"/>
    <w:rsid w:val="36B706B5"/>
    <w:rsid w:val="36BD717C"/>
    <w:rsid w:val="36C536E6"/>
    <w:rsid w:val="36D252D0"/>
    <w:rsid w:val="36D74BA0"/>
    <w:rsid w:val="36E8702C"/>
    <w:rsid w:val="370302BD"/>
    <w:rsid w:val="371C18EF"/>
    <w:rsid w:val="373831B6"/>
    <w:rsid w:val="374D165D"/>
    <w:rsid w:val="375E76FB"/>
    <w:rsid w:val="376252B0"/>
    <w:rsid w:val="37726BF8"/>
    <w:rsid w:val="377F1C4E"/>
    <w:rsid w:val="378C6657"/>
    <w:rsid w:val="37BE5A04"/>
    <w:rsid w:val="37ED0E8A"/>
    <w:rsid w:val="37EE41B7"/>
    <w:rsid w:val="37F311DE"/>
    <w:rsid w:val="37FF4877"/>
    <w:rsid w:val="38006864"/>
    <w:rsid w:val="38082275"/>
    <w:rsid w:val="38206598"/>
    <w:rsid w:val="38292B2F"/>
    <w:rsid w:val="38412136"/>
    <w:rsid w:val="3851746A"/>
    <w:rsid w:val="3858022D"/>
    <w:rsid w:val="386A0E8C"/>
    <w:rsid w:val="386B4DFB"/>
    <w:rsid w:val="38793F88"/>
    <w:rsid w:val="38832BB4"/>
    <w:rsid w:val="38A257D5"/>
    <w:rsid w:val="38A90CE0"/>
    <w:rsid w:val="38CB5FCF"/>
    <w:rsid w:val="38D10388"/>
    <w:rsid w:val="38EB17B6"/>
    <w:rsid w:val="38EC2664"/>
    <w:rsid w:val="38F251D5"/>
    <w:rsid w:val="390B290B"/>
    <w:rsid w:val="393370FA"/>
    <w:rsid w:val="3936192C"/>
    <w:rsid w:val="39474E38"/>
    <w:rsid w:val="39492C87"/>
    <w:rsid w:val="39561AED"/>
    <w:rsid w:val="39836F0A"/>
    <w:rsid w:val="39886BDE"/>
    <w:rsid w:val="39945798"/>
    <w:rsid w:val="39A976DD"/>
    <w:rsid w:val="39C063BA"/>
    <w:rsid w:val="39F76FEA"/>
    <w:rsid w:val="3A0620E8"/>
    <w:rsid w:val="3A1802DD"/>
    <w:rsid w:val="3A5402C3"/>
    <w:rsid w:val="3A702D3D"/>
    <w:rsid w:val="3A764010"/>
    <w:rsid w:val="3A8422E9"/>
    <w:rsid w:val="3A874C73"/>
    <w:rsid w:val="3AAD3E4A"/>
    <w:rsid w:val="3AB80D47"/>
    <w:rsid w:val="3AEA789C"/>
    <w:rsid w:val="3B000260"/>
    <w:rsid w:val="3B0309ED"/>
    <w:rsid w:val="3B053E5D"/>
    <w:rsid w:val="3B0E1569"/>
    <w:rsid w:val="3B0F1818"/>
    <w:rsid w:val="3B2F3B72"/>
    <w:rsid w:val="3B4E32F4"/>
    <w:rsid w:val="3B510F5B"/>
    <w:rsid w:val="3BDD395A"/>
    <w:rsid w:val="3BEB4CE3"/>
    <w:rsid w:val="3BFC477D"/>
    <w:rsid w:val="3C0C5F69"/>
    <w:rsid w:val="3C2F184B"/>
    <w:rsid w:val="3C335B82"/>
    <w:rsid w:val="3C415809"/>
    <w:rsid w:val="3C4A4555"/>
    <w:rsid w:val="3C585C32"/>
    <w:rsid w:val="3C5F3807"/>
    <w:rsid w:val="3C945F5B"/>
    <w:rsid w:val="3C99028F"/>
    <w:rsid w:val="3CAB2795"/>
    <w:rsid w:val="3CBE179C"/>
    <w:rsid w:val="3CFC2575"/>
    <w:rsid w:val="3D2C394D"/>
    <w:rsid w:val="3D45519A"/>
    <w:rsid w:val="3D830F44"/>
    <w:rsid w:val="3D9F7C2A"/>
    <w:rsid w:val="3DA24837"/>
    <w:rsid w:val="3DC44580"/>
    <w:rsid w:val="3DC46464"/>
    <w:rsid w:val="3DD3329B"/>
    <w:rsid w:val="3DD610D1"/>
    <w:rsid w:val="3DE75351"/>
    <w:rsid w:val="3DE93FC5"/>
    <w:rsid w:val="3E1400BE"/>
    <w:rsid w:val="3E245509"/>
    <w:rsid w:val="3E2C3FAB"/>
    <w:rsid w:val="3E3A2D16"/>
    <w:rsid w:val="3E41725A"/>
    <w:rsid w:val="3E4E1F64"/>
    <w:rsid w:val="3E570F48"/>
    <w:rsid w:val="3E59221A"/>
    <w:rsid w:val="3E6E1C2A"/>
    <w:rsid w:val="3E97200A"/>
    <w:rsid w:val="3EAE4AAB"/>
    <w:rsid w:val="3ECC459F"/>
    <w:rsid w:val="3EF27272"/>
    <w:rsid w:val="3F0C1AA0"/>
    <w:rsid w:val="3F114A20"/>
    <w:rsid w:val="3F2235C3"/>
    <w:rsid w:val="3F36567F"/>
    <w:rsid w:val="3F516D18"/>
    <w:rsid w:val="3F8919FE"/>
    <w:rsid w:val="3F9A6AE8"/>
    <w:rsid w:val="3FAC0891"/>
    <w:rsid w:val="3FB47871"/>
    <w:rsid w:val="3FB63E83"/>
    <w:rsid w:val="3FBA2746"/>
    <w:rsid w:val="3FEC3F96"/>
    <w:rsid w:val="3FF05785"/>
    <w:rsid w:val="3FF47B7E"/>
    <w:rsid w:val="40000575"/>
    <w:rsid w:val="40023D37"/>
    <w:rsid w:val="400A0AEA"/>
    <w:rsid w:val="400E6130"/>
    <w:rsid w:val="40514195"/>
    <w:rsid w:val="40763A21"/>
    <w:rsid w:val="407E3012"/>
    <w:rsid w:val="40A073A0"/>
    <w:rsid w:val="40C46ACB"/>
    <w:rsid w:val="40FF7A88"/>
    <w:rsid w:val="4102687A"/>
    <w:rsid w:val="411D0774"/>
    <w:rsid w:val="4135675A"/>
    <w:rsid w:val="41420175"/>
    <w:rsid w:val="41815C78"/>
    <w:rsid w:val="41B424A9"/>
    <w:rsid w:val="41C4762A"/>
    <w:rsid w:val="41D32AF5"/>
    <w:rsid w:val="41D37679"/>
    <w:rsid w:val="423E73F5"/>
    <w:rsid w:val="425069D8"/>
    <w:rsid w:val="428724D8"/>
    <w:rsid w:val="429522A0"/>
    <w:rsid w:val="4296351B"/>
    <w:rsid w:val="42A66C51"/>
    <w:rsid w:val="42C85F78"/>
    <w:rsid w:val="42E4265C"/>
    <w:rsid w:val="42E66DAF"/>
    <w:rsid w:val="42F95E22"/>
    <w:rsid w:val="42FF0793"/>
    <w:rsid w:val="432F64F5"/>
    <w:rsid w:val="433016D3"/>
    <w:rsid w:val="4344345E"/>
    <w:rsid w:val="4372724E"/>
    <w:rsid w:val="43751C12"/>
    <w:rsid w:val="43807203"/>
    <w:rsid w:val="4385750E"/>
    <w:rsid w:val="439B0DA2"/>
    <w:rsid w:val="439E7DCC"/>
    <w:rsid w:val="43A21832"/>
    <w:rsid w:val="43AC2A43"/>
    <w:rsid w:val="43B21199"/>
    <w:rsid w:val="43B35251"/>
    <w:rsid w:val="43CC3A2E"/>
    <w:rsid w:val="43E3680A"/>
    <w:rsid w:val="43E86578"/>
    <w:rsid w:val="43EC61DC"/>
    <w:rsid w:val="440D2018"/>
    <w:rsid w:val="44314402"/>
    <w:rsid w:val="44381AAA"/>
    <w:rsid w:val="445E15E2"/>
    <w:rsid w:val="447D141A"/>
    <w:rsid w:val="4483236B"/>
    <w:rsid w:val="44957101"/>
    <w:rsid w:val="44973D68"/>
    <w:rsid w:val="44AE22AE"/>
    <w:rsid w:val="44B636DD"/>
    <w:rsid w:val="44C2738F"/>
    <w:rsid w:val="44D11B3C"/>
    <w:rsid w:val="44E036CA"/>
    <w:rsid w:val="44E32563"/>
    <w:rsid w:val="44EF2126"/>
    <w:rsid w:val="45006517"/>
    <w:rsid w:val="4506636D"/>
    <w:rsid w:val="452B27D5"/>
    <w:rsid w:val="45344624"/>
    <w:rsid w:val="453B36EE"/>
    <w:rsid w:val="4541459A"/>
    <w:rsid w:val="4560257F"/>
    <w:rsid w:val="45695FDE"/>
    <w:rsid w:val="457536EA"/>
    <w:rsid w:val="45A9257A"/>
    <w:rsid w:val="45B97E0A"/>
    <w:rsid w:val="45DA72A3"/>
    <w:rsid w:val="45F766C5"/>
    <w:rsid w:val="45F76D3B"/>
    <w:rsid w:val="45F850CF"/>
    <w:rsid w:val="46113B4E"/>
    <w:rsid w:val="462534EB"/>
    <w:rsid w:val="46382D46"/>
    <w:rsid w:val="46477961"/>
    <w:rsid w:val="46563FB5"/>
    <w:rsid w:val="46603EAF"/>
    <w:rsid w:val="469B6F2A"/>
    <w:rsid w:val="469D2A92"/>
    <w:rsid w:val="46AE57B6"/>
    <w:rsid w:val="46BE197F"/>
    <w:rsid w:val="46F27368"/>
    <w:rsid w:val="46F70687"/>
    <w:rsid w:val="470B6286"/>
    <w:rsid w:val="47251CA9"/>
    <w:rsid w:val="47271C84"/>
    <w:rsid w:val="47346E46"/>
    <w:rsid w:val="473857D3"/>
    <w:rsid w:val="475747C7"/>
    <w:rsid w:val="476902DE"/>
    <w:rsid w:val="477702E2"/>
    <w:rsid w:val="4799512D"/>
    <w:rsid w:val="479D1533"/>
    <w:rsid w:val="47AE01D8"/>
    <w:rsid w:val="47AF0574"/>
    <w:rsid w:val="47DB7EB0"/>
    <w:rsid w:val="47EE68DE"/>
    <w:rsid w:val="47F135AE"/>
    <w:rsid w:val="48041B7B"/>
    <w:rsid w:val="480D492C"/>
    <w:rsid w:val="480E7462"/>
    <w:rsid w:val="48152746"/>
    <w:rsid w:val="484229E4"/>
    <w:rsid w:val="48521FA5"/>
    <w:rsid w:val="48770334"/>
    <w:rsid w:val="487F4732"/>
    <w:rsid w:val="48863369"/>
    <w:rsid w:val="48B95482"/>
    <w:rsid w:val="48D2023E"/>
    <w:rsid w:val="48D5584C"/>
    <w:rsid w:val="48D740C9"/>
    <w:rsid w:val="48F24F9D"/>
    <w:rsid w:val="48F94A8A"/>
    <w:rsid w:val="490417A0"/>
    <w:rsid w:val="49084D03"/>
    <w:rsid w:val="49420CB7"/>
    <w:rsid w:val="495536BE"/>
    <w:rsid w:val="49606028"/>
    <w:rsid w:val="498E5FE3"/>
    <w:rsid w:val="49D4492F"/>
    <w:rsid w:val="49D56013"/>
    <w:rsid w:val="4A3A3B89"/>
    <w:rsid w:val="4A4571A2"/>
    <w:rsid w:val="4A5015F3"/>
    <w:rsid w:val="4A5407E1"/>
    <w:rsid w:val="4A676277"/>
    <w:rsid w:val="4A6A6AB4"/>
    <w:rsid w:val="4A8061F1"/>
    <w:rsid w:val="4A8B0754"/>
    <w:rsid w:val="4A8C58E4"/>
    <w:rsid w:val="4AB73EDB"/>
    <w:rsid w:val="4AD01D0E"/>
    <w:rsid w:val="4AD13FD5"/>
    <w:rsid w:val="4B0115A7"/>
    <w:rsid w:val="4B1C5D11"/>
    <w:rsid w:val="4B567B45"/>
    <w:rsid w:val="4B8035CF"/>
    <w:rsid w:val="4B8525CE"/>
    <w:rsid w:val="4B9E7FE2"/>
    <w:rsid w:val="4BBA2FAB"/>
    <w:rsid w:val="4BC2638B"/>
    <w:rsid w:val="4BCA6933"/>
    <w:rsid w:val="4BD51B20"/>
    <w:rsid w:val="4BEA30D1"/>
    <w:rsid w:val="4BEC4239"/>
    <w:rsid w:val="4C051454"/>
    <w:rsid w:val="4C077F0E"/>
    <w:rsid w:val="4C1507DF"/>
    <w:rsid w:val="4C157BB1"/>
    <w:rsid w:val="4C2E4D85"/>
    <w:rsid w:val="4C2F55D7"/>
    <w:rsid w:val="4C5338EB"/>
    <w:rsid w:val="4C5E49B9"/>
    <w:rsid w:val="4C62507C"/>
    <w:rsid w:val="4C6E1118"/>
    <w:rsid w:val="4C7B3280"/>
    <w:rsid w:val="4C856830"/>
    <w:rsid w:val="4C9863AA"/>
    <w:rsid w:val="4C9C2D14"/>
    <w:rsid w:val="4CB66184"/>
    <w:rsid w:val="4CC94E0D"/>
    <w:rsid w:val="4CD42499"/>
    <w:rsid w:val="4CF67C56"/>
    <w:rsid w:val="4D232921"/>
    <w:rsid w:val="4D300F17"/>
    <w:rsid w:val="4D3865BC"/>
    <w:rsid w:val="4D3B2E1A"/>
    <w:rsid w:val="4D6F5C36"/>
    <w:rsid w:val="4D8412B3"/>
    <w:rsid w:val="4DA126F4"/>
    <w:rsid w:val="4DC3646C"/>
    <w:rsid w:val="4E131DC2"/>
    <w:rsid w:val="4E177CEA"/>
    <w:rsid w:val="4E4C49C5"/>
    <w:rsid w:val="4E556040"/>
    <w:rsid w:val="4E831ADC"/>
    <w:rsid w:val="4E877FDE"/>
    <w:rsid w:val="4EB928E3"/>
    <w:rsid w:val="4EBF2606"/>
    <w:rsid w:val="4EC71D4A"/>
    <w:rsid w:val="4EF40F01"/>
    <w:rsid w:val="4F283FD4"/>
    <w:rsid w:val="4F3B588F"/>
    <w:rsid w:val="4F407947"/>
    <w:rsid w:val="4F4302E1"/>
    <w:rsid w:val="4F556E66"/>
    <w:rsid w:val="4F6229F7"/>
    <w:rsid w:val="4F705375"/>
    <w:rsid w:val="4F77780A"/>
    <w:rsid w:val="4F796AD3"/>
    <w:rsid w:val="4FC23923"/>
    <w:rsid w:val="4FCB1F4D"/>
    <w:rsid w:val="4FED3E6C"/>
    <w:rsid w:val="4FFE7DAD"/>
    <w:rsid w:val="501407B0"/>
    <w:rsid w:val="501A7E5C"/>
    <w:rsid w:val="501D163B"/>
    <w:rsid w:val="50282964"/>
    <w:rsid w:val="503375C1"/>
    <w:rsid w:val="50524203"/>
    <w:rsid w:val="5059287A"/>
    <w:rsid w:val="50664708"/>
    <w:rsid w:val="507A68F0"/>
    <w:rsid w:val="507D2BFC"/>
    <w:rsid w:val="5089420B"/>
    <w:rsid w:val="50905C29"/>
    <w:rsid w:val="50B30158"/>
    <w:rsid w:val="50CB2056"/>
    <w:rsid w:val="50E002F3"/>
    <w:rsid w:val="50FA6720"/>
    <w:rsid w:val="510D075E"/>
    <w:rsid w:val="510E76D4"/>
    <w:rsid w:val="510F2F8E"/>
    <w:rsid w:val="51190FF3"/>
    <w:rsid w:val="512E608C"/>
    <w:rsid w:val="513334AE"/>
    <w:rsid w:val="5141211A"/>
    <w:rsid w:val="51412269"/>
    <w:rsid w:val="51727116"/>
    <w:rsid w:val="51906E19"/>
    <w:rsid w:val="519306FB"/>
    <w:rsid w:val="519669C9"/>
    <w:rsid w:val="51A87205"/>
    <w:rsid w:val="51BC3F83"/>
    <w:rsid w:val="51D33999"/>
    <w:rsid w:val="51D85A5D"/>
    <w:rsid w:val="521A000A"/>
    <w:rsid w:val="521F1A0A"/>
    <w:rsid w:val="525878C3"/>
    <w:rsid w:val="526E63AF"/>
    <w:rsid w:val="527D5ED7"/>
    <w:rsid w:val="529B05DA"/>
    <w:rsid w:val="52CB7754"/>
    <w:rsid w:val="53061CA8"/>
    <w:rsid w:val="53087796"/>
    <w:rsid w:val="53300910"/>
    <w:rsid w:val="534917E1"/>
    <w:rsid w:val="53537E44"/>
    <w:rsid w:val="53726B81"/>
    <w:rsid w:val="538C4EBA"/>
    <w:rsid w:val="53B65777"/>
    <w:rsid w:val="53C342BA"/>
    <w:rsid w:val="53CB442C"/>
    <w:rsid w:val="543766A8"/>
    <w:rsid w:val="54386902"/>
    <w:rsid w:val="543E2903"/>
    <w:rsid w:val="544D6253"/>
    <w:rsid w:val="545D7284"/>
    <w:rsid w:val="548765FF"/>
    <w:rsid w:val="54985B66"/>
    <w:rsid w:val="54AE3D98"/>
    <w:rsid w:val="54B61232"/>
    <w:rsid w:val="54E436F1"/>
    <w:rsid w:val="54F67FA2"/>
    <w:rsid w:val="551E35EF"/>
    <w:rsid w:val="552171DF"/>
    <w:rsid w:val="553028D4"/>
    <w:rsid w:val="55311BF4"/>
    <w:rsid w:val="55386E3D"/>
    <w:rsid w:val="55482EC4"/>
    <w:rsid w:val="554E4709"/>
    <w:rsid w:val="556D24D1"/>
    <w:rsid w:val="55720DD8"/>
    <w:rsid w:val="557E6603"/>
    <w:rsid w:val="5587509E"/>
    <w:rsid w:val="55CF1244"/>
    <w:rsid w:val="55D1544E"/>
    <w:rsid w:val="55D17B18"/>
    <w:rsid w:val="55E23AA0"/>
    <w:rsid w:val="55EF31E0"/>
    <w:rsid w:val="55FE7A67"/>
    <w:rsid w:val="560575E5"/>
    <w:rsid w:val="560C654C"/>
    <w:rsid w:val="56186BE0"/>
    <w:rsid w:val="56207B23"/>
    <w:rsid w:val="56283C27"/>
    <w:rsid w:val="562D6E20"/>
    <w:rsid w:val="563E63F4"/>
    <w:rsid w:val="56460C7D"/>
    <w:rsid w:val="565C44A1"/>
    <w:rsid w:val="566123F5"/>
    <w:rsid w:val="56A33A08"/>
    <w:rsid w:val="56A71E2A"/>
    <w:rsid w:val="56B451BC"/>
    <w:rsid w:val="56BF0414"/>
    <w:rsid w:val="56DE3D76"/>
    <w:rsid w:val="56FB5CD4"/>
    <w:rsid w:val="57284D8E"/>
    <w:rsid w:val="57322DBA"/>
    <w:rsid w:val="574B7180"/>
    <w:rsid w:val="57563450"/>
    <w:rsid w:val="57575FD6"/>
    <w:rsid w:val="577C37CE"/>
    <w:rsid w:val="57824726"/>
    <w:rsid w:val="5788035A"/>
    <w:rsid w:val="57CA2E58"/>
    <w:rsid w:val="57D34D53"/>
    <w:rsid w:val="57EB1833"/>
    <w:rsid w:val="57FC4BC2"/>
    <w:rsid w:val="58011282"/>
    <w:rsid w:val="582338E5"/>
    <w:rsid w:val="58293A6E"/>
    <w:rsid w:val="58397021"/>
    <w:rsid w:val="587F4B4E"/>
    <w:rsid w:val="58860D8E"/>
    <w:rsid w:val="58B810B6"/>
    <w:rsid w:val="58C76877"/>
    <w:rsid w:val="58FF527D"/>
    <w:rsid w:val="590727FD"/>
    <w:rsid w:val="590B1E2D"/>
    <w:rsid w:val="592009D4"/>
    <w:rsid w:val="5928290B"/>
    <w:rsid w:val="593E0380"/>
    <w:rsid w:val="597E6625"/>
    <w:rsid w:val="59950AD7"/>
    <w:rsid w:val="599D1CED"/>
    <w:rsid w:val="59C60C21"/>
    <w:rsid w:val="59CE4B78"/>
    <w:rsid w:val="59DE7FA0"/>
    <w:rsid w:val="5A0F55F9"/>
    <w:rsid w:val="5A125234"/>
    <w:rsid w:val="5A133B60"/>
    <w:rsid w:val="5A157295"/>
    <w:rsid w:val="5A2122EC"/>
    <w:rsid w:val="5A2153FB"/>
    <w:rsid w:val="5A2F4F23"/>
    <w:rsid w:val="5A3721CE"/>
    <w:rsid w:val="5A4448B4"/>
    <w:rsid w:val="5A52008A"/>
    <w:rsid w:val="5A5C43D0"/>
    <w:rsid w:val="5A600F47"/>
    <w:rsid w:val="5A6159CE"/>
    <w:rsid w:val="5A747521"/>
    <w:rsid w:val="5A7C6B49"/>
    <w:rsid w:val="5A8B0E52"/>
    <w:rsid w:val="5A9210A5"/>
    <w:rsid w:val="5A932C2F"/>
    <w:rsid w:val="5AA6558E"/>
    <w:rsid w:val="5AAF36C3"/>
    <w:rsid w:val="5AB01F7F"/>
    <w:rsid w:val="5AE03302"/>
    <w:rsid w:val="5AE947AB"/>
    <w:rsid w:val="5B132667"/>
    <w:rsid w:val="5B133EE1"/>
    <w:rsid w:val="5B1A2B2C"/>
    <w:rsid w:val="5B215A3B"/>
    <w:rsid w:val="5B36715D"/>
    <w:rsid w:val="5B375D23"/>
    <w:rsid w:val="5B4B0910"/>
    <w:rsid w:val="5B4E1888"/>
    <w:rsid w:val="5B654133"/>
    <w:rsid w:val="5B856D31"/>
    <w:rsid w:val="5B961657"/>
    <w:rsid w:val="5B9A7219"/>
    <w:rsid w:val="5B9C711B"/>
    <w:rsid w:val="5BC540A8"/>
    <w:rsid w:val="5BD16464"/>
    <w:rsid w:val="5C4138BB"/>
    <w:rsid w:val="5C4E203A"/>
    <w:rsid w:val="5C715B85"/>
    <w:rsid w:val="5C9D0E8F"/>
    <w:rsid w:val="5CB479B4"/>
    <w:rsid w:val="5CBD4E99"/>
    <w:rsid w:val="5CEB39B8"/>
    <w:rsid w:val="5CEC292C"/>
    <w:rsid w:val="5CF578A7"/>
    <w:rsid w:val="5D1856BD"/>
    <w:rsid w:val="5D1D7FB2"/>
    <w:rsid w:val="5D4363D0"/>
    <w:rsid w:val="5D4473F9"/>
    <w:rsid w:val="5D6D4E77"/>
    <w:rsid w:val="5DB02632"/>
    <w:rsid w:val="5DCA125E"/>
    <w:rsid w:val="5DF75C3B"/>
    <w:rsid w:val="5DFB45F0"/>
    <w:rsid w:val="5E1D666A"/>
    <w:rsid w:val="5E2202D6"/>
    <w:rsid w:val="5E3E5C5F"/>
    <w:rsid w:val="5E8933F8"/>
    <w:rsid w:val="5EBC4F23"/>
    <w:rsid w:val="5ED44543"/>
    <w:rsid w:val="5EE10151"/>
    <w:rsid w:val="5EE646ED"/>
    <w:rsid w:val="5F180E03"/>
    <w:rsid w:val="5F1C5901"/>
    <w:rsid w:val="5F2A298A"/>
    <w:rsid w:val="5F5137DC"/>
    <w:rsid w:val="5F5266E8"/>
    <w:rsid w:val="5F533D6D"/>
    <w:rsid w:val="5F545F47"/>
    <w:rsid w:val="5F653C8D"/>
    <w:rsid w:val="5F703F8D"/>
    <w:rsid w:val="5F737493"/>
    <w:rsid w:val="5F8D483C"/>
    <w:rsid w:val="5F944068"/>
    <w:rsid w:val="5FC358F8"/>
    <w:rsid w:val="5FC51E22"/>
    <w:rsid w:val="5FC7635D"/>
    <w:rsid w:val="5FCD46C5"/>
    <w:rsid w:val="5FEE48CD"/>
    <w:rsid w:val="5FFC21F7"/>
    <w:rsid w:val="600F2620"/>
    <w:rsid w:val="607B6359"/>
    <w:rsid w:val="60852AE7"/>
    <w:rsid w:val="60881FDE"/>
    <w:rsid w:val="6093057E"/>
    <w:rsid w:val="60AD3462"/>
    <w:rsid w:val="60BE4055"/>
    <w:rsid w:val="60DB1369"/>
    <w:rsid w:val="61014EA3"/>
    <w:rsid w:val="6104658E"/>
    <w:rsid w:val="612975E6"/>
    <w:rsid w:val="612E6F04"/>
    <w:rsid w:val="61323E6C"/>
    <w:rsid w:val="61341CA0"/>
    <w:rsid w:val="61353A26"/>
    <w:rsid w:val="61450D79"/>
    <w:rsid w:val="614C5632"/>
    <w:rsid w:val="616C374D"/>
    <w:rsid w:val="61762EDF"/>
    <w:rsid w:val="61A01BA6"/>
    <w:rsid w:val="61AC131D"/>
    <w:rsid w:val="61AE3BFE"/>
    <w:rsid w:val="61C6454E"/>
    <w:rsid w:val="61C765F1"/>
    <w:rsid w:val="61D7052B"/>
    <w:rsid w:val="62004715"/>
    <w:rsid w:val="6201584B"/>
    <w:rsid w:val="623903EE"/>
    <w:rsid w:val="62506EF5"/>
    <w:rsid w:val="62564F9D"/>
    <w:rsid w:val="625D5DEE"/>
    <w:rsid w:val="62B10AB1"/>
    <w:rsid w:val="62B937F8"/>
    <w:rsid w:val="62CA53C5"/>
    <w:rsid w:val="62D9787E"/>
    <w:rsid w:val="62ED72ED"/>
    <w:rsid w:val="630F66A1"/>
    <w:rsid w:val="63121B36"/>
    <w:rsid w:val="631B3D7D"/>
    <w:rsid w:val="6325745F"/>
    <w:rsid w:val="632A4E0D"/>
    <w:rsid w:val="63422657"/>
    <w:rsid w:val="637161BB"/>
    <w:rsid w:val="63733E75"/>
    <w:rsid w:val="63973C3C"/>
    <w:rsid w:val="63C225E9"/>
    <w:rsid w:val="63D85964"/>
    <w:rsid w:val="63EE63BF"/>
    <w:rsid w:val="63F62A7F"/>
    <w:rsid w:val="63F75D87"/>
    <w:rsid w:val="63F858A6"/>
    <w:rsid w:val="641A5407"/>
    <w:rsid w:val="642E728A"/>
    <w:rsid w:val="643B32F4"/>
    <w:rsid w:val="6446244B"/>
    <w:rsid w:val="64893D9D"/>
    <w:rsid w:val="648A36B2"/>
    <w:rsid w:val="649A39FA"/>
    <w:rsid w:val="649C06B5"/>
    <w:rsid w:val="64A64AC1"/>
    <w:rsid w:val="64C675C7"/>
    <w:rsid w:val="64CD5DA1"/>
    <w:rsid w:val="64E70393"/>
    <w:rsid w:val="64F81BF1"/>
    <w:rsid w:val="65270E24"/>
    <w:rsid w:val="653B778C"/>
    <w:rsid w:val="654411FD"/>
    <w:rsid w:val="65477637"/>
    <w:rsid w:val="656A3BDF"/>
    <w:rsid w:val="65C12AAD"/>
    <w:rsid w:val="65DA1652"/>
    <w:rsid w:val="65DC4AC9"/>
    <w:rsid w:val="66050B37"/>
    <w:rsid w:val="661C7B7A"/>
    <w:rsid w:val="6624544E"/>
    <w:rsid w:val="663164FF"/>
    <w:rsid w:val="666706D3"/>
    <w:rsid w:val="667341F8"/>
    <w:rsid w:val="6694688A"/>
    <w:rsid w:val="66A83D46"/>
    <w:rsid w:val="66B82B46"/>
    <w:rsid w:val="66B83CC6"/>
    <w:rsid w:val="66EA5C2E"/>
    <w:rsid w:val="66FB3B39"/>
    <w:rsid w:val="67110D06"/>
    <w:rsid w:val="67370A7E"/>
    <w:rsid w:val="674E6D86"/>
    <w:rsid w:val="677D651E"/>
    <w:rsid w:val="678D6EC2"/>
    <w:rsid w:val="67A0550F"/>
    <w:rsid w:val="67A87D1F"/>
    <w:rsid w:val="67B001BF"/>
    <w:rsid w:val="67B30F24"/>
    <w:rsid w:val="67BD3092"/>
    <w:rsid w:val="68243ABA"/>
    <w:rsid w:val="682539E1"/>
    <w:rsid w:val="68504AA8"/>
    <w:rsid w:val="686353FA"/>
    <w:rsid w:val="6894550E"/>
    <w:rsid w:val="68BF6268"/>
    <w:rsid w:val="68FF4F26"/>
    <w:rsid w:val="690228CE"/>
    <w:rsid w:val="69092107"/>
    <w:rsid w:val="690B5F18"/>
    <w:rsid w:val="691063FF"/>
    <w:rsid w:val="691C4276"/>
    <w:rsid w:val="69400588"/>
    <w:rsid w:val="6944002E"/>
    <w:rsid w:val="69576134"/>
    <w:rsid w:val="695B6D36"/>
    <w:rsid w:val="6984222B"/>
    <w:rsid w:val="699C0849"/>
    <w:rsid w:val="699E3DCE"/>
    <w:rsid w:val="69B51E2F"/>
    <w:rsid w:val="69B81840"/>
    <w:rsid w:val="69CC2E4D"/>
    <w:rsid w:val="69DF6C35"/>
    <w:rsid w:val="69EB56B3"/>
    <w:rsid w:val="69EC290C"/>
    <w:rsid w:val="69F24217"/>
    <w:rsid w:val="6A0720A8"/>
    <w:rsid w:val="6A272F2F"/>
    <w:rsid w:val="6A3B5F51"/>
    <w:rsid w:val="6A4743E4"/>
    <w:rsid w:val="6A511311"/>
    <w:rsid w:val="6A552ABF"/>
    <w:rsid w:val="6A5564B1"/>
    <w:rsid w:val="6A675A1E"/>
    <w:rsid w:val="6A80040C"/>
    <w:rsid w:val="6A8E1BBF"/>
    <w:rsid w:val="6AAB3C2C"/>
    <w:rsid w:val="6AB53DE5"/>
    <w:rsid w:val="6AB7424C"/>
    <w:rsid w:val="6ABC0344"/>
    <w:rsid w:val="6AC84FB6"/>
    <w:rsid w:val="6ACF0C89"/>
    <w:rsid w:val="6ADA0B0A"/>
    <w:rsid w:val="6AFE7803"/>
    <w:rsid w:val="6B023618"/>
    <w:rsid w:val="6B17730C"/>
    <w:rsid w:val="6B177F5A"/>
    <w:rsid w:val="6B2C0CB4"/>
    <w:rsid w:val="6B316145"/>
    <w:rsid w:val="6B356553"/>
    <w:rsid w:val="6B3F2EEB"/>
    <w:rsid w:val="6BC91273"/>
    <w:rsid w:val="6BF26066"/>
    <w:rsid w:val="6BF554B3"/>
    <w:rsid w:val="6C0C2AF1"/>
    <w:rsid w:val="6C0E228A"/>
    <w:rsid w:val="6C0F74AE"/>
    <w:rsid w:val="6C292359"/>
    <w:rsid w:val="6C381440"/>
    <w:rsid w:val="6C3E65CF"/>
    <w:rsid w:val="6C5302A4"/>
    <w:rsid w:val="6C616FD5"/>
    <w:rsid w:val="6C665C5E"/>
    <w:rsid w:val="6C810C3C"/>
    <w:rsid w:val="6CAA77D6"/>
    <w:rsid w:val="6CB0194D"/>
    <w:rsid w:val="6CB6347F"/>
    <w:rsid w:val="6CBB42DC"/>
    <w:rsid w:val="6CF46A08"/>
    <w:rsid w:val="6D0A61BA"/>
    <w:rsid w:val="6D1143CD"/>
    <w:rsid w:val="6D294694"/>
    <w:rsid w:val="6D2B2D95"/>
    <w:rsid w:val="6D395685"/>
    <w:rsid w:val="6D397B2A"/>
    <w:rsid w:val="6D4C6847"/>
    <w:rsid w:val="6D534CD3"/>
    <w:rsid w:val="6D5A7D30"/>
    <w:rsid w:val="6D5F1DAB"/>
    <w:rsid w:val="6D690F4C"/>
    <w:rsid w:val="6DC653B2"/>
    <w:rsid w:val="6DC8243F"/>
    <w:rsid w:val="6DD64986"/>
    <w:rsid w:val="6DE074EF"/>
    <w:rsid w:val="6DEE34BA"/>
    <w:rsid w:val="6DFA5CFE"/>
    <w:rsid w:val="6E1A180E"/>
    <w:rsid w:val="6E282E2A"/>
    <w:rsid w:val="6E4850E3"/>
    <w:rsid w:val="6E4E3967"/>
    <w:rsid w:val="6E5D1E35"/>
    <w:rsid w:val="6E6E68CA"/>
    <w:rsid w:val="6ED24EA6"/>
    <w:rsid w:val="6F1E2201"/>
    <w:rsid w:val="6F293328"/>
    <w:rsid w:val="6FAB4F52"/>
    <w:rsid w:val="6FAD7585"/>
    <w:rsid w:val="6FB466A1"/>
    <w:rsid w:val="6FC44805"/>
    <w:rsid w:val="70110C25"/>
    <w:rsid w:val="705A2097"/>
    <w:rsid w:val="705D34E4"/>
    <w:rsid w:val="7068465B"/>
    <w:rsid w:val="70751F7A"/>
    <w:rsid w:val="708C252C"/>
    <w:rsid w:val="70C87C14"/>
    <w:rsid w:val="70E0700C"/>
    <w:rsid w:val="70E2157E"/>
    <w:rsid w:val="70F763B0"/>
    <w:rsid w:val="70FA524F"/>
    <w:rsid w:val="71010A8A"/>
    <w:rsid w:val="711E0E22"/>
    <w:rsid w:val="712D5672"/>
    <w:rsid w:val="71353FE4"/>
    <w:rsid w:val="7143017D"/>
    <w:rsid w:val="715E7B41"/>
    <w:rsid w:val="7160014F"/>
    <w:rsid w:val="71656DFF"/>
    <w:rsid w:val="71A73837"/>
    <w:rsid w:val="71AC15B7"/>
    <w:rsid w:val="71B12656"/>
    <w:rsid w:val="71B6629F"/>
    <w:rsid w:val="71C00C6B"/>
    <w:rsid w:val="71C10B39"/>
    <w:rsid w:val="71C11940"/>
    <w:rsid w:val="71CA0EA8"/>
    <w:rsid w:val="71CF0A41"/>
    <w:rsid w:val="71D31FD7"/>
    <w:rsid w:val="71D431B1"/>
    <w:rsid w:val="71F1785A"/>
    <w:rsid w:val="7207380C"/>
    <w:rsid w:val="722D7718"/>
    <w:rsid w:val="72390BCD"/>
    <w:rsid w:val="72533BE2"/>
    <w:rsid w:val="725D6627"/>
    <w:rsid w:val="72605A11"/>
    <w:rsid w:val="72605FC2"/>
    <w:rsid w:val="728807EA"/>
    <w:rsid w:val="728D73BC"/>
    <w:rsid w:val="729808AC"/>
    <w:rsid w:val="729948E1"/>
    <w:rsid w:val="72A21F4E"/>
    <w:rsid w:val="72B14184"/>
    <w:rsid w:val="72C162EA"/>
    <w:rsid w:val="72C27677"/>
    <w:rsid w:val="72C62372"/>
    <w:rsid w:val="72E56AEF"/>
    <w:rsid w:val="72EA2951"/>
    <w:rsid w:val="72EE7BAC"/>
    <w:rsid w:val="72F027F2"/>
    <w:rsid w:val="73264D64"/>
    <w:rsid w:val="73352386"/>
    <w:rsid w:val="736A27B0"/>
    <w:rsid w:val="736B4D05"/>
    <w:rsid w:val="7370395B"/>
    <w:rsid w:val="73A42E4C"/>
    <w:rsid w:val="73D32ED6"/>
    <w:rsid w:val="73E1576F"/>
    <w:rsid w:val="741C06E3"/>
    <w:rsid w:val="742B6F84"/>
    <w:rsid w:val="744170E8"/>
    <w:rsid w:val="74471F9A"/>
    <w:rsid w:val="744920F7"/>
    <w:rsid w:val="744F2A20"/>
    <w:rsid w:val="745661B0"/>
    <w:rsid w:val="745E731E"/>
    <w:rsid w:val="74616C2F"/>
    <w:rsid w:val="746428F0"/>
    <w:rsid w:val="74795EDD"/>
    <w:rsid w:val="747C419D"/>
    <w:rsid w:val="74BA78C4"/>
    <w:rsid w:val="74C24D90"/>
    <w:rsid w:val="74DE243F"/>
    <w:rsid w:val="74ED3C4C"/>
    <w:rsid w:val="74F021F7"/>
    <w:rsid w:val="74F51680"/>
    <w:rsid w:val="751B54CD"/>
    <w:rsid w:val="753414E9"/>
    <w:rsid w:val="75412616"/>
    <w:rsid w:val="7541431A"/>
    <w:rsid w:val="75902A86"/>
    <w:rsid w:val="75D67F35"/>
    <w:rsid w:val="75DC3908"/>
    <w:rsid w:val="75EB78AD"/>
    <w:rsid w:val="76391C58"/>
    <w:rsid w:val="76497D1A"/>
    <w:rsid w:val="76517D1C"/>
    <w:rsid w:val="7653013C"/>
    <w:rsid w:val="766D1280"/>
    <w:rsid w:val="767F005D"/>
    <w:rsid w:val="7682245F"/>
    <w:rsid w:val="76823A51"/>
    <w:rsid w:val="768916EB"/>
    <w:rsid w:val="769216C6"/>
    <w:rsid w:val="76A777BB"/>
    <w:rsid w:val="76B167AF"/>
    <w:rsid w:val="76BE37B6"/>
    <w:rsid w:val="76C32804"/>
    <w:rsid w:val="76DF700F"/>
    <w:rsid w:val="76E158E1"/>
    <w:rsid w:val="76EC0256"/>
    <w:rsid w:val="76FD4692"/>
    <w:rsid w:val="77070CC6"/>
    <w:rsid w:val="772F7453"/>
    <w:rsid w:val="7745229B"/>
    <w:rsid w:val="774E3756"/>
    <w:rsid w:val="776A47E3"/>
    <w:rsid w:val="77750A61"/>
    <w:rsid w:val="777E7676"/>
    <w:rsid w:val="77847E8B"/>
    <w:rsid w:val="77B57689"/>
    <w:rsid w:val="77BC0CC3"/>
    <w:rsid w:val="77CA55AC"/>
    <w:rsid w:val="77D0154F"/>
    <w:rsid w:val="77EA4730"/>
    <w:rsid w:val="78096751"/>
    <w:rsid w:val="783F2EF0"/>
    <w:rsid w:val="784500DF"/>
    <w:rsid w:val="78556588"/>
    <w:rsid w:val="785B4027"/>
    <w:rsid w:val="786B6E23"/>
    <w:rsid w:val="789A0790"/>
    <w:rsid w:val="78B7514B"/>
    <w:rsid w:val="78C04DCB"/>
    <w:rsid w:val="78FB0916"/>
    <w:rsid w:val="79006423"/>
    <w:rsid w:val="79170C79"/>
    <w:rsid w:val="791D0365"/>
    <w:rsid w:val="79495DFB"/>
    <w:rsid w:val="796329CE"/>
    <w:rsid w:val="79637776"/>
    <w:rsid w:val="798A4166"/>
    <w:rsid w:val="79A352FE"/>
    <w:rsid w:val="79BA13F3"/>
    <w:rsid w:val="79CE4412"/>
    <w:rsid w:val="7A083458"/>
    <w:rsid w:val="7A182FF2"/>
    <w:rsid w:val="7A3D0A7C"/>
    <w:rsid w:val="7A570778"/>
    <w:rsid w:val="7A5B6B82"/>
    <w:rsid w:val="7A840B4F"/>
    <w:rsid w:val="7A951C4F"/>
    <w:rsid w:val="7A9D544B"/>
    <w:rsid w:val="7AAD5459"/>
    <w:rsid w:val="7ACC0D77"/>
    <w:rsid w:val="7AD55C67"/>
    <w:rsid w:val="7AFD7A84"/>
    <w:rsid w:val="7B224896"/>
    <w:rsid w:val="7B2F0C1E"/>
    <w:rsid w:val="7B4C54F6"/>
    <w:rsid w:val="7B5516C5"/>
    <w:rsid w:val="7B554677"/>
    <w:rsid w:val="7B865DFF"/>
    <w:rsid w:val="7B967280"/>
    <w:rsid w:val="7BAD5C52"/>
    <w:rsid w:val="7BAD6EDF"/>
    <w:rsid w:val="7BBD28AA"/>
    <w:rsid w:val="7BC1351A"/>
    <w:rsid w:val="7C071CC6"/>
    <w:rsid w:val="7C0949ED"/>
    <w:rsid w:val="7C104837"/>
    <w:rsid w:val="7C365CA0"/>
    <w:rsid w:val="7C3759CF"/>
    <w:rsid w:val="7C4E23ED"/>
    <w:rsid w:val="7C6059DF"/>
    <w:rsid w:val="7C660374"/>
    <w:rsid w:val="7C6A12F5"/>
    <w:rsid w:val="7C6A7BD1"/>
    <w:rsid w:val="7C8A7249"/>
    <w:rsid w:val="7C8F3403"/>
    <w:rsid w:val="7C9E7228"/>
    <w:rsid w:val="7CC40CD1"/>
    <w:rsid w:val="7CD9640C"/>
    <w:rsid w:val="7CE00D57"/>
    <w:rsid w:val="7CE5405A"/>
    <w:rsid w:val="7CF575EC"/>
    <w:rsid w:val="7CF717BB"/>
    <w:rsid w:val="7CFB2654"/>
    <w:rsid w:val="7CFD40FA"/>
    <w:rsid w:val="7D170AA9"/>
    <w:rsid w:val="7D170F8C"/>
    <w:rsid w:val="7D2A11C5"/>
    <w:rsid w:val="7D312943"/>
    <w:rsid w:val="7D423A7C"/>
    <w:rsid w:val="7D556313"/>
    <w:rsid w:val="7DA77239"/>
    <w:rsid w:val="7DAD2D6D"/>
    <w:rsid w:val="7DB05116"/>
    <w:rsid w:val="7DB22CD1"/>
    <w:rsid w:val="7DC312A6"/>
    <w:rsid w:val="7DCD3A41"/>
    <w:rsid w:val="7DCD3EB0"/>
    <w:rsid w:val="7DDE1B91"/>
    <w:rsid w:val="7DE27D50"/>
    <w:rsid w:val="7DEE07CD"/>
    <w:rsid w:val="7E0431F6"/>
    <w:rsid w:val="7E070C49"/>
    <w:rsid w:val="7E1231E9"/>
    <w:rsid w:val="7E141FE7"/>
    <w:rsid w:val="7E216432"/>
    <w:rsid w:val="7E391C2D"/>
    <w:rsid w:val="7E3D62F8"/>
    <w:rsid w:val="7E4D7E60"/>
    <w:rsid w:val="7E56216D"/>
    <w:rsid w:val="7E5E213F"/>
    <w:rsid w:val="7E5E4C2C"/>
    <w:rsid w:val="7E92467B"/>
    <w:rsid w:val="7E964787"/>
    <w:rsid w:val="7EA36BC8"/>
    <w:rsid w:val="7EAD3042"/>
    <w:rsid w:val="7ECC37E9"/>
    <w:rsid w:val="7ED72683"/>
    <w:rsid w:val="7EDE6AA7"/>
    <w:rsid w:val="7EEA61A6"/>
    <w:rsid w:val="7EF04D33"/>
    <w:rsid w:val="7F553185"/>
    <w:rsid w:val="7FB93D4E"/>
    <w:rsid w:val="7FE57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1"/>
    <w:pPr>
      <w:ind w:right="332"/>
      <w:jc w:val="center"/>
      <w:outlineLvl w:val="1"/>
    </w:pPr>
    <w:rPr>
      <w:rFonts w:ascii="PMingLiU" w:hAnsi="PMingLiU" w:eastAsia="PMingLiU" w:cs="PMingLiU"/>
      <w:sz w:val="44"/>
      <w:szCs w:val="44"/>
      <w:lang w:val="zh-CN" w:eastAsia="zh-CN" w:bidi="zh-CN"/>
    </w:rPr>
  </w:style>
  <w:style w:type="paragraph" w:styleId="4">
    <w:name w:val="heading 2"/>
    <w:basedOn w:val="1"/>
    <w:next w:val="1"/>
    <w:qFormat/>
    <w:uiPriority w:val="9"/>
    <w:pPr>
      <w:keepNext/>
      <w:keepLines/>
      <w:spacing w:before="260" w:after="260" w:line="416" w:lineRule="auto"/>
      <w:outlineLvl w:val="1"/>
    </w:pPr>
    <w:rPr>
      <w:rFonts w:ascii="Cambria" w:hAnsi="Cambria" w:eastAsia="仿宋"/>
      <w:b/>
      <w:bCs/>
      <w:sz w:val="32"/>
      <w:szCs w:val="32"/>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5">
    <w:name w:val="Body Text"/>
    <w:basedOn w:val="1"/>
    <w:qFormat/>
    <w:uiPriority w:val="1"/>
    <w:rPr>
      <w:rFonts w:ascii="仿宋_GB2312" w:hAnsi="仿宋_GB2312" w:eastAsia="仿宋_GB2312" w:cs="仿宋_GB2312"/>
      <w:sz w:val="32"/>
      <w:szCs w:val="32"/>
      <w:lang w:val="zh-CN" w:eastAsia="zh-CN" w:bidi="zh-CN"/>
    </w:rPr>
  </w:style>
  <w:style w:type="paragraph" w:styleId="6">
    <w:name w:val="toc 3"/>
    <w:basedOn w:val="1"/>
    <w:next w:val="1"/>
    <w:qFormat/>
    <w:uiPriority w:val="39"/>
    <w:pPr>
      <w:ind w:left="960" w:leftChars="100" w:right="100" w:rightChars="100"/>
    </w:pPr>
    <w:rPr>
      <w:rFonts w:asciiTheme="minorHAnsi" w:hAnsiTheme="minorHAnsi" w:cstheme="minorHAnsi"/>
      <w:i/>
      <w:iCs/>
      <w:sz w:val="20"/>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6"/>
    <w:next w:val="1"/>
    <w:qFormat/>
    <w:uiPriority w:val="39"/>
    <w:pPr>
      <w:spacing w:before="120" w:after="120"/>
      <w:ind w:left="0"/>
    </w:pPr>
    <w:rPr>
      <w:b/>
      <w:bCs/>
      <w:i w:val="0"/>
      <w:iCs w:val="0"/>
      <w:caps/>
    </w:rPr>
  </w:style>
  <w:style w:type="paragraph" w:styleId="9">
    <w:name w:val="toc 2"/>
    <w:basedOn w:val="8"/>
    <w:next w:val="1"/>
    <w:qFormat/>
    <w:uiPriority w:val="39"/>
    <w:pPr>
      <w:spacing w:before="0" w:after="0"/>
      <w:ind w:left="240"/>
    </w:pPr>
    <w:rPr>
      <w:b w:val="0"/>
      <w:bCs w:val="0"/>
      <w:caps w:val="0"/>
      <w:smallCaps/>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3">
    <w:name w:val="Strong"/>
    <w:basedOn w:val="12"/>
    <w:qFormat/>
    <w:uiPriority w:val="0"/>
    <w:rPr>
      <w:b/>
      <w:bCs/>
    </w:rPr>
  </w:style>
  <w:style w:type="character" w:styleId="14">
    <w:name w:val="page number"/>
    <w:basedOn w:val="12"/>
    <w:qFormat/>
    <w:uiPriority w:val="99"/>
    <w:rPr>
      <w:rFonts w:eastAsia="宋体" w:cs="Times New Roman"/>
      <w:kern w:val="2"/>
      <w:sz w:val="24"/>
      <w:lang w:val="en-US" w:eastAsia="zh-CN"/>
    </w:rPr>
  </w:style>
  <w:style w:type="character" w:styleId="15">
    <w:name w:val="FollowedHyperlink"/>
    <w:basedOn w:val="12"/>
    <w:qFormat/>
    <w:uiPriority w:val="0"/>
    <w:rPr>
      <w:color w:val="145CCD"/>
      <w:u w:val="none"/>
    </w:rPr>
  </w:style>
  <w:style w:type="character" w:styleId="16">
    <w:name w:val="Emphasis"/>
    <w:basedOn w:val="12"/>
    <w:qFormat/>
    <w:uiPriority w:val="0"/>
    <w:rPr>
      <w:b/>
      <w:bCs/>
    </w:rPr>
  </w:style>
  <w:style w:type="character" w:styleId="17">
    <w:name w:val="HTML Definition"/>
    <w:basedOn w:val="12"/>
    <w:qFormat/>
    <w:uiPriority w:val="0"/>
  </w:style>
  <w:style w:type="character" w:styleId="18">
    <w:name w:val="HTML Typewriter"/>
    <w:basedOn w:val="12"/>
    <w:qFormat/>
    <w:uiPriority w:val="0"/>
    <w:rPr>
      <w:rFonts w:hint="default" w:ascii="monospace" w:hAnsi="monospace" w:eastAsia="monospace" w:cs="monospace"/>
      <w:sz w:val="20"/>
    </w:rPr>
  </w:style>
  <w:style w:type="character" w:styleId="19">
    <w:name w:val="HTML Acronym"/>
    <w:basedOn w:val="12"/>
    <w:qFormat/>
    <w:uiPriority w:val="0"/>
    <w:rPr>
      <w:rFonts w:ascii="Verdana" w:hAnsi="Verdana" w:cs="Verdana"/>
      <w:color w:val="3D4B64"/>
      <w:sz w:val="19"/>
      <w:szCs w:val="19"/>
    </w:rPr>
  </w:style>
  <w:style w:type="character" w:styleId="20">
    <w:name w:val="HTML Variable"/>
    <w:basedOn w:val="12"/>
    <w:qFormat/>
    <w:uiPriority w:val="0"/>
  </w:style>
  <w:style w:type="character" w:styleId="21">
    <w:name w:val="Hyperlink"/>
    <w:basedOn w:val="12"/>
    <w:qFormat/>
    <w:uiPriority w:val="99"/>
    <w:rPr>
      <w:rFonts w:cs="Times New Roman"/>
      <w:color w:val="0000FF"/>
      <w:u w:val="single"/>
    </w:rPr>
  </w:style>
  <w:style w:type="character" w:styleId="22">
    <w:name w:val="HTML Code"/>
    <w:basedOn w:val="12"/>
    <w:qFormat/>
    <w:uiPriority w:val="0"/>
    <w:rPr>
      <w:rFonts w:hint="default" w:ascii="monospace" w:hAnsi="monospace" w:eastAsia="monospace" w:cs="monospace"/>
      <w:sz w:val="20"/>
    </w:rPr>
  </w:style>
  <w:style w:type="character" w:styleId="23">
    <w:name w:val="HTML Cite"/>
    <w:basedOn w:val="12"/>
    <w:uiPriority w:val="0"/>
    <w:rPr>
      <w:rFonts w:hint="default" w:ascii="微软雅黑" w:hAnsi="微软雅黑" w:eastAsia="微软雅黑" w:cs="微软雅黑"/>
      <w:color w:val="3D4B64"/>
      <w:sz w:val="19"/>
      <w:szCs w:val="19"/>
    </w:rPr>
  </w:style>
  <w:style w:type="character" w:styleId="24">
    <w:name w:val="HTML Keyboard"/>
    <w:basedOn w:val="12"/>
    <w:uiPriority w:val="0"/>
    <w:rPr>
      <w:rFonts w:hint="default" w:ascii="monospace" w:hAnsi="monospace" w:eastAsia="monospace" w:cs="monospace"/>
      <w:sz w:val="20"/>
    </w:rPr>
  </w:style>
  <w:style w:type="character" w:styleId="25">
    <w:name w:val="HTML Sample"/>
    <w:basedOn w:val="12"/>
    <w:uiPriority w:val="0"/>
    <w:rPr>
      <w:rFonts w:ascii="monospace" w:hAnsi="monospace" w:eastAsia="monospace" w:cs="monospace"/>
    </w:rPr>
  </w:style>
  <w:style w:type="paragraph" w:styleId="26">
    <w:name w:val="List Paragraph"/>
    <w:basedOn w:val="1"/>
    <w:qFormat/>
    <w:uiPriority w:val="1"/>
    <w:pPr>
      <w:ind w:left="266" w:firstLine="640"/>
    </w:pPr>
    <w:rPr>
      <w:rFonts w:ascii="仿宋_GB2312" w:hAnsi="仿宋_GB2312" w:eastAsia="仿宋_GB2312" w:cs="仿宋_GB2312"/>
      <w:lang w:val="zh-CN" w:eastAsia="zh-CN" w:bidi="zh-CN"/>
    </w:rPr>
  </w:style>
  <w:style w:type="paragraph" w:customStyle="1" w:styleId="27">
    <w:name w:val="Table Paragraph"/>
    <w:basedOn w:val="1"/>
    <w:qFormat/>
    <w:uiPriority w:val="1"/>
    <w:rPr>
      <w:rFonts w:ascii="宋体" w:hAnsi="宋体" w:eastAsia="宋体" w:cs="宋体"/>
      <w:lang w:val="zh-CN" w:eastAsia="zh-CN" w:bidi="zh-CN"/>
    </w:rPr>
  </w:style>
  <w:style w:type="character" w:customStyle="1" w:styleId="28">
    <w:name w:val="hover"/>
    <w:basedOn w:val="12"/>
    <w:uiPriority w:val="0"/>
    <w:rPr>
      <w:color w:val="2590EB"/>
    </w:rPr>
  </w:style>
  <w:style w:type="character" w:customStyle="1" w:styleId="29">
    <w:name w:val="hover1"/>
    <w:basedOn w:val="12"/>
    <w:uiPriority w:val="0"/>
    <w:rPr>
      <w:color w:val="2590EB"/>
    </w:rPr>
  </w:style>
  <w:style w:type="character" w:customStyle="1" w:styleId="30">
    <w:name w:val="hover2"/>
    <w:basedOn w:val="12"/>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1646</Words>
  <Characters>1703</Characters>
  <Lines>0</Lines>
  <Paragraphs>0</Paragraphs>
  <TotalTime>22</TotalTime>
  <ScaleCrop>false</ScaleCrop>
  <LinksUpToDate>false</LinksUpToDate>
  <CharactersWithSpaces>1720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2022-05-12T02:05:00Z</cp:lastPrinted>
  <dcterms:modified xsi:type="dcterms:W3CDTF">2024-10-30T08:11:08Z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F1F12DF5A26947A08ABDE731E6BAA2DA_13</vt:lpwstr>
  </property>
</Properties>
</file>