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C0880">
      <w:pPr>
        <w:spacing w:line="510" w:lineRule="exact"/>
        <w:jc w:val="center"/>
        <w:rPr>
          <w:rFonts w:hint="eastAsia" w:ascii="方正小标宋_GBK" w:hAnsi="Arial" w:eastAsia="方正小标宋_GBK" w:cs="Arial"/>
          <w:sz w:val="44"/>
          <w:szCs w:val="44"/>
          <w:lang w:val="en-US" w:eastAsia="zh-CN"/>
        </w:rPr>
      </w:pPr>
      <w:r>
        <w:rPr>
          <w:rFonts w:hint="eastAsia" w:ascii="方正小标宋_GBK" w:hAnsi="Arial" w:eastAsia="方正小标宋_GBK" w:cs="Arial"/>
          <w:sz w:val="44"/>
          <w:szCs w:val="44"/>
          <w:lang w:val="en-US" w:eastAsia="zh-CN"/>
        </w:rPr>
        <w:t>2023年度15分钟阅读圈暖民心工程</w:t>
      </w:r>
    </w:p>
    <w:p w14:paraId="0D1BF932">
      <w:pPr>
        <w:spacing w:line="51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hAnsi="Arial" w:eastAsia="方正小标宋_GBK" w:cs="Arial"/>
          <w:sz w:val="44"/>
          <w:szCs w:val="44"/>
          <w:lang w:val="en-US" w:eastAsia="zh-CN"/>
        </w:rPr>
        <w:t>项目</w:t>
      </w:r>
      <w:bookmarkStart w:id="0" w:name="_GoBack"/>
      <w:bookmarkEnd w:id="0"/>
      <w:r>
        <w:rPr>
          <w:rFonts w:hint="eastAsia" w:ascii="方正小标宋_GBK" w:hAnsi="Arial" w:eastAsia="方正小标宋_GBK" w:cs="Arial"/>
          <w:sz w:val="44"/>
          <w:szCs w:val="44"/>
        </w:rPr>
        <w:t>绩效评价报告</w:t>
      </w:r>
    </w:p>
    <w:p w14:paraId="2D8953CE">
      <w:pPr>
        <w:spacing w:line="510" w:lineRule="exact"/>
        <w:jc w:val="both"/>
        <w:rPr>
          <w:rFonts w:ascii="黑体" w:hAnsi="黑体" w:eastAsia="黑体" w:cs="黑体"/>
          <w:szCs w:val="32"/>
        </w:rPr>
      </w:pPr>
    </w:p>
    <w:p w14:paraId="536B0913">
      <w:pPr>
        <w:spacing w:line="510" w:lineRule="exact"/>
        <w:ind w:firstLine="6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一、项目基本情况</w:t>
      </w:r>
    </w:p>
    <w:p w14:paraId="2E638ACA">
      <w:pPr>
        <w:spacing w:line="510" w:lineRule="exact"/>
        <w:ind w:firstLine="600"/>
        <w:outlineLvl w:val="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（一）项目概况。</w:t>
      </w:r>
    </w:p>
    <w:p w14:paraId="3EDD4BE4">
      <w:pPr>
        <w:spacing w:line="510" w:lineRule="exact"/>
        <w:ind w:firstLine="600"/>
        <w:outlineLvl w:val="0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暖民心工程之一，用于建设社区阅读点，营造全民阅读氛围，年初预算10万元。</w:t>
      </w:r>
    </w:p>
    <w:p w14:paraId="3BA6EABE">
      <w:pPr>
        <w:spacing w:line="510" w:lineRule="exact"/>
        <w:ind w:firstLine="6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（二）项目绩效目标。</w:t>
      </w:r>
    </w:p>
    <w:p w14:paraId="7F58B7FA">
      <w:pPr>
        <w:spacing w:line="510" w:lineRule="exact"/>
        <w:ind w:firstLine="600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保障暖民心工程“15分钟阅读圈”建设，2023年建设10个社区阅读点。</w:t>
      </w:r>
    </w:p>
    <w:p w14:paraId="5A229FF1">
      <w:pPr>
        <w:spacing w:line="510" w:lineRule="exact"/>
        <w:ind w:firstLine="6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二、绩效评价工作开展情况</w:t>
      </w:r>
    </w:p>
    <w:p w14:paraId="1C6B445A">
      <w:pPr>
        <w:spacing w:line="510" w:lineRule="exact"/>
        <w:ind w:firstLine="6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（一）绩效评价目的、对象和范围。</w:t>
      </w:r>
    </w:p>
    <w:p w14:paraId="2D50B2A4">
      <w:pPr>
        <w:spacing w:line="510" w:lineRule="exact"/>
        <w:ind w:firstLine="600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开展度预算项目绩效评价工作，对项目支出的实施效果和资金使用效益进行评价，引导预算部门树立和强化“花钱必问效”的绩效理念，强化支出责任，优化资源配置，进一步提高预算管理水平和财政资金使用效益。同时及时总结经验，分析存在问题，采取措施改进和加强项目管理，为政府相关决策提供参考依据</w:t>
      </w:r>
      <w:r>
        <w:rPr>
          <w:rFonts w:hint="eastAsia" w:ascii="仿宋_GB2312" w:hAnsi="仿宋_GB2312" w:cs="仿宋_GB2312"/>
          <w:szCs w:val="32"/>
          <w:lang w:val="en-US" w:eastAsia="zh-CN"/>
        </w:rPr>
        <w:t>。</w:t>
      </w:r>
    </w:p>
    <w:p w14:paraId="2DD46E35">
      <w:pPr>
        <w:spacing w:line="510" w:lineRule="exact"/>
        <w:ind w:firstLine="6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（二）绩效评价原则、评价指标体系（附表说明）、评价方法、评价标准等。</w:t>
      </w:r>
    </w:p>
    <w:p w14:paraId="0F5CAB26">
      <w:pPr>
        <w:spacing w:line="510" w:lineRule="exact"/>
        <w:ind w:firstLine="600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自评报告和评分表</w:t>
      </w:r>
      <w:r>
        <w:rPr>
          <w:rFonts w:hint="eastAsia" w:ascii="仿宋_GB2312" w:hAnsi="仿宋_GB2312" w:cs="仿宋_GB2312"/>
          <w:szCs w:val="32"/>
          <w:lang w:val="en-US" w:eastAsia="zh-CN"/>
        </w:rPr>
        <w:t>。</w:t>
      </w:r>
    </w:p>
    <w:p w14:paraId="70D900EF">
      <w:pPr>
        <w:numPr>
          <w:ilvl w:val="0"/>
          <w:numId w:val="1"/>
        </w:numPr>
        <w:spacing w:line="510" w:lineRule="exact"/>
        <w:ind w:firstLine="6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绩效评价工作过程。</w:t>
      </w:r>
    </w:p>
    <w:p w14:paraId="0009FD98">
      <w:pPr>
        <w:numPr>
          <w:ilvl w:val="0"/>
          <w:numId w:val="0"/>
        </w:numPr>
        <w:spacing w:line="510" w:lineRule="exact"/>
        <w:ind w:firstLine="628" w:firstLineChars="200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按规定组织开展项目绩效自评，提交评分表和自评报告</w:t>
      </w:r>
      <w:r>
        <w:rPr>
          <w:rFonts w:hint="eastAsia" w:ascii="仿宋_GB2312" w:hAnsi="仿宋_GB2312" w:cs="仿宋_GB2312"/>
          <w:szCs w:val="32"/>
          <w:lang w:val="en-US" w:eastAsia="zh-CN"/>
        </w:rPr>
        <w:t>。</w:t>
      </w:r>
    </w:p>
    <w:p w14:paraId="1C2EAECA">
      <w:pPr>
        <w:spacing w:line="510" w:lineRule="exact"/>
        <w:ind w:firstLine="600"/>
        <w:rPr>
          <w:rFonts w:hint="eastAsia"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三、综合评价情况及评价结论</w:t>
      </w:r>
    </w:p>
    <w:p w14:paraId="4CB413F6">
      <w:pPr>
        <w:spacing w:line="510" w:lineRule="exact"/>
        <w:ind w:firstLine="600"/>
        <w:rPr>
          <w:rFonts w:hint="eastAsia" w:ascii="仿宋_GB2312" w:hAnsi="仿宋_GB2312" w:cs="仿宋_GB231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该项目总体评价为优秀</w:t>
      </w:r>
      <w:r>
        <w:rPr>
          <w:rFonts w:hint="eastAsia" w:ascii="Times New Roman" w:hAnsi="Times New Roman" w:cs="Times New Roman"/>
          <w:snapToGrid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2C324E6C">
      <w:pPr>
        <w:spacing w:line="510" w:lineRule="exact"/>
        <w:ind w:firstLine="6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四、绩效评价指标分析</w:t>
      </w:r>
    </w:p>
    <w:p w14:paraId="10D23A0B">
      <w:pPr>
        <w:spacing w:line="510" w:lineRule="exact"/>
        <w:ind w:firstLine="600"/>
        <w:outlineLvl w:val="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（一）项目决策情况。</w:t>
      </w:r>
    </w:p>
    <w:p w14:paraId="56D77D91">
      <w:pPr>
        <w:spacing w:line="510" w:lineRule="exact"/>
        <w:ind w:firstLine="600"/>
        <w:outlineLvl w:val="0"/>
        <w:rPr>
          <w:rFonts w:hint="eastAsia" w:ascii="仿宋_GB2312" w:hAnsi="仿宋_GB2312" w:cs="仿宋_GB231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项目按照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以“部门职责—工作活动”为依据，确定部门预算项目和预算额度</w:t>
      </w:r>
      <w:r>
        <w:rPr>
          <w:rFonts w:hint="eastAsia" w:ascii="Times New Roman" w:hAnsi="Times New Roman" w:cs="Times New Roman"/>
          <w:snapToGrid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44ACB15E">
      <w:pPr>
        <w:spacing w:line="510" w:lineRule="exact"/>
        <w:ind w:firstLine="600"/>
        <w:outlineLvl w:val="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（二）项目过程情况。</w:t>
      </w:r>
    </w:p>
    <w:p w14:paraId="3F015CD0">
      <w:pPr>
        <w:spacing w:line="510" w:lineRule="exact"/>
        <w:ind w:firstLine="600"/>
        <w:outlineLvl w:val="0"/>
        <w:rPr>
          <w:rFonts w:hint="eastAsia" w:ascii="仿宋_GB2312" w:hAnsi="仿宋_GB2312" w:cs="仿宋_GB231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项目获批后，按计划实施</w:t>
      </w:r>
      <w:r>
        <w:rPr>
          <w:rFonts w:hint="eastAsia" w:ascii="Times New Roman" w:hAnsi="Times New Roman" w:cs="Times New Roman"/>
          <w:snapToGrid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243540AE">
      <w:pPr>
        <w:spacing w:line="510" w:lineRule="exact"/>
        <w:ind w:firstLine="600"/>
        <w:outlineLvl w:val="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（三）项目产出情况。</w:t>
      </w:r>
    </w:p>
    <w:p w14:paraId="2E2D85D8">
      <w:pPr>
        <w:spacing w:line="510" w:lineRule="exact"/>
        <w:ind w:firstLine="600"/>
        <w:outlineLvl w:val="0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暖民心工程之一，在辖区形成良好阅读氛围。</w:t>
      </w:r>
    </w:p>
    <w:p w14:paraId="6872DEB5">
      <w:pPr>
        <w:spacing w:line="510" w:lineRule="exact"/>
        <w:ind w:firstLine="600"/>
        <w:outlineLvl w:val="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（四）项目效益情况。</w:t>
      </w:r>
    </w:p>
    <w:p w14:paraId="46BE2529">
      <w:pPr>
        <w:spacing w:line="510" w:lineRule="exact"/>
        <w:ind w:firstLine="600"/>
        <w:outlineLvl w:val="0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及时对项目建设所需的费用，按照财政科目分类要求申请资金、审核资金、支付资金，确保及时拨付。</w:t>
      </w:r>
    </w:p>
    <w:p w14:paraId="7112A4D2">
      <w:pPr>
        <w:spacing w:line="510" w:lineRule="exact"/>
        <w:ind w:firstLine="6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五、主要经验及做法</w:t>
      </w:r>
    </w:p>
    <w:p w14:paraId="5B141ADD">
      <w:pPr>
        <w:spacing w:line="510" w:lineRule="exact"/>
        <w:ind w:firstLine="600"/>
        <w:rPr>
          <w:rFonts w:hint="eastAsia" w:ascii="黑体" w:hAnsi="黑体" w:eastAsia="仿宋_GB2312" w:cs="黑体"/>
          <w:szCs w:val="32"/>
          <w:lang w:eastAsia="zh-CN"/>
        </w:rPr>
      </w:pPr>
      <w:r>
        <w:rPr>
          <w:rFonts w:hint="eastAsia" w:ascii="仿宋_GB2312" w:hAnsi="Helvetica" w:eastAsia="仿宋_GB2312" w:cs="Helvetica"/>
          <w:color w:val="333333"/>
          <w:sz w:val="32"/>
          <w:szCs w:val="32"/>
          <w:highlight w:val="none"/>
        </w:rPr>
        <w:t>既要坚持科学合理编制预算，严格执行《预算法》及相关规定，又要根据部门职能职责，参考上年度预算执行情况，将应纳入、能纳入预算的项目充分考虑纳入年初预算编制，做到应纳尽纳</w:t>
      </w:r>
      <w:r>
        <w:rPr>
          <w:rFonts w:hint="eastAsia" w:ascii="仿宋_GB2312" w:hAnsi="Helvetica" w:cs="Helvetica"/>
          <w:color w:val="333333"/>
          <w:sz w:val="32"/>
          <w:szCs w:val="32"/>
          <w:highlight w:val="none"/>
          <w:lang w:eastAsia="zh-CN"/>
        </w:rPr>
        <w:t>。</w:t>
      </w:r>
    </w:p>
    <w:p w14:paraId="231EE661">
      <w:pPr>
        <w:spacing w:line="510" w:lineRule="exact"/>
        <w:ind w:firstLine="6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六、存在问题及原因分析</w:t>
      </w:r>
    </w:p>
    <w:p w14:paraId="04315A75">
      <w:pPr>
        <w:spacing w:line="510" w:lineRule="exact"/>
        <w:ind w:firstLine="600"/>
        <w:outlineLvl w:val="0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一是实际操作有难度。根据工作安排及财政资金情况，项目建设及活动开展具有不确定性，如资金延迟支付或者不能支付，会导致存在指标完成率低的现象。</w:t>
      </w:r>
    </w:p>
    <w:p w14:paraId="3EE86C85">
      <w:pPr>
        <w:spacing w:line="510" w:lineRule="exact"/>
        <w:ind w:firstLine="600"/>
        <w:outlineLvl w:val="0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二是工作流程需优化。随着绩效管理工作的逐步深入，预算绩效目标编制、预算执行过程中的绩效监控、绩效评价结果的应用等与单位实际开展的活动和工作来设定，工作流程上存在不合理的现象。</w:t>
      </w:r>
    </w:p>
    <w:p w14:paraId="40C91C5E">
      <w:pPr>
        <w:spacing w:line="510" w:lineRule="exact"/>
        <w:ind w:firstLine="601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七、有关建议</w:t>
      </w:r>
    </w:p>
    <w:p w14:paraId="6E5F178A">
      <w:pPr>
        <w:spacing w:line="510" w:lineRule="exact"/>
        <w:ind w:firstLine="600"/>
        <w:outlineLvl w:val="0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强调预算管理的过程管理：预算管理要发挥作用不仅要坚持过程控制更要注重结果考核。预算批准下达后，各责任单位就必须认真组织实施，将预算指标层层分解，形成预算执行责任体系。预算开始执行后，必须以预算为标准进行严格的控制，支出性项目必须控制在预算之内，收入性项目必须完成，现金流必须满足企业日常和长期发展的需要，预算的执行和控制是核心环节，须要单位各部门通力合作完成。</w:t>
      </w:r>
    </w:p>
    <w:p w14:paraId="1970F9D6">
      <w:pPr>
        <w:spacing w:line="510" w:lineRule="exact"/>
        <w:ind w:firstLine="6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八、其他需要说明的问题</w:t>
      </w:r>
    </w:p>
    <w:p w14:paraId="5BFEEC05">
      <w:pPr>
        <w:ind w:firstLine="628" w:firstLineChars="200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无。</w:t>
      </w:r>
    </w:p>
    <w:p w14:paraId="7F354FFA"/>
    <w:sectPr>
      <w:pgSz w:w="11906" w:h="16838"/>
      <w:pgMar w:top="2154" w:right="1531" w:bottom="1587" w:left="1588" w:header="0" w:footer="1304" w:gutter="0"/>
      <w:pgNumType w:fmt="numberInDash"/>
      <w:cols w:space="720" w:num="1"/>
      <w:docGrid w:type="linesAndChars" w:linePitch="56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4FDEB6"/>
    <w:multiLevelType w:val="singleLevel"/>
    <w:tmpl w:val="634FDEB6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ZGViOTE0MGVjZjlmMzAyOTk0ZjM4ZjJiZTAwMTIifQ=="/>
  </w:docVars>
  <w:rsids>
    <w:rsidRoot w:val="6367635D"/>
    <w:rsid w:val="14D87245"/>
    <w:rsid w:val="6367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1003</Words>
  <Characters>1013</Characters>
  <Lines>0</Lines>
  <Paragraphs>0</Paragraphs>
  <TotalTime>0</TotalTime>
  <ScaleCrop>false</ScaleCrop>
  <LinksUpToDate>false</LinksUpToDate>
  <CharactersWithSpaces>1013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2024-10-23T13:07:00Z</dcterms:created>
  <dc:creator>WPS_1602409304</dc:creator>
  <cp:lastModifiedBy>WPS_1602409304</cp:lastModifiedBy>
  <dcterms:modified xsi:type="dcterms:W3CDTF">2024-10-23T14:04:15Z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F6D9CBB825F046659DD35DDE1CC71421_11</vt:lpwstr>
  </property>
</Properties>
</file>