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19CB5">
      <w:pPr>
        <w:spacing w:before="197" w:line="228" w:lineRule="auto"/>
        <w:ind w:left="23"/>
        <w:rPr>
          <w:rFonts w:ascii="仿宋" w:hAnsi="仿宋" w:eastAsia="仿宋" w:cs="仿宋"/>
          <w:sz w:val="31"/>
          <w:szCs w:val="31"/>
        </w:rPr>
      </w:pPr>
      <w:r>
        <w:rPr>
          <w:rFonts w:ascii="仿宋" w:hAnsi="仿宋" w:eastAsia="仿宋" w:cs="仿宋"/>
          <w:spacing w:val="-1"/>
          <w:sz w:val="31"/>
          <w:szCs w:val="31"/>
        </w:rPr>
        <w:t>附件 3</w:t>
      </w:r>
      <w:r>
        <w:rPr>
          <w:rFonts w:ascii="仿宋" w:hAnsi="仿宋" w:eastAsia="仿宋" w:cs="仿宋"/>
          <w:sz w:val="31"/>
          <w:szCs w:val="31"/>
        </w:rPr>
        <w:t>：</w:t>
      </w:r>
    </w:p>
    <w:p w14:paraId="2AB8305F">
      <w:pPr>
        <w:spacing w:line="285" w:lineRule="auto"/>
        <w:rPr>
          <w:rFonts w:ascii="Arial"/>
          <w:sz w:val="21"/>
        </w:rPr>
      </w:pPr>
    </w:p>
    <w:p w14:paraId="71143038">
      <w:pPr>
        <w:spacing w:line="285" w:lineRule="auto"/>
        <w:rPr>
          <w:rFonts w:ascii="Arial"/>
          <w:sz w:val="21"/>
        </w:rPr>
      </w:pPr>
    </w:p>
    <w:p w14:paraId="16E2328E">
      <w:pPr>
        <w:spacing w:before="184" w:line="186" w:lineRule="auto"/>
        <w:ind w:left="1157"/>
        <w:rPr>
          <w:rFonts w:ascii="微软雅黑" w:hAnsi="微软雅黑" w:eastAsia="微软雅黑" w:cs="微软雅黑"/>
          <w:spacing w:val="21"/>
          <w:sz w:val="43"/>
          <w:szCs w:val="43"/>
        </w:rPr>
      </w:pPr>
      <w:r>
        <w:rPr>
          <w:rFonts w:hint="eastAsia" w:ascii="微软雅黑" w:hAnsi="微软雅黑" w:eastAsia="微软雅黑" w:cs="微软雅黑"/>
          <w:spacing w:val="21"/>
          <w:sz w:val="43"/>
          <w:szCs w:val="43"/>
          <w:lang w:eastAsia="zh-CN"/>
        </w:rPr>
        <w:t>相山区投资促进局</w:t>
      </w:r>
      <w:r>
        <w:rPr>
          <w:rFonts w:ascii="微软雅黑" w:hAnsi="微软雅黑" w:eastAsia="微软雅黑" w:cs="微软雅黑"/>
          <w:spacing w:val="21"/>
          <w:sz w:val="43"/>
          <w:szCs w:val="43"/>
        </w:rPr>
        <w:t>部门绩效自评</w:t>
      </w:r>
    </w:p>
    <w:p w14:paraId="63F7451D">
      <w:pPr>
        <w:spacing w:before="184" w:line="186" w:lineRule="auto"/>
        <w:ind w:left="1157" w:firstLine="1888" w:firstLineChars="400"/>
        <w:rPr>
          <w:rFonts w:ascii="微软雅黑" w:hAnsi="微软雅黑" w:eastAsia="微软雅黑" w:cs="微软雅黑"/>
          <w:sz w:val="43"/>
          <w:szCs w:val="43"/>
        </w:rPr>
      </w:pPr>
      <w:r>
        <w:rPr>
          <w:rFonts w:ascii="微软雅黑" w:hAnsi="微软雅黑" w:eastAsia="微软雅黑" w:cs="微软雅黑"/>
          <w:spacing w:val="21"/>
          <w:sz w:val="43"/>
          <w:szCs w:val="43"/>
        </w:rPr>
        <w:t>工作情况总结</w:t>
      </w:r>
    </w:p>
    <w:p w14:paraId="6ED59472">
      <w:pPr>
        <w:spacing w:line="377" w:lineRule="auto"/>
        <w:rPr>
          <w:rFonts w:ascii="Arial"/>
          <w:sz w:val="21"/>
        </w:rPr>
      </w:pPr>
    </w:p>
    <w:p w14:paraId="79134CBE">
      <w:pPr>
        <w:spacing w:before="101" w:line="513" w:lineRule="exact"/>
        <w:ind w:left="646"/>
        <w:rPr>
          <w:rFonts w:hint="eastAsia" w:ascii="黑体" w:hAnsi="黑体" w:eastAsia="黑体" w:cs="黑体"/>
          <w:spacing w:val="8"/>
          <w:position w:val="4"/>
          <w:sz w:val="31"/>
          <w:szCs w:val="31"/>
          <w:lang w:eastAsia="zh-CN"/>
        </w:rPr>
      </w:pPr>
      <w:r>
        <w:rPr>
          <w:rFonts w:ascii="黑体" w:hAnsi="黑体" w:eastAsia="黑体" w:cs="黑体"/>
          <w:spacing w:val="9"/>
          <w:position w:val="4"/>
          <w:sz w:val="31"/>
          <w:szCs w:val="31"/>
        </w:rPr>
        <w:t>一</w:t>
      </w:r>
      <w:r>
        <w:rPr>
          <w:rFonts w:ascii="黑体" w:hAnsi="黑体" w:eastAsia="黑体" w:cs="黑体"/>
          <w:spacing w:val="8"/>
          <w:position w:val="4"/>
          <w:sz w:val="31"/>
          <w:szCs w:val="31"/>
        </w:rPr>
        <w:t>、</w:t>
      </w:r>
      <w:r>
        <w:rPr>
          <w:rFonts w:hint="eastAsia" w:ascii="黑体" w:hAnsi="黑体" w:eastAsia="黑体" w:cs="黑体"/>
          <w:spacing w:val="8"/>
          <w:position w:val="4"/>
          <w:sz w:val="31"/>
          <w:szCs w:val="31"/>
          <w:lang w:val="en-US" w:eastAsia="zh-CN"/>
        </w:rPr>
        <w:t>2023年</w:t>
      </w:r>
      <w:r>
        <w:rPr>
          <w:rFonts w:hint="eastAsia" w:ascii="黑体" w:hAnsi="黑体" w:eastAsia="黑体" w:cs="黑体"/>
          <w:spacing w:val="8"/>
          <w:position w:val="4"/>
          <w:sz w:val="31"/>
          <w:szCs w:val="31"/>
          <w:lang w:eastAsia="zh-CN"/>
        </w:rPr>
        <w:t>招商引资工作完成情况</w:t>
      </w:r>
    </w:p>
    <w:p w14:paraId="2AA63A3B">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全区上下坚持以习近平新时代中国特色社会主义思想为指导，深入学习贯彻党的二十大和二十届二中全会精神，在市委、市政府和区委的坚强领导下，</w:t>
      </w:r>
      <w:r>
        <w:rPr>
          <w:rFonts w:hint="default" w:ascii="Times New Roman" w:hAnsi="Times New Roman" w:eastAsia="仿宋_GB2312" w:cs="Times New Roman"/>
          <w:color w:val="000000"/>
          <w:sz w:val="32"/>
          <w:szCs w:val="32"/>
          <w:lang w:val="en-US" w:eastAsia="zh-CN"/>
        </w:rPr>
        <w:t>区委、区政府</w:t>
      </w:r>
      <w:r>
        <w:rPr>
          <w:rFonts w:hint="default" w:ascii="Times New Roman" w:hAnsi="Times New Roman" w:eastAsia="仿宋_GB2312" w:cs="Times New Roman"/>
          <w:color w:val="000000"/>
          <w:sz w:val="32"/>
          <w:szCs w:val="32"/>
        </w:rPr>
        <w:t>坚持“五个更加突出”--更加突出招大引强、谋大上强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更加突出项目实际完成投资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更加突出亩均效益导向，更加突出投资入库纳统和企业投产入规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更加突出引进和利用外资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坚定不移推进招商引资强势攻坚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w:t>
      </w:r>
      <w:r>
        <w:rPr>
          <w:rFonts w:hint="default" w:ascii="Times New Roman" w:hAnsi="Times New Roman" w:eastAsia="仿宋_GB2312" w:cs="Times New Roman"/>
          <w:color w:val="000000"/>
          <w:sz w:val="32"/>
          <w:szCs w:val="32"/>
          <w:lang w:eastAsia="zh-CN"/>
        </w:rPr>
        <w:t>区</w:t>
      </w:r>
      <w:r>
        <w:rPr>
          <w:rFonts w:hint="default" w:ascii="Times New Roman" w:hAnsi="Times New Roman" w:eastAsia="仿宋_GB2312" w:cs="Times New Roman"/>
          <w:color w:val="000000"/>
          <w:sz w:val="32"/>
          <w:szCs w:val="32"/>
        </w:rPr>
        <w:t>招商引资呈现出总量扩大、效益凸显、整体提升的良好态势。</w:t>
      </w:r>
    </w:p>
    <w:p w14:paraId="2FB4C8BE">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楷体" w:cs="Times New Roman"/>
          <w:b/>
          <w:bCs/>
          <w:color w:val="000000"/>
          <w:sz w:val="32"/>
          <w:szCs w:val="32"/>
        </w:rPr>
        <w:t>一</w:t>
      </w:r>
      <w:r>
        <w:rPr>
          <w:rFonts w:hint="default" w:ascii="Times New Roman" w:hAnsi="Times New Roman" w:eastAsia="楷体" w:cs="Times New Roman"/>
          <w:b/>
          <w:bCs/>
          <w:color w:val="000000"/>
          <w:sz w:val="32"/>
          <w:szCs w:val="32"/>
          <w:lang w:val="en-US" w:eastAsia="zh-CN"/>
        </w:rPr>
        <w:t>是</w:t>
      </w:r>
      <w:r>
        <w:rPr>
          <w:rFonts w:hint="default" w:ascii="Times New Roman" w:hAnsi="Times New Roman" w:eastAsia="楷体" w:cs="Times New Roman"/>
          <w:b/>
          <w:bCs/>
          <w:color w:val="000000"/>
          <w:sz w:val="32"/>
          <w:szCs w:val="32"/>
          <w:lang w:eastAsia="zh-CN"/>
        </w:rPr>
        <w:t>抓产业、增动能，</w:t>
      </w:r>
      <w:r>
        <w:rPr>
          <w:rFonts w:hint="default" w:ascii="Times New Roman" w:hAnsi="Times New Roman" w:eastAsia="楷体" w:cs="Times New Roman"/>
          <w:b/>
          <w:bCs/>
          <w:color w:val="000000"/>
          <w:sz w:val="32"/>
          <w:szCs w:val="32"/>
          <w:lang w:val="en-US" w:eastAsia="zh-CN"/>
        </w:rPr>
        <w:t>招商质效</w:t>
      </w:r>
      <w:r>
        <w:rPr>
          <w:rFonts w:hint="default" w:ascii="Times New Roman" w:hAnsi="Times New Roman" w:eastAsia="楷体" w:cs="Times New Roman"/>
          <w:b/>
          <w:bCs/>
          <w:color w:val="000000"/>
          <w:sz w:val="32"/>
          <w:szCs w:val="32"/>
          <w:lang w:eastAsia="zh-CN"/>
        </w:rPr>
        <w:t>实现更好提升</w:t>
      </w:r>
      <w:r>
        <w:rPr>
          <w:rFonts w:hint="default" w:ascii="Times New Roman" w:hAnsi="Times New Roman" w:eastAsia="楷体" w:cs="Times New Roman"/>
          <w:b/>
          <w:bCs/>
          <w:color w:val="000000"/>
          <w:sz w:val="32"/>
          <w:szCs w:val="32"/>
        </w:rPr>
        <w:t>。</w:t>
      </w:r>
      <w:r>
        <w:rPr>
          <w:rFonts w:hint="default" w:ascii="Times New Roman" w:hAnsi="Times New Roman" w:eastAsia="仿宋_GB2312" w:cs="Times New Roman"/>
          <w:color w:val="000000"/>
          <w:sz w:val="32"/>
          <w:szCs w:val="32"/>
          <w:lang w:val="en-US" w:eastAsia="zh-CN"/>
        </w:rPr>
        <w:t>一年来，我们高位谋划，高位推进，抢抓省委、省政府重点支持皖北</w:t>
      </w:r>
      <w:r>
        <w:rPr>
          <w:rFonts w:hint="default" w:ascii="Times New Roman" w:hAnsi="Times New Roman" w:eastAsia="仿宋_GB2312" w:cs="Times New Roman"/>
          <w:color w:val="auto"/>
          <w:kern w:val="0"/>
          <w:sz w:val="32"/>
          <w:szCs w:val="32"/>
          <w:highlight w:val="none"/>
          <w:shd w:val="clear" w:color="auto" w:fill="FFFFFF"/>
          <w:lang w:val="en-US" w:eastAsia="zh-CN" w:bidi="ar"/>
        </w:rPr>
        <w:t>汽车零部件、新能源、新材料、高端绿色食品等产业发展契机，建立链长牵头、专班跟进的产业链发展工作机制，梳理产业链上下游企业，研究形成产业链图、全景图、分布图、路线图和企业库等产业链招商图谱体系，</w:t>
      </w:r>
      <w:r>
        <w:rPr>
          <w:rFonts w:hint="default" w:ascii="Times New Roman" w:hAnsi="Times New Roman" w:eastAsia="仿宋_GB2312" w:cs="Times New Roman"/>
          <w:b w:val="0"/>
          <w:bCs w:val="0"/>
          <w:i w:val="0"/>
          <w:iCs w:val="0"/>
          <w:color w:val="000000"/>
          <w:spacing w:val="0"/>
          <w:w w:val="100"/>
          <w:sz w:val="32"/>
          <w:szCs w:val="32"/>
          <w:vertAlign w:val="baseline"/>
        </w:rPr>
        <w:t>组建15个招商组和3个驻外招商中心，聘请10名专业招商顾问，</w:t>
      </w:r>
      <w:r>
        <w:rPr>
          <w:rFonts w:hint="default" w:ascii="Times New Roman" w:hAnsi="Times New Roman" w:eastAsia="仿宋_GB2312" w:cs="Times New Roman"/>
          <w:sz w:val="32"/>
          <w:szCs w:val="32"/>
        </w:rPr>
        <w:t>举办</w:t>
      </w:r>
      <w:r>
        <w:rPr>
          <w:rFonts w:hint="default" w:ascii="Times New Roman" w:hAnsi="Times New Roman" w:eastAsia="仿宋_GB2312" w:cs="Times New Roman"/>
          <w:sz w:val="32"/>
          <w:szCs w:val="32"/>
          <w:lang w:val="en-US" w:eastAsia="zh-CN"/>
        </w:rPr>
        <w:t>2023食品工业博览会、2023</w:t>
      </w:r>
      <w:r>
        <w:rPr>
          <w:rFonts w:hint="default" w:ascii="Times New Roman" w:hAnsi="Times New Roman" w:eastAsia="仿宋_GB2312" w:cs="Times New Roman"/>
          <w:sz w:val="32"/>
          <w:szCs w:val="32"/>
        </w:rPr>
        <w:t>中国（淮北）新型半导体融合创新技术产业高峰论坛</w:t>
      </w:r>
      <w:r>
        <w:rPr>
          <w:rFonts w:hint="default" w:ascii="Times New Roman" w:hAnsi="Times New Roman" w:eastAsia="仿宋_GB2312" w:cs="Times New Roman"/>
          <w:sz w:val="32"/>
          <w:szCs w:val="32"/>
          <w:lang w:eastAsia="zh-CN"/>
        </w:rPr>
        <w:t>等活动，</w:t>
      </w:r>
      <w:r>
        <w:rPr>
          <w:rFonts w:hint="default" w:ascii="Times New Roman" w:hAnsi="Times New Roman" w:eastAsia="仿宋_GB2312" w:cs="Times New Roman"/>
          <w:color w:val="auto"/>
          <w:kern w:val="0"/>
          <w:sz w:val="32"/>
          <w:szCs w:val="32"/>
          <w:highlight w:val="none"/>
          <w:shd w:val="clear" w:color="auto" w:fill="FFFFFF"/>
          <w:lang w:val="en-US" w:eastAsia="zh-CN" w:bidi="ar"/>
        </w:rPr>
        <w:t>大力开展联动招商、精准招商</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val="0"/>
          <w:i w:val="0"/>
          <w:iCs w:val="0"/>
          <w:color w:val="auto"/>
          <w:spacing w:val="0"/>
          <w:w w:val="100"/>
          <w:sz w:val="32"/>
          <w:szCs w:val="32"/>
          <w:highlight w:val="none"/>
          <w:vertAlign w:val="baseline"/>
        </w:rPr>
        <w:t>做好建链强链补链延链文章</w:t>
      </w:r>
      <w:r>
        <w:rPr>
          <w:rFonts w:hint="default" w:ascii="Times New Roman" w:hAnsi="Times New Roman" w:eastAsia="仿宋_GB2312" w:cs="Times New Roman"/>
          <w:color w:val="auto"/>
          <w:kern w:val="0"/>
          <w:sz w:val="32"/>
          <w:szCs w:val="32"/>
          <w:highlight w:val="none"/>
          <w:shd w:val="clear" w:color="auto" w:fill="FFFFFF"/>
          <w:lang w:val="en-US" w:eastAsia="zh-CN" w:bidi="ar"/>
        </w:rPr>
        <w:t>。</w:t>
      </w:r>
      <w:r>
        <w:rPr>
          <w:rFonts w:hint="default" w:ascii="Times New Roman" w:hAnsi="Times New Roman" w:eastAsia="仿宋_GB2312" w:cs="Times New Roman"/>
          <w:b w:val="0"/>
          <w:bCs w:val="0"/>
          <w:i w:val="0"/>
          <w:iCs w:val="0"/>
          <w:color w:val="000000"/>
          <w:spacing w:val="0"/>
          <w:w w:val="100"/>
          <w:sz w:val="32"/>
          <w:szCs w:val="32"/>
          <w:vertAlign w:val="baseline"/>
        </w:rPr>
        <w:t>全年新签约亿元以上项目36个，其中10亿元以上项目2个</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新签约项目与主导产业契合度90%以上。</w:t>
      </w:r>
      <w:r>
        <w:rPr>
          <w:rFonts w:hint="default" w:ascii="Times New Roman" w:hAnsi="Times New Roman" w:eastAsia="仿宋_GB2312" w:cs="Times New Roman"/>
          <w:color w:val="auto"/>
          <w:kern w:val="0"/>
          <w:sz w:val="32"/>
          <w:szCs w:val="32"/>
          <w:highlight w:val="none"/>
          <w:shd w:val="clear" w:color="auto" w:fill="FFFFFF"/>
          <w:lang w:val="en-US" w:eastAsia="zh-CN" w:bidi="ar"/>
        </w:rPr>
        <w:t>汽车零部件产业方面，</w:t>
      </w:r>
      <w:r>
        <w:rPr>
          <w:rFonts w:hint="default" w:ascii="Times New Roman" w:hAnsi="Times New Roman" w:eastAsia="仿宋_GB2312" w:cs="Times New Roman"/>
          <w:b w:val="0"/>
          <w:bCs w:val="0"/>
          <w:i w:val="0"/>
          <w:iCs w:val="0"/>
          <w:color w:val="000000"/>
          <w:spacing w:val="0"/>
          <w:w w:val="100"/>
          <w:sz w:val="32"/>
          <w:szCs w:val="32"/>
          <w:vertAlign w:val="baseline"/>
        </w:rPr>
        <w:t>投资20亿元的翌光科技项目建成投产，OLED屏体</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r>
        <w:rPr>
          <w:rFonts w:hint="default" w:ascii="Times New Roman" w:hAnsi="Times New Roman" w:eastAsia="仿宋_GB2312" w:cs="Times New Roman"/>
          <w:b w:val="0"/>
          <w:bCs w:val="0"/>
          <w:i w:val="0"/>
          <w:iCs w:val="0"/>
          <w:caps w:val="0"/>
          <w:color w:val="000000"/>
          <w:spacing w:val="0"/>
          <w:sz w:val="32"/>
          <w:szCs w:val="32"/>
          <w:highlight w:val="none"/>
        </w:rPr>
        <w:t>车灯模组</w:t>
      </w:r>
      <w:r>
        <w:rPr>
          <w:rFonts w:hint="default" w:ascii="Times New Roman" w:hAnsi="Times New Roman" w:eastAsia="仿宋_GB2312" w:cs="Times New Roman"/>
          <w:b w:val="0"/>
          <w:bCs w:val="0"/>
          <w:i w:val="0"/>
          <w:iCs w:val="0"/>
          <w:caps w:val="0"/>
          <w:color w:val="000000"/>
          <w:spacing w:val="0"/>
          <w:sz w:val="32"/>
          <w:szCs w:val="32"/>
          <w:highlight w:val="none"/>
          <w:lang w:val="en-US" w:eastAsia="zh-CN"/>
        </w:rPr>
        <w:t>等汽车零部件产品等关键零部件产业集群</w:t>
      </w:r>
      <w:r>
        <w:rPr>
          <w:rFonts w:hint="default" w:ascii="Times New Roman" w:hAnsi="Times New Roman" w:eastAsia="仿宋_GB2312" w:cs="Times New Roman"/>
          <w:b w:val="0"/>
          <w:bCs w:val="0"/>
          <w:i w:val="0"/>
          <w:iCs w:val="0"/>
          <w:color w:val="000000"/>
          <w:spacing w:val="0"/>
          <w:w w:val="100"/>
          <w:sz w:val="32"/>
          <w:szCs w:val="32"/>
          <w:vertAlign w:val="baseline"/>
        </w:rPr>
        <w:t>取得巨大突破；</w:t>
      </w:r>
      <w:r>
        <w:rPr>
          <w:rFonts w:hint="default" w:ascii="Times New Roman" w:hAnsi="Times New Roman" w:eastAsia="仿宋_GB2312" w:cs="Times New Roman"/>
          <w:color w:val="auto"/>
          <w:kern w:val="0"/>
          <w:sz w:val="32"/>
          <w:szCs w:val="32"/>
          <w:highlight w:val="none"/>
          <w:shd w:val="clear" w:color="auto" w:fill="FFFFFF"/>
          <w:lang w:val="en-US" w:eastAsia="zh-CN" w:bidi="ar"/>
        </w:rPr>
        <w:t>高端绿色食品产业方面，</w:t>
      </w:r>
      <w:r>
        <w:rPr>
          <w:rFonts w:hint="default" w:ascii="Times New Roman" w:hAnsi="Times New Roman" w:eastAsia="仿宋_GB2312" w:cs="Times New Roman"/>
          <w:b w:val="0"/>
          <w:bCs w:val="0"/>
          <w:i w:val="0"/>
          <w:iCs w:val="0"/>
          <w:color w:val="000000"/>
          <w:spacing w:val="0"/>
          <w:w w:val="100"/>
          <w:sz w:val="32"/>
          <w:szCs w:val="32"/>
          <w:vertAlign w:val="baseline"/>
        </w:rPr>
        <w:t>投资11.6亿元的肆季良品“休闲食品生产”项目</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签约并</w:t>
      </w:r>
      <w:r>
        <w:rPr>
          <w:rFonts w:hint="default" w:ascii="Times New Roman" w:hAnsi="Times New Roman" w:eastAsia="仿宋_GB2312" w:cs="Times New Roman"/>
          <w:b w:val="0"/>
          <w:bCs w:val="0"/>
          <w:i w:val="0"/>
          <w:iCs w:val="0"/>
          <w:color w:val="000000"/>
          <w:spacing w:val="0"/>
          <w:w w:val="100"/>
          <w:sz w:val="32"/>
          <w:szCs w:val="32"/>
          <w:vertAlign w:val="baseline"/>
        </w:rPr>
        <w:t>开工建设，</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是我区</w:t>
      </w:r>
      <w:r>
        <w:rPr>
          <w:rFonts w:hint="default" w:ascii="Times New Roman" w:hAnsi="Times New Roman" w:eastAsia="仿宋_GB2312" w:cs="Times New Roman"/>
          <w:b w:val="0"/>
          <w:bCs w:val="0"/>
          <w:i w:val="0"/>
          <w:iCs w:val="0"/>
          <w:color w:val="000000"/>
          <w:spacing w:val="0"/>
          <w:w w:val="100"/>
          <w:sz w:val="32"/>
          <w:szCs w:val="32"/>
          <w:vertAlign w:val="baseline"/>
        </w:rPr>
        <w:t>食品产业</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单体投资最大的项目；</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现代服务业方面，</w:t>
      </w:r>
      <w:r>
        <w:rPr>
          <w:rFonts w:hint="default" w:ascii="Times New Roman" w:hAnsi="Times New Roman" w:eastAsia="仿宋_GB2312" w:cs="Times New Roman"/>
          <w:b w:val="0"/>
          <w:bCs w:val="0"/>
          <w:i w:val="0"/>
          <w:iCs w:val="0"/>
          <w:color w:val="000000"/>
          <w:spacing w:val="0"/>
          <w:w w:val="100"/>
          <w:sz w:val="32"/>
          <w:szCs w:val="32"/>
          <w:vertAlign w:val="baseline"/>
        </w:rPr>
        <w:t>投资30亿元的</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相山区</w:t>
      </w:r>
      <w:r>
        <w:rPr>
          <w:rFonts w:hint="default" w:ascii="Times New Roman" w:hAnsi="Times New Roman" w:eastAsia="仿宋_GB2312" w:cs="Times New Roman"/>
          <w:b w:val="0"/>
          <w:bCs w:val="0"/>
          <w:i w:val="0"/>
          <w:iCs w:val="0"/>
          <w:color w:val="000000"/>
          <w:spacing w:val="0"/>
          <w:w w:val="100"/>
          <w:sz w:val="32"/>
          <w:szCs w:val="32"/>
          <w:vertAlign w:val="baseline"/>
        </w:rPr>
        <w:t>啤酒厂文创街区项目签约落地，服务业大项目招商实现新突破</w:t>
      </w:r>
      <w:r>
        <w:rPr>
          <w:rFonts w:hint="default" w:ascii="Times New Roman" w:hAnsi="Times New Roman" w:eastAsia="仿宋_GB2312" w:cs="Times New Roman"/>
          <w:b w:val="0"/>
          <w:bCs w:val="0"/>
          <w:i w:val="0"/>
          <w:iCs w:val="0"/>
          <w:color w:val="000000"/>
          <w:spacing w:val="0"/>
          <w:w w:val="100"/>
          <w:sz w:val="32"/>
          <w:szCs w:val="32"/>
          <w:vertAlign w:val="baseline"/>
          <w:lang w:eastAsia="zh-CN"/>
        </w:rPr>
        <w:t>。</w:t>
      </w:r>
    </w:p>
    <w:p w14:paraId="04601F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pPr>
      <w:r>
        <w:rPr>
          <w:rFonts w:hint="default" w:ascii="Times New Roman" w:hAnsi="Times New Roman" w:eastAsia="楷体" w:cs="Times New Roman"/>
          <w:b/>
          <w:bCs/>
          <w:color w:val="000000"/>
          <w:kern w:val="2"/>
          <w:sz w:val="32"/>
          <w:szCs w:val="32"/>
          <w:lang w:val="en-US" w:eastAsia="zh-CN" w:bidi="ar-SA"/>
        </w:rPr>
        <w:t>二是抓方法、善创新，招商打法得到增效赋能。</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一年来，我们开拓思路、创新思维，各扬所长，想尽一切办法，用好市场力量和人脉资源，大力开展基金招商、产业链招商、以商招商等，打开招商引资工作新局面。</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借助基金招商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发挥政府引导基金杠杆作用，善用市场的逻辑谋事、资本的力量干事、平台的思维成事，加强与省高新投、省铁投等国资平台深度合作，借助上海诺铁等外部金融机构力量，加快实现基金投资“滚雪球”效应，成功组建总规模10亿元的淮北市新能网联产业基金，助力产业发展。</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聚焦产业链招商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。实施主导产业链长制，围绕绿色食品（生物科技）、信息技术等主导产业，在招商实践中，定向招引与主导产业高度契合的上中下游配套产业。今年签约的36个项目中，绿色食品（生物科技）及配套项目</w:t>
      </w:r>
      <w:r>
        <w:rPr>
          <w:rFonts w:hint="default" w:ascii="Times New Roman" w:hAnsi="Times New Roman" w:eastAsia="仿宋_GB2312" w:cs="Times New Roman"/>
          <w:b w:val="0"/>
          <w:bCs w:val="0"/>
          <w:i w:val="0"/>
          <w:iCs w:val="0"/>
          <w:color w:val="000000"/>
          <w:spacing w:val="0"/>
          <w:w w:val="100"/>
          <w:kern w:val="2"/>
          <w:sz w:val="32"/>
          <w:szCs w:val="32"/>
          <w:highlight w:val="none"/>
          <w:vertAlign w:val="baseline"/>
          <w:lang w:val="en-US" w:eastAsia="zh-CN" w:bidi="ar-SA"/>
        </w:rPr>
        <w:t>8个，新一代信息技术项目20个，新能源和节能环保项目5个</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，主导产业链条更加完善，产业层次不断提高。</w:t>
      </w:r>
      <w:r>
        <w:rPr>
          <w:rFonts w:hint="default" w:ascii="Times New Roman" w:hAnsi="Times New Roman" w:eastAsia="仿宋_GB2312" w:cs="Times New Roman"/>
          <w:b/>
          <w:bCs/>
          <w:i w:val="0"/>
          <w:iCs w:val="0"/>
          <w:color w:val="000000"/>
          <w:spacing w:val="0"/>
          <w:w w:val="100"/>
          <w:kern w:val="2"/>
          <w:sz w:val="32"/>
          <w:szCs w:val="32"/>
          <w:vertAlign w:val="baseline"/>
          <w:lang w:val="en-US" w:eastAsia="zh-CN" w:bidi="ar-SA"/>
        </w:rPr>
        <w:t>开展以商招商</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。建立良好的服务机制，为落地企业特别是链主企业提供优质服务，打造亲商、稳商的投资发展环境，并通过企业间的口碑效应吸引更多的企业，带动产业链关键环节、上下游配套企业入驻，2023</w:t>
      </w:r>
      <w:r>
        <w:rPr>
          <w:rFonts w:hint="eastAsia" w:ascii="Times New Roman" w:hAnsi="Times New Roman" w:eastAsia="仿宋_GB2312" w:cs="Times New Roman"/>
          <w:b w:val="0"/>
          <w:bCs w:val="0"/>
          <w:i w:val="0"/>
          <w:iCs w:val="0"/>
          <w:color w:val="000000"/>
          <w:spacing w:val="0"/>
          <w:w w:val="100"/>
          <w:kern w:val="2"/>
          <w:sz w:val="32"/>
          <w:szCs w:val="32"/>
          <w:vertAlign w:val="baseline"/>
          <w:lang w:val="en-US" w:eastAsia="zh-CN" w:bidi="ar-SA"/>
        </w:rPr>
        <w:t>年</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通过以商招商引进了“肆季良品”等28个项目，占招商工业项目个数80%以上，形</w:t>
      </w:r>
      <w:r>
        <w:rPr>
          <w:rFonts w:hint="default" w:ascii="Times New Roman" w:hAnsi="Times New Roman" w:eastAsia="仿宋_GB2312" w:cs="Times New Roman"/>
          <w:sz w:val="32"/>
          <w:szCs w:val="32"/>
        </w:rPr>
        <w:t>成“引进一个、带来一批、辐射一片”的连锁效应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提升产业整体竞争力。</w:t>
      </w:r>
    </w:p>
    <w:p w14:paraId="762AA4C9">
      <w:pPr>
        <w:pStyle w:val="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楷体" w:cs="Times New Roman"/>
          <w:b/>
          <w:bCs/>
          <w:color w:val="000000"/>
          <w:kern w:val="2"/>
          <w:sz w:val="32"/>
          <w:szCs w:val="32"/>
          <w:lang w:val="en-US" w:eastAsia="zh-CN" w:bidi="ar-SA"/>
        </w:rPr>
        <w:t>三是抓考核、优服务，发展环境释放更优引力。</w:t>
      </w:r>
      <w:r>
        <w:rPr>
          <w:rFonts w:hint="default" w:ascii="Times New Roman" w:hAnsi="Times New Roman" w:eastAsia="仿宋_GB2312" w:cs="Times New Roman"/>
          <w:b w:val="0"/>
          <w:bCs w:val="0"/>
          <w:i w:val="0"/>
          <w:iCs w:val="0"/>
          <w:color w:val="000000"/>
          <w:spacing w:val="0"/>
          <w:w w:val="100"/>
          <w:kern w:val="2"/>
          <w:sz w:val="32"/>
          <w:szCs w:val="32"/>
          <w:vertAlign w:val="baseline"/>
          <w:lang w:val="en-US" w:eastAsia="zh-CN" w:bidi="ar-SA"/>
        </w:rPr>
        <w:t>一年来，我们坚持把项目落地建成见效作为检验招商引资成效的重要标</w:t>
      </w:r>
      <w:r>
        <w:rPr>
          <w:rFonts w:hint="default" w:ascii="Times New Roman" w:hAnsi="Times New Roman" w:eastAsia="仿宋_GB2312" w:cs="Times New Roman"/>
          <w:b w:val="0"/>
          <w:bCs w:val="0"/>
          <w:i w:val="0"/>
          <w:iCs w:val="0"/>
          <w:color w:val="000000"/>
          <w:spacing w:val="0"/>
          <w:w w:val="100"/>
          <w:sz w:val="32"/>
          <w:szCs w:val="32"/>
          <w:vertAlign w:val="baseline"/>
        </w:rPr>
        <w:t>尺，强化考核机制，畅通政企沟通渠道，加强对投资企业的服务，确保</w:t>
      </w: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签约</w:t>
      </w:r>
      <w:r>
        <w:rPr>
          <w:rFonts w:hint="default" w:ascii="Times New Roman" w:hAnsi="Times New Roman" w:eastAsia="仿宋_GB2312" w:cs="Times New Roman"/>
          <w:b w:val="0"/>
          <w:bCs w:val="0"/>
          <w:i w:val="0"/>
          <w:iCs w:val="0"/>
          <w:color w:val="000000"/>
          <w:spacing w:val="0"/>
          <w:w w:val="100"/>
          <w:sz w:val="32"/>
          <w:szCs w:val="32"/>
          <w:vertAlign w:val="baseline"/>
        </w:rPr>
        <w:t>项目早开工、早竣工、早投产、早见效。</w:t>
      </w:r>
      <w:r>
        <w:rPr>
          <w:rFonts w:hint="default" w:ascii="Times New Roman" w:hAnsi="Times New Roman" w:eastAsia="仿宋_GB2312" w:cs="Times New Roman"/>
          <w:b/>
          <w:bCs/>
          <w:sz w:val="32"/>
          <w:szCs w:val="32"/>
          <w:lang w:val="en-US" w:eastAsia="zh-CN"/>
        </w:rPr>
        <w:t>加强调度考核。</w:t>
      </w:r>
      <w:r>
        <w:rPr>
          <w:rFonts w:hint="default" w:ascii="Times New Roman" w:hAnsi="Times New Roman" w:eastAsia="仿宋_GB2312" w:cs="Times New Roman"/>
          <w:sz w:val="32"/>
          <w:szCs w:val="32"/>
          <w:lang w:val="en-US" w:eastAsia="zh-CN"/>
        </w:rPr>
        <w:t>聚焦招商重点目标任务，定期召开调度会，解决重点项目推进过程中的难点、堵点。建立健全招商快报制度，重点对各招商组、驻外招商中心协议签订、重点项目跟踪洽谈、信息报送等工作完成情况进行通报，充分调动全区各部门、单位的招商积极性、主动性，确保全区招商引资工作顺利推进。</w:t>
      </w:r>
      <w:r>
        <w:rPr>
          <w:rFonts w:hint="default" w:ascii="Times New Roman" w:hAnsi="Times New Roman" w:eastAsia="仿宋_GB2312" w:cs="Times New Roman"/>
          <w:b/>
          <w:bCs/>
          <w:sz w:val="32"/>
          <w:szCs w:val="32"/>
          <w:lang w:val="en-US" w:eastAsia="zh-CN"/>
        </w:rPr>
        <w:t>规范工作流程。</w:t>
      </w:r>
      <w:r>
        <w:rPr>
          <w:rFonts w:hint="default" w:ascii="Times New Roman" w:hAnsi="Times New Roman" w:eastAsia="仿宋_GB2312" w:cs="Times New Roman"/>
          <w:b w:val="0"/>
          <w:bCs w:val="0"/>
          <w:sz w:val="32"/>
          <w:szCs w:val="32"/>
          <w:lang w:val="en-US" w:eastAsia="zh-CN"/>
        </w:rPr>
        <w:t>出台《招商引资项目推进签约工作机制》，</w:t>
      </w:r>
      <w:r>
        <w:rPr>
          <w:rFonts w:hint="default" w:ascii="Times New Roman" w:hAnsi="Times New Roman" w:eastAsia="仿宋_GB2312" w:cs="Times New Roman"/>
          <w:sz w:val="32"/>
          <w:szCs w:val="32"/>
          <w:lang w:val="en-US" w:eastAsia="zh-CN"/>
        </w:rPr>
        <w:t>规范畅通招商工作流程，有效破解信息获取、洽谈对接、引进落地过程中遇到的要素瓶颈，推动项目早落地、早见效。建立</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分类分层谈判签约机制</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，督促载体单位对拟合作项目，依法依规开展项目研判、尽职调查、风险评估、项目预审、项目决策等程序，优化签约环节，切实提高招引项目质量。</w:t>
      </w:r>
      <w:r>
        <w:rPr>
          <w:rFonts w:hint="default" w:ascii="Times New Roman" w:hAnsi="Times New Roman" w:eastAsia="仿宋_GB2312" w:cs="Times New Roman"/>
          <w:b/>
          <w:bCs/>
          <w:sz w:val="32"/>
          <w:szCs w:val="32"/>
          <w:lang w:val="en-US" w:eastAsia="zh-CN"/>
        </w:rPr>
        <w:t>加大走访力度。</w:t>
      </w:r>
      <w:r>
        <w:rPr>
          <w:rFonts w:hint="default" w:ascii="Times New Roman" w:hAnsi="Times New Roman" w:eastAsia="仿宋_GB2312" w:cs="Times New Roman"/>
          <w:b w:val="0"/>
          <w:bCs w:val="0"/>
          <w:sz w:val="32"/>
          <w:szCs w:val="32"/>
          <w:lang w:val="en-US" w:eastAsia="zh-CN"/>
        </w:rPr>
        <w:t>制定走访企业计划表，深入园区在建或已投产企业实地走访调研，了解企业建设经营情况，及时为企业排忧解难</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sz w:val="32"/>
          <w:szCs w:val="32"/>
          <w:lang w:val="en-US" w:eastAsia="zh-CN"/>
        </w:rPr>
        <w:t>2023年走访企业活动共开展20余次，走访企业50余家，收集反馈问题35个，目前已解决28个，切实推动营商环境不断优化改进。</w:t>
      </w:r>
    </w:p>
    <w:p w14:paraId="654225E4">
      <w:pPr>
        <w:numPr>
          <w:ilvl w:val="0"/>
          <w:numId w:val="1"/>
        </w:numPr>
        <w:spacing w:before="101" w:line="513" w:lineRule="exact"/>
        <w:ind w:left="646"/>
        <w:rPr>
          <w:rFonts w:ascii="黑体" w:hAnsi="黑体" w:eastAsia="黑体" w:cs="黑体"/>
          <w:spacing w:val="8"/>
          <w:position w:val="4"/>
          <w:sz w:val="31"/>
          <w:szCs w:val="31"/>
        </w:rPr>
      </w:pPr>
      <w:r>
        <w:rPr>
          <w:rFonts w:ascii="黑体" w:hAnsi="黑体" w:eastAsia="黑体" w:cs="黑体"/>
          <w:spacing w:val="8"/>
          <w:position w:val="4"/>
          <w:sz w:val="31"/>
          <w:szCs w:val="31"/>
        </w:rPr>
        <w:t>自评工作开展情况</w:t>
      </w:r>
    </w:p>
    <w:p w14:paraId="10842C93">
      <w:pPr>
        <w:spacing w:line="580" w:lineRule="exact"/>
        <w:ind w:firstLine="640" w:firstLineChars="200"/>
        <w:jc w:val="both"/>
        <w:rPr>
          <w:rFonts w:hint="eastAsia"/>
        </w:rPr>
      </w:pPr>
      <w:r>
        <w:rPr>
          <w:rFonts w:hint="eastAsia" w:ascii="Times New Roman" w:hAnsi="Times New Roman" w:eastAsia="仿宋_GB2312" w:cs="Times New Roman"/>
          <w:color w:val="111111"/>
          <w:kern w:val="2"/>
          <w:sz w:val="32"/>
          <w:szCs w:val="32"/>
          <w:shd w:val="clear" w:color="auto" w:fill="FFFFFF"/>
          <w:lang w:val="en-US" w:eastAsia="zh-CN" w:bidi="ar-SA"/>
        </w:rPr>
        <w:t>我单位根据预算绩效管理要求，以部门职责为依据，确定部门预算项目和预算额度，确定预算项目的绩效目标和评价标准，为预算绩效控制、绩效分析、绩效评价打下好的基础。</w:t>
      </w:r>
    </w:p>
    <w:p w14:paraId="39FD2F93">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eastAsia="zh-CN"/>
        </w:rPr>
        <w:t>相山区投资促进局</w:t>
      </w:r>
      <w:r>
        <w:rPr>
          <w:rFonts w:hint="eastAsia" w:ascii="仿宋_GB2312" w:hAnsi="Times New Roman" w:eastAsia="仿宋_GB2312" w:cs="Times New Roman"/>
          <w:color w:val="000000"/>
          <w:sz w:val="32"/>
          <w:szCs w:val="32"/>
        </w:rPr>
        <w:t>认真贯彻落实文件部署，明确全过程预算绩效管理业务流程，并在工作中贯彻执行</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成立</w:t>
      </w:r>
      <w:r>
        <w:rPr>
          <w:rFonts w:hint="eastAsia" w:ascii="仿宋_GB2312" w:hAnsi="Times New Roman" w:eastAsia="仿宋_GB2312" w:cs="Times New Roman"/>
          <w:color w:val="000000"/>
          <w:sz w:val="32"/>
          <w:szCs w:val="32"/>
          <w:lang w:val="en-US" w:eastAsia="zh-CN"/>
        </w:rPr>
        <w:t>相山区</w:t>
      </w:r>
      <w:r>
        <w:rPr>
          <w:rFonts w:hint="eastAsia" w:ascii="仿宋_GB2312" w:hAnsi="Times New Roman" w:eastAsia="仿宋_GB2312" w:cs="Times New Roman"/>
          <w:color w:val="000000"/>
          <w:sz w:val="32"/>
          <w:szCs w:val="32"/>
          <w:lang w:eastAsia="zh-CN"/>
        </w:rPr>
        <w:t>投资促进局单位预算绩效管理</w:t>
      </w:r>
      <w:r>
        <w:rPr>
          <w:rFonts w:hint="eastAsia" w:ascii="仿宋_GB2312" w:hAnsi="Times New Roman" w:eastAsia="仿宋_GB2312" w:cs="Times New Roman"/>
          <w:color w:val="000000"/>
          <w:sz w:val="32"/>
          <w:szCs w:val="32"/>
        </w:rPr>
        <w:t>工作领导小组。</w:t>
      </w:r>
    </w:p>
    <w:p w14:paraId="21E06858">
      <w:pPr>
        <w:spacing w:before="260" w:line="417" w:lineRule="exact"/>
        <w:ind w:left="665"/>
        <w:rPr>
          <w:rFonts w:ascii="黑体" w:hAnsi="黑体" w:eastAsia="黑体" w:cs="黑体"/>
          <w:sz w:val="31"/>
          <w:szCs w:val="31"/>
        </w:rPr>
      </w:pPr>
      <w:r>
        <w:rPr>
          <w:rFonts w:hint="eastAsia" w:ascii="黑体" w:hAnsi="黑体" w:eastAsia="黑体" w:cs="黑体"/>
          <w:spacing w:val="9"/>
          <w:position w:val="2"/>
          <w:sz w:val="31"/>
          <w:szCs w:val="31"/>
          <w:lang w:eastAsia="zh-CN"/>
        </w:rPr>
        <w:t>三</w:t>
      </w:r>
      <w:r>
        <w:rPr>
          <w:rFonts w:ascii="黑体" w:hAnsi="黑体" w:eastAsia="黑体" w:cs="黑体"/>
          <w:spacing w:val="8"/>
          <w:position w:val="2"/>
          <w:sz w:val="31"/>
          <w:szCs w:val="31"/>
        </w:rPr>
        <w:t>、部门预算支出情况</w:t>
      </w:r>
    </w:p>
    <w:p w14:paraId="54D059CE">
      <w:pPr>
        <w:spacing w:after="0" w:line="56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一切支出按照国家财经法规和财务管理制度规定以及专项资金管理办法的规定办理，资金拨付有完善的审批程序和手续，支出符合部门预算批复的用途，资金使用无截留、挤占挪用、虚列支出等情况</w:t>
      </w:r>
      <w:r>
        <w:rPr>
          <w:rFonts w:hint="eastAsia" w:ascii="仿宋_GB2312" w:eastAsia="仿宋_GB2312" w:cs="Mongolian Baiti"/>
          <w:sz w:val="32"/>
          <w:szCs w:val="32"/>
        </w:rPr>
        <w:t>我单位预算按照序时进度完成执行。</w:t>
      </w:r>
    </w:p>
    <w:p w14:paraId="4FFD8FD7">
      <w:pPr>
        <w:keepNext w:val="0"/>
        <w:keepLines w:val="0"/>
        <w:pageBreakBefore w:val="0"/>
        <w:widowControl/>
        <w:kinsoku/>
        <w:wordWrap/>
        <w:overflowPunct/>
        <w:topLinePunct w:val="0"/>
        <w:bidi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202</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年总体支出情况</w:t>
      </w:r>
      <w:r>
        <w:rPr>
          <w:rFonts w:hint="eastAsia" w:ascii="仿宋_GB2312" w:hAnsi="仿宋_GB2312" w:eastAsia="仿宋_GB2312" w:cs="仿宋_GB2312"/>
          <w:sz w:val="32"/>
          <w:szCs w:val="32"/>
        </w:rPr>
        <w:t>。</w:t>
      </w:r>
      <w:r>
        <w:rPr>
          <w:rFonts w:hint="eastAsia" w:ascii="Times New Roman" w:hAnsi="Times New Roman" w:eastAsia="仿宋_GB2312"/>
          <w:color w:val="000000"/>
          <w:sz w:val="32"/>
          <w:szCs w:val="32"/>
          <w:lang w:eastAsia="zh-CN"/>
        </w:rPr>
        <w:t>单位整体支出</w:t>
      </w:r>
      <w:r>
        <w:rPr>
          <w:rFonts w:hint="eastAsia" w:ascii="Times New Roman" w:hAnsi="Times New Roman" w:eastAsia="仿宋_GB2312"/>
          <w:color w:val="000000"/>
          <w:sz w:val="32"/>
          <w:szCs w:val="32"/>
        </w:rPr>
        <w:t>年初预算收入</w:t>
      </w:r>
      <w:r>
        <w:rPr>
          <w:rFonts w:hint="eastAsia" w:ascii="Times New Roman" w:hAnsi="Times New Roman" w:eastAsia="仿宋_GB2312"/>
          <w:color w:val="000000"/>
          <w:sz w:val="32"/>
          <w:szCs w:val="32"/>
          <w:lang w:val="en-US" w:eastAsia="zh-CN"/>
        </w:rPr>
        <w:t>565.79</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预算执行数为</w:t>
      </w:r>
      <w:r>
        <w:rPr>
          <w:rFonts w:hint="eastAsia" w:ascii="Times New Roman" w:hAnsi="Times New Roman" w:eastAsia="仿宋_GB2312"/>
          <w:color w:val="000000"/>
          <w:sz w:val="32"/>
          <w:szCs w:val="32"/>
          <w:lang w:val="en-US" w:eastAsia="zh-CN"/>
        </w:rPr>
        <w:t>371.23万元，</w:t>
      </w:r>
      <w:r>
        <w:rPr>
          <w:rFonts w:hint="eastAsia" w:ascii="Times New Roman" w:hAnsi="Times New Roman" w:eastAsia="仿宋_GB2312"/>
          <w:color w:val="000000"/>
          <w:sz w:val="32"/>
          <w:szCs w:val="32"/>
          <w:lang w:eastAsia="zh-CN"/>
        </w:rPr>
        <w:t>预算执行率</w:t>
      </w:r>
      <w:r>
        <w:rPr>
          <w:rFonts w:hint="eastAsia" w:ascii="Times New Roman" w:hAnsi="Times New Roman" w:eastAsia="仿宋_GB2312"/>
          <w:color w:val="000000"/>
          <w:sz w:val="32"/>
          <w:szCs w:val="32"/>
          <w:lang w:val="en-US" w:eastAsia="zh-CN"/>
        </w:rPr>
        <w:t>65.61%。</w:t>
      </w:r>
    </w:p>
    <w:p w14:paraId="73C4D75F">
      <w:pPr>
        <w:keepNext w:val="0"/>
        <w:keepLines w:val="0"/>
        <w:pageBreakBefore w:val="0"/>
        <w:widowControl/>
        <w:kinsoku/>
        <w:wordWrap/>
        <w:overflowPunct/>
        <w:topLinePunct w:val="0"/>
        <w:bidi w:val="0"/>
        <w:spacing w:line="560" w:lineRule="exact"/>
        <w:ind w:firstLine="643" w:firstLineChars="200"/>
        <w:textAlignment w:val="auto"/>
        <w:rPr>
          <w:rFonts w:ascii="仿宋_GB2312" w:hAnsi="仿宋_GB2312" w:eastAsia="仿宋_GB2312" w:cs="仿宋_GB2312"/>
          <w:sz w:val="32"/>
          <w:szCs w:val="32"/>
        </w:rPr>
      </w:pPr>
      <w:bookmarkStart w:id="0" w:name="bookmark22"/>
      <w:bookmarkEnd w:id="0"/>
      <w:bookmarkStart w:id="1" w:name="bookmark23"/>
      <w:bookmarkEnd w:id="1"/>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2023年</w:t>
      </w:r>
      <w:r>
        <w:rPr>
          <w:rFonts w:hint="eastAsia" w:ascii="仿宋_GB2312" w:hAnsi="仿宋_GB2312" w:eastAsia="仿宋_GB2312" w:cs="仿宋_GB2312"/>
          <w:b/>
          <w:bCs/>
          <w:sz w:val="32"/>
          <w:szCs w:val="32"/>
        </w:rPr>
        <w:t>项目支出情况。</w:t>
      </w:r>
      <w:r>
        <w:rPr>
          <w:rFonts w:hint="eastAsia" w:ascii="Times New Roman" w:hAnsi="Times New Roman" w:eastAsia="仿宋_GB2312"/>
          <w:color w:val="000000"/>
          <w:sz w:val="32"/>
          <w:szCs w:val="32"/>
          <w:lang w:eastAsia="zh-CN"/>
        </w:rPr>
        <w:t>项目支出</w:t>
      </w:r>
      <w:r>
        <w:rPr>
          <w:rFonts w:hint="eastAsia" w:ascii="Times New Roman" w:hAnsi="Times New Roman" w:eastAsia="仿宋_GB2312"/>
          <w:color w:val="000000"/>
          <w:sz w:val="32"/>
          <w:szCs w:val="32"/>
          <w:lang w:val="en-US" w:eastAsia="zh-CN"/>
        </w:rPr>
        <w:t>其它运转类招商引资工作经费</w:t>
      </w:r>
      <w:r>
        <w:rPr>
          <w:rFonts w:hint="eastAsia" w:ascii="Times New Roman" w:hAnsi="Times New Roman" w:eastAsia="仿宋_GB2312"/>
          <w:color w:val="000000"/>
          <w:sz w:val="32"/>
          <w:szCs w:val="32"/>
        </w:rPr>
        <w:t>年初预算收入</w:t>
      </w:r>
      <w:r>
        <w:rPr>
          <w:rFonts w:hint="eastAsia" w:ascii="Times New Roman" w:hAnsi="Times New Roman" w:eastAsia="仿宋_GB2312"/>
          <w:color w:val="000000"/>
          <w:sz w:val="32"/>
          <w:szCs w:val="32"/>
          <w:lang w:val="en-US" w:eastAsia="zh-CN"/>
        </w:rPr>
        <w:t>296</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预算执行数为</w:t>
      </w:r>
      <w:r>
        <w:rPr>
          <w:rFonts w:hint="eastAsia" w:ascii="Times New Roman" w:hAnsi="Times New Roman" w:eastAsia="仿宋_GB2312"/>
          <w:color w:val="000000"/>
          <w:sz w:val="32"/>
          <w:szCs w:val="32"/>
          <w:lang w:val="en-US" w:eastAsia="zh-CN"/>
        </w:rPr>
        <w:t>154.5万元，</w:t>
      </w:r>
      <w:r>
        <w:rPr>
          <w:rFonts w:hint="eastAsia" w:ascii="Times New Roman" w:hAnsi="Times New Roman" w:eastAsia="仿宋_GB2312"/>
          <w:color w:val="000000"/>
          <w:sz w:val="32"/>
          <w:szCs w:val="32"/>
          <w:lang w:eastAsia="zh-CN"/>
        </w:rPr>
        <w:t>预算执行率</w:t>
      </w:r>
      <w:r>
        <w:rPr>
          <w:rFonts w:hint="eastAsia" w:ascii="Times New Roman" w:hAnsi="Times New Roman" w:eastAsia="仿宋_GB2312"/>
          <w:color w:val="000000"/>
          <w:sz w:val="32"/>
          <w:szCs w:val="32"/>
          <w:lang w:val="en-US" w:eastAsia="zh-CN"/>
        </w:rPr>
        <w:t>为52.2%。</w:t>
      </w:r>
      <w:bookmarkStart w:id="2" w:name="_GoBack"/>
      <w:bookmarkEnd w:id="2"/>
    </w:p>
    <w:p w14:paraId="796FBDA2">
      <w:pPr>
        <w:spacing w:before="255" w:line="241" w:lineRule="auto"/>
        <w:ind w:left="667"/>
        <w:rPr>
          <w:rFonts w:ascii="黑体" w:hAnsi="黑体" w:eastAsia="黑体" w:cs="黑体"/>
          <w:sz w:val="31"/>
          <w:szCs w:val="31"/>
        </w:rPr>
      </w:pPr>
      <w:r>
        <w:rPr>
          <w:rFonts w:hint="eastAsia" w:ascii="黑体" w:hAnsi="黑体" w:eastAsia="黑体" w:cs="黑体"/>
          <w:spacing w:val="9"/>
          <w:sz w:val="31"/>
          <w:szCs w:val="31"/>
          <w:lang w:eastAsia="zh-CN"/>
        </w:rPr>
        <w:t>四</w:t>
      </w:r>
      <w:r>
        <w:rPr>
          <w:rFonts w:ascii="黑体" w:hAnsi="黑体" w:eastAsia="黑体" w:cs="黑体"/>
          <w:spacing w:val="8"/>
          <w:sz w:val="31"/>
          <w:szCs w:val="31"/>
        </w:rPr>
        <w:t>、项目自评结果及分析</w:t>
      </w:r>
    </w:p>
    <w:p w14:paraId="6FE00C1F">
      <w:pPr>
        <w:keepNext w:val="0"/>
        <w:keepLines w:val="0"/>
        <w:pageBreakBefore w:val="0"/>
        <w:widowControl/>
        <w:kinsoku/>
        <w:wordWrap/>
        <w:overflowPunct/>
        <w:topLinePunct w:val="0"/>
        <w:bidi w:val="0"/>
        <w:spacing w:line="560" w:lineRule="exact"/>
        <w:ind w:firstLine="640" w:firstLineChars="200"/>
        <w:textAlignment w:val="auto"/>
        <w:rPr>
          <w:rFonts w:ascii="黑体" w:hAnsi="黑体" w:eastAsia="黑体" w:cs="黑体"/>
          <w:spacing w:val="10"/>
          <w:sz w:val="31"/>
          <w:szCs w:val="31"/>
        </w:rPr>
      </w:pPr>
      <w:r>
        <w:rPr>
          <w:rFonts w:hint="eastAsia" w:ascii="Times New Roman" w:hAnsi="Times New Roman" w:eastAsia="仿宋_GB2312"/>
          <w:color w:val="000000"/>
          <w:sz w:val="32"/>
          <w:szCs w:val="32"/>
          <w:lang w:eastAsia="zh-CN"/>
        </w:rPr>
        <w:t>包括项目支出单位自评分数</w:t>
      </w:r>
      <w:r>
        <w:rPr>
          <w:rFonts w:hint="eastAsia" w:ascii="Times New Roman" w:hAnsi="Times New Roman" w:eastAsia="仿宋_GB2312"/>
          <w:color w:val="000000"/>
          <w:sz w:val="32"/>
          <w:szCs w:val="32"/>
          <w:lang w:val="en-US" w:eastAsia="zh-CN"/>
        </w:rPr>
        <w:t>98分</w:t>
      </w:r>
      <w:r>
        <w:rPr>
          <w:rFonts w:hint="eastAsia" w:ascii="Times New Roman" w:hAnsi="Times New Roman" w:eastAsia="仿宋_GB2312"/>
          <w:color w:val="000000"/>
          <w:sz w:val="32"/>
          <w:szCs w:val="32"/>
          <w:lang w:eastAsia="zh-CN"/>
        </w:rPr>
        <w:t>。绩效指标完成情 况较好，预算执行情况完成情况较好，无本年度总体绩效目标没有完成的项目 、绩效指标完成情况存在较大偏差的项目。</w:t>
      </w:r>
    </w:p>
    <w:p w14:paraId="38C532EC">
      <w:pPr>
        <w:spacing w:before="219" w:line="232" w:lineRule="auto"/>
        <w:ind w:left="679"/>
        <w:rPr>
          <w:rFonts w:ascii="黑体" w:hAnsi="黑体" w:eastAsia="黑体" w:cs="黑体"/>
          <w:b/>
          <w:bCs/>
          <w:sz w:val="31"/>
          <w:szCs w:val="31"/>
        </w:rPr>
      </w:pPr>
      <w:r>
        <w:rPr>
          <w:rFonts w:ascii="黑体" w:hAnsi="黑体" w:eastAsia="黑体" w:cs="黑体"/>
          <w:spacing w:val="10"/>
          <w:sz w:val="31"/>
          <w:szCs w:val="31"/>
        </w:rPr>
        <w:t>四</w:t>
      </w:r>
      <w:r>
        <w:rPr>
          <w:rFonts w:ascii="黑体" w:hAnsi="黑体" w:eastAsia="黑体" w:cs="黑体"/>
          <w:spacing w:val="8"/>
          <w:sz w:val="31"/>
          <w:szCs w:val="31"/>
        </w:rPr>
        <w:t>、</w:t>
      </w:r>
      <w:r>
        <w:rPr>
          <w:rFonts w:hint="eastAsia" w:ascii="仿宋_GB2312" w:eastAsia="仿宋_GB2312"/>
          <w:b/>
          <w:bCs/>
          <w:sz w:val="32"/>
          <w:szCs w:val="32"/>
          <w:lang w:val="en-US" w:eastAsia="zh-CN"/>
        </w:rPr>
        <w:t>绩效自评发现的主要问题及整改措施</w:t>
      </w:r>
    </w:p>
    <w:p w14:paraId="506E195B">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由于我局存在项目实施情况需进行长期规划，招商引资成效短期内成效较慢，故这部分项目预算执行进度稍慢。</w:t>
      </w:r>
    </w:p>
    <w:p w14:paraId="5B9E5F04">
      <w:pPr>
        <w:ind w:firstLine="640" w:firstLineChars="200"/>
        <w:rPr>
          <w:rFonts w:hint="eastAsia" w:ascii="仿宋_GB2312" w:hAnsi="Mongolian Baiti" w:eastAsia="仿宋_GB2312" w:cs="Mongolian Baiti"/>
          <w:sz w:val="32"/>
          <w:szCs w:val="32"/>
        </w:rPr>
      </w:pPr>
      <w:r>
        <w:rPr>
          <w:rFonts w:hint="eastAsia" w:ascii="仿宋_GB2312" w:eastAsia="仿宋_GB2312"/>
          <w:sz w:val="32"/>
          <w:szCs w:val="32"/>
          <w:lang w:val="en-US" w:eastAsia="zh-CN"/>
        </w:rPr>
        <w:t>采取措施：我局将高度重视此工作，根据下一年度预算资金编制，严格抓好预算绩效管理工作，加强执行力度的监管，提高资金使用率。</w:t>
      </w:r>
    </w:p>
    <w:p w14:paraId="3798D827">
      <w:pPr>
        <w:spacing w:after="0" w:line="560" w:lineRule="exact"/>
        <w:ind w:firstLine="643" w:firstLineChars="200"/>
        <w:rPr>
          <w:rFonts w:ascii="仿宋_GB2312" w:hAnsi="黑体" w:eastAsia="仿宋_GB2312" w:cs="Mongolian Baiti"/>
          <w:b/>
          <w:sz w:val="32"/>
          <w:szCs w:val="32"/>
        </w:rPr>
      </w:pPr>
      <w:r>
        <w:rPr>
          <w:rFonts w:hint="eastAsia" w:ascii="仿宋_GB2312" w:hAnsi="黑体" w:eastAsia="仿宋_GB2312" w:cs="Mongolian Baiti"/>
          <w:b/>
          <w:sz w:val="32"/>
          <w:szCs w:val="32"/>
          <w:lang w:eastAsia="zh-CN"/>
        </w:rPr>
        <w:t>五</w:t>
      </w:r>
      <w:r>
        <w:rPr>
          <w:rFonts w:hint="eastAsia" w:ascii="仿宋_GB2312" w:hAnsi="黑体" w:eastAsia="仿宋_GB2312" w:cs="Mongolian Baiti"/>
          <w:b/>
          <w:sz w:val="32"/>
          <w:szCs w:val="32"/>
        </w:rPr>
        <w:t>、下一步工作</w:t>
      </w:r>
    </w:p>
    <w:p w14:paraId="7BB04C74">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(一)执行绩效管理计划。我局根据确定的年度绩效管理目标制定具体实施计划，明确内部业务分工，落实人员及其工作职责，明确时序进度和目标要求，总结汇集工作成果。</w:t>
      </w:r>
    </w:p>
    <w:p w14:paraId="0DFB13DD">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(二)强化关键指标的监测。对关键指标执行情况实行全程监测管理，对重点项目采取责任负责制，并与相关单位协调、配合的方式推动。</w:t>
      </w:r>
    </w:p>
    <w:p w14:paraId="2E7D70D1">
      <w:pPr>
        <w:rPr>
          <w:rFonts w:hint="eastAsia" w:eastAsia="宋体"/>
          <w:sz w:val="32"/>
          <w:szCs w:val="32"/>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264BF">
    <w:pPr>
      <w:spacing w:line="180" w:lineRule="auto"/>
      <w:ind w:left="4045"/>
      <w:rPr>
        <w:rFonts w:ascii="Calibri" w:hAnsi="Calibri" w:eastAsia="Calibri" w:cs="Calibri"/>
        <w:sz w:val="18"/>
        <w:szCs w:val="18"/>
      </w:rPr>
    </w:pPr>
    <w:r>
      <w:rPr>
        <w:rFonts w:ascii="Calibri" w:hAnsi="Calibri" w:eastAsia="Calibri" w:cs="Calibri"/>
        <w:sz w:val="18"/>
        <w:szCs w:val="18"/>
      </w:rPr>
      <w:t>- 12 -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D31F5"/>
    <w:multiLevelType w:val="singleLevel"/>
    <w:tmpl w:val="934D31F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ZjJlN2M0NzBkZDYzNjc1MWYxMTJkMzRjYTBlOWQifQ=="/>
  </w:docVars>
  <w:rsids>
    <w:rsidRoot w:val="2E2C06B6"/>
    <w:rsid w:val="068F09C3"/>
    <w:rsid w:val="146D2C0E"/>
    <w:rsid w:val="2076109D"/>
    <w:rsid w:val="233D2CC6"/>
    <w:rsid w:val="2E2C06B6"/>
    <w:rsid w:val="3ACC7DDF"/>
    <w:rsid w:val="3BF70E8C"/>
    <w:rsid w:val="3EE020AB"/>
    <w:rsid w:val="44A32C54"/>
    <w:rsid w:val="4CC74108"/>
    <w:rsid w:val="5245683B"/>
    <w:rsid w:val="542B1784"/>
    <w:rsid w:val="5A7A25B0"/>
    <w:rsid w:val="5F1C307B"/>
    <w:rsid w:val="62F67E98"/>
    <w:rsid w:val="73834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qFormat/>
    <w:uiPriority w:val="99"/>
    <w:pPr>
      <w:spacing w:beforeAutospacing="1" w:afterAutospacing="1"/>
      <w:jc w:val="left"/>
      <w:outlineLvl w:val="1"/>
    </w:pPr>
    <w:rPr>
      <w:rFonts w:ascii="宋体" w:hAnsi="宋体"/>
      <w:b/>
      <w:bCs/>
      <w:kern w:val="0"/>
      <w:sz w:val="36"/>
      <w:szCs w:val="36"/>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4"/>
    <w:qFormat/>
    <w:uiPriority w:val="99"/>
    <w:pPr>
      <w:ind w:left="420" w:leftChars="200"/>
    </w:pPr>
  </w:style>
  <w:style w:type="paragraph" w:styleId="4">
    <w:name w:val="envelope return"/>
    <w:basedOn w:val="1"/>
    <w:qFormat/>
    <w:uiPriority w:val="99"/>
    <w:pPr>
      <w:snapToGrid w:val="0"/>
    </w:pPr>
    <w:rPr>
      <w:rFonts w:ascii="Arial" w:hAnsi="Arial"/>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BodyText"/>
    <w:qFormat/>
    <w:uiPriority w:val="99"/>
    <w:pPr>
      <w:widowControl w:val="0"/>
      <w:spacing w:after="120" w:line="580" w:lineRule="exact"/>
      <w:jc w:val="both"/>
    </w:pPr>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1038</Words>
  <Characters>1138</Characters>
  <Lines>0</Lines>
  <Paragraphs>0</Paragraphs>
  <TotalTime>38</TotalTime>
  <ScaleCrop>false</ScaleCrop>
  <LinksUpToDate>false</LinksUpToDate>
  <CharactersWithSpaces>1141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2023-03-27T02:28:00Z</dcterms:created>
  <dc:creator>徐微微</dc:creator>
  <cp:lastModifiedBy>Cinderella-路</cp:lastModifiedBy>
  <dcterms:modified xsi:type="dcterms:W3CDTF">2024-12-16T10:41:22Z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88802642509A4667A36972704C9D6468_13</vt:lpwstr>
  </property>
</Properties>
</file>