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宋体" w:eastAsia="黑体" w:cs="Times New Roman"/>
          <w:sz w:val="32"/>
          <w:szCs w:val="32"/>
          <w:lang w:val="en-US"/>
        </w:rPr>
      </w:pPr>
      <w:r>
        <w:rPr>
          <w:rFonts w:hint="eastAsia" w:ascii="Times New Roman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宋体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淮北市相山区任圩街道办事处2022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年部门预算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lang w:eastAsia="zh-CN"/>
        </w:rPr>
        <w:t>2022</w:t>
      </w:r>
      <w:r>
        <w:rPr>
          <w:rFonts w:hint="eastAsia" w:ascii="黑体" w:hAnsi="黑体" w:eastAsia="黑体"/>
          <w:bCs/>
          <w:sz w:val="44"/>
          <w:szCs w:val="44"/>
        </w:rPr>
        <w:t>年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Cs/>
          <w:sz w:val="44"/>
          <w:szCs w:val="44"/>
        </w:rPr>
        <w:t>月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目 录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hint="eastAsia"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第一部分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仿宋"/>
          <w:b/>
          <w:sz w:val="32"/>
          <w:szCs w:val="32"/>
        </w:rPr>
        <w:t>概况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1.主要职责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预算构成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年度主要工作任务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第二部分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仿宋"/>
          <w:b/>
          <w:sz w:val="32"/>
          <w:szCs w:val="32"/>
        </w:rPr>
        <w:t>预算表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年收支总表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年收入总表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年支出总表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年财政拨款收支总表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年一般公共预算基本支出表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年政府性基金预算支出表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年国有资本经营预算支出表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年项目支出表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年政府采购支出表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年政府购买服务支出表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第三部分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仿宋"/>
          <w:b/>
          <w:sz w:val="32"/>
          <w:szCs w:val="32"/>
        </w:rPr>
        <w:t>预算情况说明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年收支总表的说明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年收入总表的说明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3.关于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年支出总表的说明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年财政拨款收支总表的说明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年一般公共预算基本支出表的说明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年政府性基金预算支出表的说明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年国有资本经营预算支出表的说明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年项目支出表的说明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年政府采购支出表的说明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年政府购买服务支出表的说明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12.其他重要事项情况说明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第四部分 名词解释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第一部分 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bCs/>
          <w:sz w:val="36"/>
          <w:szCs w:val="36"/>
        </w:rPr>
        <w:t>概况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</w:pPr>
      <w:r>
        <w:rPr>
          <w:rFonts w:hint="eastAsia" w:ascii="黑体" w:hAnsi="黑体" w:eastAsia="黑体"/>
          <w:bCs/>
          <w:sz w:val="32"/>
          <w:szCs w:val="32"/>
        </w:rPr>
        <w:t>一、主要职责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任圩街道办事处是淮北市相山区政府的派出机构，受相山区政府的领导，依据法律、法规和规章的规定，行使行政管理职责，负责本辖区各项行政管理工作。主要职责是：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（一）贯彻执行党和国家的路线、方针、政策和上级人民政府关于街道工作方面的决定，制定具体的管理办法并组织实施；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（二）负责辖区内市容市貌和环境卫生的日常管理工作，发动辖区单位和群众保护环境，开展爱国卫生运动；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（三）动员和领导居民及各单位、各部门开展社区建设工作；制定并实施社区建设规划和年度计划；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（四）指导社区居民委员会的工作；协调解决行政事务、社会管理和公共服务方面的问题；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（五）负责社区集体“三资”的监督管理工作；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（六）负责辖区内普法教育工作，维护老人、妇女儿童的合法权益；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（七）负责辖区内安全生产和消防工作的指导、监督；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（八）会同有关部门做好本辖区综治、信访、维稳等工作；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（九）会同有关部门做好本辖区人口和计划生育工作；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（十）会同有关部门做好辖区内的企业服务、在地统计工作；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（十一）会同有关部门做好辖区人员就业、社保、退管等社会保障工作；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（十二）协助武装部门做好国防动员、民兵训练和公民服兵役工作；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（十三）配合有关部门做好防空、森林防火、防汛、防风、防旱、防震、征地和城市房屋拆迁、抢险救灾、重大动物疫情防控等工作；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（十四）承办区政府交办的其他事项。</w:t>
      </w:r>
    </w:p>
    <w:p>
      <w:pPr>
        <w:pStyle w:val="4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bCs/>
          <w:sz w:val="32"/>
          <w:szCs w:val="32"/>
        </w:rPr>
        <w:t>预算构成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 w:cs="Times New Roman"/>
          <w:color w:val="FF00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相山区任圩街道办事处2022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年度单位预算包括单位本级预算及所属下级单位预算，</w:t>
      </w:r>
      <w:r>
        <w:rPr>
          <w:rFonts w:hint="eastAsia" w:ascii="仿宋_GB2312" w:hAnsi="仿宋" w:eastAsia="仿宋_GB2312"/>
          <w:sz w:val="32"/>
          <w:szCs w:val="32"/>
        </w:rPr>
        <w:t>纳入单位预算编制范围的预算单位共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个，具体情况见下表。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ascii="仿宋_GB2312" w:hAnsi="仿宋" w:eastAsia="仿宋_GB2312" w:cs="仿宋"/>
          <w:bCs/>
          <w:sz w:val="32"/>
          <w:szCs w:val="32"/>
        </w:rPr>
      </w:pPr>
    </w:p>
    <w:tbl>
      <w:tblPr>
        <w:tblStyle w:val="5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976"/>
        <w:gridCol w:w="4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4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淮北市相山区任圩街道办事处本级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行政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eastAsia="zh-CN"/>
              </w:rPr>
              <w:t>淮北市相山区汽车城管委会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公益二类事业单位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hint="eastAsia" w:ascii="黑体" w:hAnsi="黑体" w:eastAsia="黑体"/>
          <w:bCs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三、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年度主要工作任务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bCs/>
          <w:sz w:val="32"/>
          <w:szCs w:val="32"/>
        </w:rPr>
        <w:t>（一）紧紧围绕区委、区政府下达重点工作目标，保证完成目标任务。全力以赴做好202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年各项工作。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（二）进一步完善社会保障工作，确保养老、医疗保险有序开展；加大低保和社会救济工作力度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）继续深化开展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卫生健康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、优抚和残联工作，抓好各种节日走访慰问工作，切实为群众排忧解难。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）继续抓好信访工作，确保辖区稳定。继续配合市、区政府做好信访稳定工作，确保自身不发生信访问题，力争全年无赴省上京信访案件。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（五）坚持统一领导，全面扎实做好常态化疫情防控工作，落实疫情防控要求。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</w:p>
    <w:p>
      <w:pPr>
        <w:pStyle w:val="4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2022</w:t>
      </w:r>
      <w:r>
        <w:rPr>
          <w:rFonts w:hint="eastAsia" w:ascii="黑体" w:hAnsi="黑体" w:eastAsia="黑体"/>
          <w:bCs/>
          <w:sz w:val="36"/>
          <w:szCs w:val="36"/>
        </w:rPr>
        <w:t>年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bCs/>
          <w:sz w:val="36"/>
          <w:szCs w:val="36"/>
        </w:rPr>
        <w:t>预算表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见“附件</w:t>
      </w:r>
      <w:r>
        <w:rPr>
          <w:rFonts w:ascii="仿宋_GB2312" w:hAnsi="黑体" w:eastAsia="仿宋_GB2312" w:cs="仿宋_GB2312"/>
          <w:sz w:val="32"/>
          <w:szCs w:val="32"/>
        </w:rPr>
        <w:t>1-2 2022</w:t>
      </w:r>
      <w:r>
        <w:rPr>
          <w:rFonts w:hint="eastAsia" w:ascii="仿宋_GB2312" w:hAnsi="黑体" w:eastAsia="仿宋_GB2312" w:cs="仿宋_GB2312"/>
          <w:sz w:val="32"/>
          <w:szCs w:val="32"/>
        </w:rPr>
        <w:t>年部门预算表”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第三部分 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2022</w:t>
      </w:r>
      <w:r>
        <w:rPr>
          <w:rFonts w:hint="eastAsia" w:ascii="黑体" w:hAnsi="黑体" w:eastAsia="黑体"/>
          <w:bCs/>
          <w:sz w:val="36"/>
          <w:szCs w:val="36"/>
        </w:rPr>
        <w:t>年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bCs/>
          <w:sz w:val="36"/>
          <w:szCs w:val="36"/>
        </w:rPr>
        <w:t>预算情况说明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一、关于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年收支总表的说明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按照综合预算的原则，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/>
          <w:sz w:val="32"/>
          <w:szCs w:val="32"/>
        </w:rPr>
        <w:t>所有收入和支出均纳入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预算管理。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/>
          <w:sz w:val="32"/>
          <w:szCs w:val="32"/>
        </w:rPr>
        <w:t>年收支总预算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2223.71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</w:rPr>
        <w:t>收入全部是一般公共预算拨款收入，支出包括：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一般公共服务支出、</w:t>
      </w:r>
      <w:r>
        <w:rPr>
          <w:rFonts w:hint="eastAsia" w:ascii="仿宋_GB2312" w:hAnsi="仿宋" w:eastAsia="仿宋_GB2312" w:cs="仿宋_GB2312"/>
          <w:sz w:val="32"/>
          <w:szCs w:val="32"/>
        </w:rPr>
        <w:t>社会保障和就业支出、卫生健康支出、城乡社区支出、住房保障支出。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仿宋" w:eastAsia="楷体_GB231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二、关于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年收入总表的说明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/>
          <w:sz w:val="32"/>
          <w:szCs w:val="32"/>
        </w:rPr>
        <w:t>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2223.71</w:t>
      </w:r>
      <w:r>
        <w:rPr>
          <w:rFonts w:hint="eastAsia" w:ascii="仿宋_GB2312" w:hAnsi="仿宋" w:eastAsia="仿宋_GB2312"/>
          <w:sz w:val="32"/>
          <w:szCs w:val="32"/>
        </w:rPr>
        <w:t>万元，其中，本年收入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2223.71</w:t>
      </w:r>
      <w:r>
        <w:rPr>
          <w:rFonts w:hint="eastAsia" w:ascii="仿宋_GB2312" w:hAnsi="仿宋" w:eastAsia="仿宋_GB2312"/>
          <w:sz w:val="32"/>
          <w:szCs w:val="32"/>
        </w:rPr>
        <w:t>万元，上年结转结余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2223.71</w:t>
      </w:r>
      <w:r>
        <w:rPr>
          <w:rFonts w:hint="eastAsia" w:ascii="仿宋_GB2312" w:hAnsi="仿宋" w:eastAsia="仿宋_GB2312"/>
          <w:sz w:val="32"/>
          <w:szCs w:val="32"/>
        </w:rPr>
        <w:t>万元，主要包括：一般公共预算拨款收入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2223.71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452.54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20.35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 w:cs="仿宋_GB2312"/>
          <w:sz w:val="32"/>
          <w:szCs w:val="32"/>
        </w:rPr>
        <w:t>主要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原因</w:t>
      </w:r>
      <w:r>
        <w:rPr>
          <w:rFonts w:hint="eastAsia" w:ascii="仿宋_GB2312" w:hAnsi="仿宋" w:eastAsia="仿宋_GB2312" w:cs="仿宋_GB2312"/>
          <w:sz w:val="32"/>
          <w:szCs w:val="32"/>
        </w:rPr>
        <w:t>一是人员增加、工资和保险增加，二是增加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卫计</w:t>
      </w:r>
      <w:r>
        <w:rPr>
          <w:rFonts w:hint="eastAsia" w:ascii="仿宋_GB2312" w:hAnsi="仿宋" w:eastAsia="仿宋_GB2312" w:cs="仿宋_GB2312"/>
          <w:sz w:val="32"/>
          <w:szCs w:val="32"/>
        </w:rPr>
        <w:t>等经费；政府性基金预算拨款收入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年未安排此项预算；国有资本经营预算拨款收入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年未安排此项预算；财政专户管理资金收入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年未安排此项预算；单位资金收入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，主要原因是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年未安排此项预算。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 w:cs="仿宋_GB2312"/>
          <w:sz w:val="32"/>
          <w:szCs w:val="32"/>
        </w:rPr>
        <w:t>上年结转结余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万元，主要包括：一般公共预算拨款收入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；政府性基金预算拨款收入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；国有资本经营预算拨款收入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；财政专户管理资金收入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；单位资金收入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三、关于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:lang w:eastAsia="zh-CN"/>
        </w:rPr>
        <w:t>2022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年支出总表的说明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Times New Roman"/>
          <w:sz w:val="32"/>
          <w:szCs w:val="32"/>
        </w:rPr>
        <w:t>年支出预算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2223.71</w:t>
      </w:r>
      <w:r>
        <w:rPr>
          <w:rFonts w:hint="eastAsia" w:ascii="仿宋_GB2312" w:hAnsi="仿宋" w:eastAsia="仿宋_GB2312" w:cs="Times New Roman"/>
          <w:sz w:val="32"/>
          <w:szCs w:val="32"/>
        </w:rPr>
        <w:t>万元，比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 w:cs="Times New Roman"/>
          <w:sz w:val="32"/>
          <w:szCs w:val="32"/>
        </w:rPr>
        <w:t>年预算增加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452.52</w:t>
      </w:r>
      <w:r>
        <w:rPr>
          <w:rFonts w:hint="eastAsia" w:ascii="仿宋_GB2312" w:hAnsi="仿宋" w:eastAsia="仿宋_GB2312" w:cs="Times New Roman"/>
          <w:sz w:val="32"/>
          <w:szCs w:val="32"/>
        </w:rPr>
        <w:t>万元，增长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20.35</w:t>
      </w:r>
      <w:r>
        <w:rPr>
          <w:rFonts w:hint="eastAsia" w:ascii="仿宋_GB2312" w:hAnsi="仿宋" w:eastAsia="仿宋_GB2312" w:cs="Times New Roman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</w:rPr>
        <w:t>增长</w:t>
      </w:r>
      <w:r>
        <w:rPr>
          <w:rFonts w:hint="eastAsia" w:ascii="仿宋_GB2312" w:hAnsi="仿宋" w:eastAsia="仿宋_GB2312" w:cs="仿宋_GB2312"/>
          <w:sz w:val="32"/>
          <w:szCs w:val="32"/>
        </w:rPr>
        <w:t>主要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原因</w:t>
      </w:r>
      <w:r>
        <w:rPr>
          <w:rFonts w:hint="eastAsia" w:ascii="仿宋_GB2312" w:hAnsi="仿宋" w:eastAsia="仿宋_GB2312" w:cs="仿宋_GB2312"/>
          <w:sz w:val="32"/>
          <w:szCs w:val="32"/>
        </w:rPr>
        <w:t>一是人员增加、工资和保险增加，二是增加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卫计工作</w:t>
      </w:r>
      <w:r>
        <w:rPr>
          <w:rFonts w:hint="eastAsia" w:ascii="仿宋_GB2312" w:hAnsi="仿宋" w:eastAsia="仿宋_GB2312" w:cs="仿宋_GB2312"/>
          <w:sz w:val="32"/>
          <w:szCs w:val="32"/>
        </w:rPr>
        <w:t>等经费</w:t>
      </w:r>
      <w:r>
        <w:rPr>
          <w:rFonts w:hint="eastAsia" w:ascii="仿宋_GB2312" w:hAnsi="仿宋" w:eastAsia="仿宋_GB2312" w:cs="Times New Roman"/>
          <w:sz w:val="32"/>
          <w:szCs w:val="32"/>
        </w:rPr>
        <w:t>。其中，基本支出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1575.71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70.86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%，主要用于保障机构日常运转、完成日常工作任务；项目支出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648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29.14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服务群众专项经费、卫计经费</w:t>
      </w:r>
      <w:r>
        <w:rPr>
          <w:rFonts w:hint="eastAsia" w:ascii="仿宋_GB2312" w:hAnsi="仿宋" w:eastAsia="仿宋_GB2312" w:cs="Times New Roman"/>
          <w:sz w:val="32"/>
          <w:szCs w:val="32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事业单位经营支出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；上缴上级支出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；对附属单位补助支出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ascii="仿宋_GB2312" w:hAnsi="仿宋" w:eastAsia="仿宋_GB2312" w:cs="仿宋_GB2312"/>
          <w:sz w:val="32"/>
          <w:szCs w:val="32"/>
        </w:rPr>
        <w:t>0%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四、关于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:lang w:eastAsia="zh-CN"/>
        </w:rPr>
        <w:t>2022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年财政拨款收支总表的说明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年财政拨款收支预算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2223.71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万元。收入按资金来源分为：一般公共预算拨款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2223.71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万元、上年结转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万元。支出按功能分类分为：一般公共服务支出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14.3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0.64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519.05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23.34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42.71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1.92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城乡社区支出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1542.56占69.37%；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105.09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4.73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五、关于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年一般公共预算支出表的说明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（一）一般公共预算支出规模变化情况。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年一般公共预算支出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2223.71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</w:rPr>
        <w:t>比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 w:cs="Times New Roman"/>
          <w:sz w:val="32"/>
          <w:szCs w:val="32"/>
        </w:rPr>
        <w:t>年预算增加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452.52</w:t>
      </w:r>
      <w:r>
        <w:rPr>
          <w:rFonts w:hint="eastAsia" w:ascii="仿宋_GB2312" w:hAnsi="仿宋" w:eastAsia="仿宋_GB2312" w:cs="Times New Roman"/>
          <w:sz w:val="32"/>
          <w:szCs w:val="32"/>
        </w:rPr>
        <w:t>万元，增长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20.35</w:t>
      </w:r>
      <w:r>
        <w:rPr>
          <w:rFonts w:hint="eastAsia" w:ascii="仿宋_GB2312" w:hAnsi="仿宋" w:eastAsia="仿宋_GB2312" w:cs="Times New Roman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</w:rPr>
        <w:t>增长</w:t>
      </w:r>
      <w:r>
        <w:rPr>
          <w:rFonts w:hint="eastAsia" w:ascii="仿宋_GB2312" w:hAnsi="仿宋" w:eastAsia="仿宋_GB2312" w:cs="仿宋_GB2312"/>
          <w:sz w:val="32"/>
          <w:szCs w:val="32"/>
        </w:rPr>
        <w:t>主要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原因</w:t>
      </w:r>
      <w:r>
        <w:rPr>
          <w:rFonts w:hint="eastAsia" w:ascii="仿宋_GB2312" w:hAnsi="仿宋" w:eastAsia="仿宋_GB2312" w:cs="仿宋_GB2312"/>
          <w:sz w:val="32"/>
          <w:szCs w:val="32"/>
        </w:rPr>
        <w:t>一是人员增加、工资和保险增加，二是增加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卫计工作</w:t>
      </w:r>
      <w:r>
        <w:rPr>
          <w:rFonts w:hint="eastAsia" w:ascii="仿宋_GB2312" w:hAnsi="仿宋" w:eastAsia="仿宋_GB2312" w:cs="仿宋_GB2312"/>
          <w:sz w:val="32"/>
          <w:szCs w:val="32"/>
        </w:rPr>
        <w:t>等经费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（二</w:t>
      </w:r>
      <w:r>
        <w:rPr>
          <w:rFonts w:ascii="楷体_GB2312" w:hAnsi="仿宋" w:eastAsia="楷体_GB2312" w:cs="Times New Roman"/>
          <w:b/>
          <w:kern w:val="2"/>
          <w:sz w:val="32"/>
          <w:szCs w:val="32"/>
        </w:rPr>
        <w:t>）</w:t>
      </w: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一般公共预算支出结构情况。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一般公共服务支出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14.3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0.64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519.05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23.34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42.71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1.92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城乡社区支出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1542.56占69.37%；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105.09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4.73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（三）一般公共预算支出具体使用情况。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1.一般公共服务支出（类）政府办公厅（室）及相关机构事务（款）行政运行（项）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9.3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525.85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5654.3</w:t>
      </w:r>
      <w:r>
        <w:rPr>
          <w:rFonts w:hint="eastAsia" w:ascii="仿宋_GB2312" w:hAnsi="仿宋" w:eastAsia="仿宋_GB2312"/>
          <w:sz w:val="32"/>
          <w:szCs w:val="32"/>
        </w:rPr>
        <w:t>%，下降原因主要是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功能科目变动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2.一般公共服务支出（类）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商贸事务</w:t>
      </w:r>
      <w:r>
        <w:rPr>
          <w:rFonts w:hint="eastAsia" w:ascii="仿宋_GB2312" w:hAnsi="仿宋" w:eastAsia="仿宋_GB2312"/>
          <w:b/>
          <w:sz w:val="32"/>
          <w:szCs w:val="32"/>
        </w:rPr>
        <w:t>（款）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招商引资</w:t>
      </w:r>
      <w:r>
        <w:rPr>
          <w:rFonts w:hint="eastAsia" w:ascii="仿宋_GB2312" w:hAnsi="仿宋" w:eastAsia="仿宋_GB2312"/>
          <w:b/>
          <w:sz w:val="32"/>
          <w:szCs w:val="32"/>
        </w:rPr>
        <w:t>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招商引资支出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社会保障和就业支出（类）民政管理事务（款）基层政权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建设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和社区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治理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260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与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社会保障和就业支出（类）行政事业单位养老支出（款）行政单位离退休（项）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5.93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3.03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51.1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原因主要是人员调动。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社会保障和就业支出（类）行政事业单位养老支出（款）机关事业单位基本养老保险缴费支出（项）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39.36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0.98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2.49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原因主要是人员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变动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  <w:shd w:val="clear" w:color="auto" w:fill="auto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6</w:t>
      </w:r>
      <w:r>
        <w:rPr>
          <w:rFonts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社会保障和就业支出（类）行政事业单位养老支出（款）机关事业单位职业年金缴费支出（项）</w:t>
      </w:r>
      <w:r>
        <w:rPr>
          <w:rFonts w:ascii="仿宋_GB2312" w:hAnsi="仿宋" w:eastAsia="仿宋_GB2312" w:cs="仿宋_GB2312"/>
          <w:sz w:val="32"/>
          <w:szCs w:val="32"/>
          <w:shd w:val="clear" w:color="auto" w:fill="auto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19.68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万元，比</w:t>
      </w:r>
      <w:r>
        <w:rPr>
          <w:rFonts w:ascii="仿宋_GB2312" w:hAnsi="仿宋" w:eastAsia="仿宋_GB2312" w:cs="仿宋_GB2312"/>
          <w:sz w:val="32"/>
          <w:szCs w:val="32"/>
          <w:shd w:val="clear" w:color="auto" w:fill="auto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0.49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2.49</w:t>
      </w:r>
      <w:r>
        <w:rPr>
          <w:rFonts w:ascii="仿宋_GB2312" w:hAnsi="仿宋" w:eastAsia="仿宋_GB2312" w:cs="仿宋_GB2312"/>
          <w:sz w:val="32"/>
          <w:szCs w:val="32"/>
          <w:shd w:val="clear" w:color="auto" w:fill="auto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原因主要是人员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变动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7</w:t>
      </w:r>
      <w:r>
        <w:rPr>
          <w:rFonts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shd w:val="clear" w:color="auto" w:fill="auto"/>
        </w:rPr>
        <w:t>社会保障和就业支出（类）其他社会保障和就业支出（款）其他社会保障和就业支出（项）</w:t>
      </w:r>
      <w:r>
        <w:rPr>
          <w:rFonts w:ascii="仿宋_GB2312" w:hAnsi="仿宋" w:eastAsia="仿宋_GB2312" w:cs="仿宋_GB2312"/>
          <w:sz w:val="32"/>
          <w:szCs w:val="32"/>
          <w:shd w:val="clear" w:color="auto" w:fill="auto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194.08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万元，比</w:t>
      </w:r>
      <w:r>
        <w:rPr>
          <w:rFonts w:ascii="仿宋_GB2312" w:hAnsi="仿宋" w:eastAsia="仿宋_GB2312" w:cs="仿宋_GB2312"/>
          <w:sz w:val="32"/>
          <w:szCs w:val="32"/>
          <w:shd w:val="clear" w:color="auto" w:fill="auto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190.71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万元，增长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val="en-US" w:eastAsia="zh-CN"/>
        </w:rPr>
        <w:t>98.26</w:t>
      </w:r>
      <w:r>
        <w:rPr>
          <w:rFonts w:ascii="仿宋_GB2312" w:hAnsi="仿宋" w:eastAsia="仿宋_GB2312" w:cs="仿宋_GB2312"/>
          <w:sz w:val="32"/>
          <w:szCs w:val="32"/>
          <w:shd w:val="clear" w:color="auto" w:fill="auto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，增长原因主要一是人员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  <w:lang w:eastAsia="zh-CN"/>
        </w:rPr>
        <w:t>变动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auto"/>
        </w:rPr>
        <w:t>，二是功能科目变动等。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卫生健康支出（类）行政事业单位医疗（款）行政单位医疗（项）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27.95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5.76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20.61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原因主要是人员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变动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卫生健康支出（类）行政事业单位医疗（款）公务员医疗补助（项）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14.76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7.19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48.71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_GB2312"/>
          <w:sz w:val="32"/>
          <w:szCs w:val="32"/>
        </w:rPr>
        <w:t>原因主要是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人员变动。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城乡社区支出（类）城乡社区管理事务（款）行政运行（项）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1361.67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1338.58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98.3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，增长原因主要一是卫计经费增加，二是功能科目变动等。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城乡社区支出（类）城乡社区管理事务（款）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一般行政管理事务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180.89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160.89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88.94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，增长原因主要一是卫计经费增加，二是功能科目变动等。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住房保障支出（类）住房改革支出（款）住房公积金（项）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68.98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3.35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4.86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，增长原因主要是人员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工资上涨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住房保障支出（类）住房改革支出（款）提租补贴（项）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8.06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18.06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100%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，增长原因主要是功能科目变动。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住房保障支出（类）住房改革支出（款）购房补贴（项）</w:t>
      </w:r>
      <w:r>
        <w:rPr>
          <w:rFonts w:ascii="仿宋_GB2312" w:hAnsi="仿宋" w:eastAsia="仿宋_GB2312" w:cs="仿宋_GB2312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年预算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18.06</w:t>
      </w:r>
      <w:r>
        <w:rPr>
          <w:rFonts w:hint="eastAsia" w:ascii="仿宋_GB2312" w:hAnsi="仿宋" w:eastAsia="仿宋_GB2312" w:cs="仿宋_GB2312"/>
          <w:sz w:val="32"/>
          <w:szCs w:val="32"/>
        </w:rPr>
        <w:t>万元，比</w:t>
      </w: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18.06</w:t>
      </w:r>
      <w:r>
        <w:rPr>
          <w:rFonts w:hint="eastAsia" w:ascii="仿宋_GB2312" w:hAnsi="仿宋" w:eastAsia="仿宋_GB2312" w:cs="仿宋_GB2312"/>
          <w:sz w:val="32"/>
          <w:szCs w:val="32"/>
        </w:rPr>
        <w:t>万元，增长</w:t>
      </w:r>
      <w:r>
        <w:rPr>
          <w:rFonts w:ascii="仿宋_GB2312" w:hAnsi="仿宋" w:eastAsia="仿宋_GB2312" w:cs="仿宋_GB2312"/>
          <w:sz w:val="32"/>
          <w:szCs w:val="32"/>
        </w:rPr>
        <w:t>100%</w:t>
      </w:r>
      <w:r>
        <w:rPr>
          <w:rFonts w:hint="eastAsia" w:ascii="仿宋_GB2312" w:hAnsi="仿宋" w:eastAsia="仿宋_GB2312" w:cs="仿宋_GB2312"/>
          <w:sz w:val="32"/>
          <w:szCs w:val="32"/>
        </w:rPr>
        <w:t>，增长原因主要是功能科目变动。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楷体_GB231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eastAsia="黑体"/>
          <w:color w:val="000000" w:themeColor="text1"/>
        </w:rPr>
      </w:pP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六、关于</w:t>
      </w: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  <w:lang w:eastAsia="zh-CN"/>
        </w:rPr>
        <w:t>2022</w:t>
      </w: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年一般公共预算基本支出表的说明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/>
          <w:sz w:val="32"/>
          <w:szCs w:val="32"/>
        </w:rPr>
        <w:t>年一般公共预算基本支出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1575.71</w:t>
      </w:r>
      <w:r>
        <w:rPr>
          <w:rFonts w:hint="eastAsia" w:ascii="仿宋_GB2312" w:hAnsi="仿宋" w:eastAsia="仿宋_GB2312"/>
          <w:sz w:val="32"/>
          <w:szCs w:val="32"/>
        </w:rPr>
        <w:t>万元，其中，人员经费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1522.73</w:t>
      </w:r>
      <w:r>
        <w:rPr>
          <w:rFonts w:hint="eastAsia" w:ascii="仿宋_GB2312" w:hAnsi="仿宋" w:eastAsia="仿宋_GB2312"/>
          <w:sz w:val="32"/>
          <w:szCs w:val="32"/>
        </w:rPr>
        <w:t>万元，公用经费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52.98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（一）人员经费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1522.73</w:t>
      </w:r>
      <w:r>
        <w:rPr>
          <w:rFonts w:hint="eastAsia" w:ascii="仿宋_GB2312" w:hAnsi="仿宋" w:eastAsia="仿宋_GB2312"/>
          <w:sz w:val="32"/>
          <w:szCs w:val="32"/>
        </w:rPr>
        <w:t>万元，主要包括:</w:t>
      </w:r>
      <w:r>
        <w:rPr>
          <w:rFonts w:hint="eastAsia" w:ascii="仿宋_GB2312" w:hAnsi="仿宋" w:eastAsia="仿宋_GB2312" w:cs="仿宋_GB2312"/>
          <w:sz w:val="32"/>
          <w:szCs w:val="32"/>
        </w:rPr>
        <w:t>基本工资、津贴补贴、奖金、绩效工资、机关事业单位基本养老保险费、职业年金缴费、职工基本医疗保险缴费、公务员医疗补助缴费、其他社会保障缴费、住房公积金、其他工资福利支出、培训费、工会经费、福利费、其他商品和服务支出、退休费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生活补助、</w:t>
      </w:r>
      <w:r>
        <w:rPr>
          <w:rFonts w:hint="eastAsia" w:ascii="仿宋_GB2312" w:hAnsi="仿宋" w:eastAsia="仿宋_GB2312" w:cs="仿宋_GB2312"/>
          <w:sz w:val="32"/>
          <w:szCs w:val="32"/>
        </w:rPr>
        <w:t>医疗费补助、其他对个人和家庭的补助支出。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52.98</w:t>
      </w:r>
      <w:r>
        <w:rPr>
          <w:rFonts w:hint="eastAsia" w:ascii="仿宋_GB2312" w:hAnsi="仿宋" w:eastAsia="仿宋_GB2312"/>
          <w:sz w:val="32"/>
          <w:szCs w:val="32"/>
        </w:rPr>
        <w:t>万元，主要包括：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办公费、</w:t>
      </w:r>
      <w:r>
        <w:rPr>
          <w:rFonts w:hint="eastAsia" w:ascii="仿宋_GB2312" w:hAnsi="仿宋" w:eastAsia="仿宋_GB2312" w:cs="仿宋_GB2312"/>
          <w:sz w:val="32"/>
          <w:szCs w:val="32"/>
        </w:rPr>
        <w:t>水费、电费、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公务接待费、</w:t>
      </w:r>
      <w:r>
        <w:rPr>
          <w:rFonts w:hint="eastAsia" w:ascii="仿宋_GB2312" w:hAnsi="仿宋" w:eastAsia="仿宋_GB2312" w:cs="仿宋_GB2312"/>
          <w:sz w:val="32"/>
          <w:szCs w:val="32"/>
        </w:rPr>
        <w:t>工会经费、其他交通费用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其他商品和服务支出。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年政府性基金预算支出表的说明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/>
          <w:sz w:val="32"/>
          <w:szCs w:val="32"/>
        </w:rPr>
        <w:t>年没有政府性基金预算拨款收入，也没有使用政府性基金预算拨款安排的支出。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年国有资本经营预算支出表的说明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/>
          <w:sz w:val="32"/>
          <w:szCs w:val="32"/>
        </w:rPr>
        <w:t>年没有国有资本经营预算拨款收入，也没有使用国有资本经营预算拨款安排的支出。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九、关于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年项目支出表的说明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/>
          <w:sz w:val="32"/>
          <w:szCs w:val="32"/>
        </w:rPr>
        <w:t>年预算共安排项目支出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648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323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49.85</w:t>
      </w:r>
      <w:r>
        <w:rPr>
          <w:rFonts w:hint="eastAsia" w:ascii="仿宋_GB2312" w:hAnsi="仿宋" w:eastAsia="仿宋_GB2312"/>
          <w:sz w:val="32"/>
          <w:szCs w:val="32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增加卫计及工作经费</w:t>
      </w:r>
      <w:r>
        <w:rPr>
          <w:rFonts w:hint="eastAsia" w:ascii="仿宋_GB2312" w:hAnsi="仿宋" w:eastAsia="仿宋_GB2312"/>
          <w:sz w:val="32"/>
          <w:szCs w:val="32"/>
        </w:rPr>
        <w:t>。主要包括：本年财政拨款安排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648</w:t>
      </w:r>
      <w:r>
        <w:rPr>
          <w:rFonts w:hint="eastAsia" w:ascii="仿宋_GB2312" w:hAnsi="仿宋" w:eastAsia="仿宋_GB2312"/>
          <w:sz w:val="32"/>
          <w:szCs w:val="32"/>
        </w:rPr>
        <w:t>万元（其中，一般公共预算拨款安排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648</w:t>
      </w:r>
      <w:r>
        <w:rPr>
          <w:rFonts w:hint="eastAsia" w:ascii="仿宋_GB2312" w:hAnsi="仿宋" w:eastAsia="仿宋_GB2312"/>
          <w:sz w:val="32"/>
          <w:szCs w:val="32"/>
        </w:rPr>
        <w:t>万元，政府性基金预算拨款安排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万元，国有资本经营预算拨款安排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万元），财政拨款结转结余安排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万元（其中，一般公共预算拨款安排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万元，政府性基金预算拨款安排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万元，国有资本经营预算拨款安排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万元）、财政专户管理资金安排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万元和单位资金安排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年政府采购支出表的说明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/>
          <w:sz w:val="32"/>
          <w:szCs w:val="32"/>
        </w:rPr>
        <w:t>年没有使用一般公共预算拨款、政府性基金预算拨款、国有资本经营预算拨款、财政专户管理资金和单位资金安排的政府采购支出。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十一、关于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2022</w:t>
      </w:r>
      <w:r>
        <w:rPr>
          <w:rFonts w:hint="eastAsia" w:ascii="黑体" w:hAnsi="仿宋" w:eastAsia="黑体"/>
          <w:sz w:val="32"/>
          <w:szCs w:val="32"/>
        </w:rPr>
        <w:t>年政府购买服务支出表的说明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淮北市相山区任圩街道办事处2022</w:t>
      </w:r>
      <w:r>
        <w:rPr>
          <w:rFonts w:hint="eastAsia" w:ascii="仿宋_GB2312" w:hAnsi="仿宋" w:eastAsia="仿宋_GB2312"/>
          <w:sz w:val="32"/>
          <w:szCs w:val="32"/>
        </w:rPr>
        <w:t>年没有安排政府购买服务支出。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（一）项目及绩效目标情况。</w:t>
      </w:r>
    </w:p>
    <w:p>
      <w:pPr>
        <w:adjustRightInd w:val="0"/>
        <w:snapToGrid w:val="0"/>
        <w:spacing w:line="600" w:lineRule="exact"/>
        <w:ind w:firstLine="753" w:firstLineChars="250"/>
        <w:rPr>
          <w:rFonts w:hint="eastAsia" w:ascii="仿宋_GB2312" w:hAnsi="楷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楷体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楷体" w:eastAsia="仿宋_GB2312"/>
          <w:b/>
          <w:sz w:val="30"/>
          <w:szCs w:val="30"/>
          <w:highlight w:val="none"/>
        </w:rPr>
        <w:t>.“</w:t>
      </w:r>
      <w:r>
        <w:rPr>
          <w:rFonts w:hint="eastAsia" w:ascii="仿宋_GB2312" w:hAnsi="楷体" w:eastAsia="仿宋_GB2312"/>
          <w:b/>
          <w:sz w:val="30"/>
          <w:szCs w:val="30"/>
          <w:highlight w:val="none"/>
          <w:lang w:val="en-US" w:eastAsia="zh-CN"/>
        </w:rPr>
        <w:t>社区办公及服务群众专项经费</w:t>
      </w:r>
      <w:r>
        <w:rPr>
          <w:rFonts w:hint="eastAsia" w:ascii="仿宋_GB2312" w:hAnsi="楷体" w:eastAsia="仿宋_GB2312"/>
          <w:b/>
          <w:sz w:val="30"/>
          <w:szCs w:val="30"/>
          <w:highlight w:val="none"/>
        </w:rPr>
        <w:t>”项目。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（1）项目概述：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保障社区正常办公运转，营造和谐、舒适的社区氛围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增强广大党员服务群众意识，做到心里装着群众、凡事想着群众，工作依靠群众，一切为了群众，做群众的贴心人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（2）立项依据：经常性业务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（3）起止时间：202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2年1-12月份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（4）项目内容：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保障社区正常办公运转，营造和谐、舒适的社区氛围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增强广大党员服务群众意识，做到心里装着群众、凡事想着群众，工作依靠群众，一切为了群众，做群众的贴心人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。社区办公经费及服务群众专项经费，每个社区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20万元，共13个社区。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（5）年度预算安排：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（6）绩效目标和指标：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见下表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tbl>
      <w:tblPr>
        <w:tblStyle w:val="5"/>
        <w:tblW w:w="90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35"/>
        <w:gridCol w:w="694"/>
        <w:gridCol w:w="1830"/>
        <w:gridCol w:w="585"/>
        <w:gridCol w:w="630"/>
        <w:gridCol w:w="1005"/>
        <w:gridCol w:w="1245"/>
        <w:gridCol w:w="1339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（</w:t>
            </w:r>
            <w:r>
              <w:rPr>
                <w:rFonts w:hint="default"/>
                <w:sz w:val="20"/>
                <w:szCs w:val="20"/>
              </w:rPr>
              <w:t xml:space="preserve">2022 </w:t>
            </w:r>
            <w:r>
              <w:rPr>
                <w:rFonts w:hint="eastAsia" w:cs="宋体"/>
                <w:sz w:val="20"/>
                <w:szCs w:val="2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社区办公及服务群众专项经费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相山区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任圩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街道办事处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经常性项目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项目资金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（万元）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中期资金总额：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年度资金总额：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/>
                <w:sz w:val="20"/>
                <w:szCs w:val="20"/>
              </w:rPr>
              <w:t>0</w:t>
            </w: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  </w:t>
            </w:r>
            <w:r>
              <w:rPr>
                <w:rFonts w:hint="eastAsia" w:cs="宋体"/>
                <w:sz w:val="20"/>
                <w:szCs w:val="20"/>
              </w:rPr>
              <w:t>其中：财政拨款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  </w:t>
            </w:r>
            <w:r>
              <w:rPr>
                <w:rFonts w:hint="eastAsia" w:cs="宋体"/>
                <w:sz w:val="20"/>
                <w:szCs w:val="20"/>
              </w:rPr>
              <w:t>其中：财政拨款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       </w:t>
            </w:r>
            <w:r>
              <w:rPr>
                <w:rFonts w:hint="eastAsia" w:cs="宋体"/>
                <w:sz w:val="20"/>
                <w:szCs w:val="20"/>
              </w:rPr>
              <w:t>其他资金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        </w:t>
            </w:r>
            <w:r>
              <w:rPr>
                <w:rFonts w:hint="eastAsia" w:cs="宋体"/>
                <w:sz w:val="20"/>
                <w:szCs w:val="20"/>
              </w:rPr>
              <w:t>其他资金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总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体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目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标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中期目标（</w:t>
            </w:r>
            <w:r>
              <w:rPr>
                <w:rFonts w:hint="default"/>
                <w:sz w:val="20"/>
                <w:szCs w:val="20"/>
              </w:rPr>
              <w:t>20</w:t>
            </w:r>
            <w:r>
              <w:rPr>
                <w:rFonts w:hint="eastAsia" w:cs="宋体"/>
                <w:sz w:val="20"/>
                <w:szCs w:val="20"/>
              </w:rPr>
              <w:t>××年</w:t>
            </w:r>
            <w:r>
              <w:rPr>
                <w:rFonts w:hint="default"/>
                <w:sz w:val="20"/>
                <w:szCs w:val="20"/>
              </w:rPr>
              <w:t>—20</w:t>
            </w:r>
            <w:r>
              <w:rPr>
                <w:rFonts w:hint="eastAsia" w:cs="宋体"/>
                <w:sz w:val="20"/>
                <w:szCs w:val="20"/>
              </w:rPr>
              <w:t>××</w:t>
            </w:r>
            <w:r>
              <w:rPr>
                <w:rFonts w:hint="default"/>
                <w:sz w:val="20"/>
                <w:szCs w:val="20"/>
              </w:rPr>
              <w:t>+n</w:t>
            </w:r>
            <w:r>
              <w:rPr>
                <w:rFonts w:hint="eastAsia" w:cs="宋体"/>
                <w:sz w:val="20"/>
                <w:szCs w:val="20"/>
              </w:rPr>
              <w:t>年）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：保障社区正常办公运转、更好地服务群众。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：本年内逐步完成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绩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效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标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一级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三级指标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指标值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绩效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标准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三级指标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产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出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cs="宋体"/>
                <w:sz w:val="20"/>
                <w:szCs w:val="20"/>
              </w:rPr>
              <w:t>个社区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社区组织党员为群众解决实际困难，甘当老黄牛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年底完成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按规定支出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效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益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经济效益指标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社会效益指标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体现共产党员的先进性，服务群众本质。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生态效益指标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生态效益指标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可持续影响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党员了解并帮助群众的生产、生活以及学习中的困难，增进了党员与群众之间的感情，赢得了群众的信任、支持和拥护。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满意度指标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服务对象满意度指标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服务对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象满意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度指标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指标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　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（二）机关运行经费。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淮北市相山区任圩街道办事处2022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年机关运行经费财政拨款预算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69.78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万元，比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年预算减少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409.31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万元，下降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586.57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%，下降主要原因是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经济科目变动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（三）政府采购情况。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楷体" w:eastAsia="仿宋_GB2312"/>
          <w:sz w:val="32"/>
          <w:szCs w:val="32"/>
        </w:rPr>
        <w:t>年政府采购预算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万元。其中：政府采购货物预算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万元，政府采购工程预算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万元，政府采购服务预算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（四）国有资产占有使用情况。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 w:cs="Times New Roman"/>
          <w:color w:val="3366FF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年12月31日，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楷体" w:eastAsia="仿宋_GB2312"/>
          <w:sz w:val="32"/>
          <w:szCs w:val="32"/>
        </w:rPr>
        <w:t>共</w:t>
      </w:r>
      <w:r>
        <w:rPr>
          <w:rFonts w:hint="eastAsia" w:ascii="仿宋_GB2312" w:hAnsi="楷体" w:eastAsia="仿宋_GB2312" w:cs="仿宋_GB2312"/>
          <w:sz w:val="32"/>
          <w:szCs w:val="32"/>
        </w:rPr>
        <w:t>有车辆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辆。单位价值</w:t>
      </w:r>
      <w:r>
        <w:rPr>
          <w:rFonts w:ascii="仿宋_GB2312" w:hAnsi="楷体" w:eastAsia="仿宋_GB2312" w:cs="仿宋_GB2312"/>
          <w:sz w:val="32"/>
          <w:szCs w:val="32"/>
        </w:rPr>
        <w:t>50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万元以上的通用设备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台，单位价值</w:t>
      </w:r>
      <w:r>
        <w:rPr>
          <w:rFonts w:ascii="仿宋_GB2312" w:hAnsi="楷体" w:eastAsia="仿宋_GB2312" w:cs="仿宋_GB2312"/>
          <w:sz w:val="32"/>
          <w:szCs w:val="32"/>
        </w:rPr>
        <w:t>100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万元以上的专用设备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ascii="仿宋_GB2312" w:hAnsi="楷体" w:eastAsia="仿宋_GB2312" w:cs="仿宋_GB2312"/>
          <w:sz w:val="32"/>
          <w:szCs w:val="32"/>
        </w:rPr>
        <w:t>2022</w:t>
      </w:r>
      <w:r>
        <w:rPr>
          <w:rFonts w:hint="eastAsia" w:ascii="仿宋_GB2312" w:hAnsi="楷体" w:eastAsia="仿宋_GB2312" w:cs="仿宋_GB2312"/>
          <w:sz w:val="32"/>
          <w:szCs w:val="32"/>
        </w:rPr>
        <w:t>年单位预算安排购置公务用车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辆，购置费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万元；安排购置单位价值</w:t>
      </w:r>
      <w:r>
        <w:rPr>
          <w:rFonts w:ascii="仿宋_GB2312" w:hAnsi="楷体" w:eastAsia="仿宋_GB2312" w:cs="仿宋_GB2312"/>
          <w:sz w:val="32"/>
          <w:szCs w:val="32"/>
        </w:rPr>
        <w:t>50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万元以上的通用设备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台，购置费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万元；安排购置单位价值</w:t>
      </w:r>
      <w:r>
        <w:rPr>
          <w:rFonts w:ascii="仿宋_GB2312" w:hAnsi="楷体" w:eastAsia="仿宋_GB2312" w:cs="仿宋_GB2312"/>
          <w:sz w:val="32"/>
          <w:szCs w:val="32"/>
        </w:rPr>
        <w:t>100</w:t>
      </w:r>
      <w:r>
        <w:rPr>
          <w:rFonts w:hint="eastAsia" w:ascii="仿宋_GB2312" w:hAnsi="楷体" w:eastAsia="仿宋_GB2312" w:cs="仿宋_GB2312"/>
          <w:sz w:val="32"/>
          <w:szCs w:val="32"/>
        </w:rPr>
        <w:t>万元以上专用设备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台，购置费</w:t>
      </w:r>
      <w:r>
        <w:rPr>
          <w:rFonts w:ascii="仿宋_GB2312" w:hAnsi="楷体" w:eastAsia="仿宋_GB2312" w:cs="仿宋_GB2312"/>
          <w:sz w:val="32"/>
          <w:szCs w:val="32"/>
        </w:rPr>
        <w:t>0</w:t>
      </w:r>
      <w:r>
        <w:rPr>
          <w:rFonts w:hint="eastAsia" w:ascii="仿宋_GB2312" w:hAnsi="楷体" w:eastAsia="仿宋_GB2312" w:cs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（五）绩效目标设置情况。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个项目实行了绩效目标管理，涉及一般公共预算当年财政拨款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260</w:t>
      </w:r>
      <w:r>
        <w:rPr>
          <w:rFonts w:hint="eastAsia" w:ascii="仿宋_GB2312" w:hAnsi="仿宋" w:eastAsia="仿宋_GB2312"/>
          <w:sz w:val="32"/>
          <w:szCs w:val="32"/>
        </w:rPr>
        <w:t>万元、政府性基金预算当年财政拨款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万元、国有资本经营预算当年财政拨款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万元、财政专户管理资金当年安排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万元和单位资金安排安排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tabs>
          <w:tab w:val="left" w:pos="3316"/>
        </w:tabs>
        <w:adjustRightInd w:val="0"/>
        <w:snapToGrid w:val="0"/>
        <w:spacing w:line="600" w:lineRule="exact"/>
        <w:outlineLvl w:val="0"/>
        <w:rPr>
          <w:rFonts w:ascii="黑体" w:eastAsia="黑体" w:cs="宋体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第四部分 名词解释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一、财政拨款收入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指部门或单位从同级财政部门取得的财政预算资金。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、财政专户管理资金：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指按照非税收入管理相关规定，纳入财政专户管理的教育收费等。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、上年结转：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指以前年度安排、结转到本年仍按原用途继续使用的资金。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、结转下年：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指以前年度预算安排、因客观条件发生变化无法按原计划实施，需以后年度按原用途继续使用的资金。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、基本支出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指为保障机构正常运转、完成日常工作任务而发生的人员支出和公用支出。</w:t>
      </w:r>
    </w:p>
    <w:p>
      <w:pPr>
        <w:pStyle w:val="4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、项目支出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指在除基本支出之外的支出，主要用于完成特定的工作任务和事业发展目标。</w:t>
      </w:r>
      <w:r>
        <w:rPr>
          <w:rFonts w:ascii="仿宋_GB2312" w:hAnsi="黑体" w:eastAsia="仿宋_GB2312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、机关运行经费:</w:t>
      </w:r>
      <w:r>
        <w:rPr>
          <w:rFonts w:hint="eastAsia" w:ascii="仿宋_GB2312" w:hAnsi="黑体" w:eastAsia="仿宋_GB2312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left="359" w:leftChars="171"/>
        <w:jc w:val="both"/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571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F9388"/>
    <w:multiLevelType w:val="singleLevel"/>
    <w:tmpl w:val="408F9388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61F34332"/>
    <w:multiLevelType w:val="singleLevel"/>
    <w:tmpl w:val="61F3433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155"/>
    <w:rsid w:val="000003C1"/>
    <w:rsid w:val="00015821"/>
    <w:rsid w:val="00016DCE"/>
    <w:rsid w:val="00026E99"/>
    <w:rsid w:val="0005090D"/>
    <w:rsid w:val="00052923"/>
    <w:rsid w:val="0005523F"/>
    <w:rsid w:val="000720A0"/>
    <w:rsid w:val="000807F9"/>
    <w:rsid w:val="000812F3"/>
    <w:rsid w:val="000859AC"/>
    <w:rsid w:val="00086992"/>
    <w:rsid w:val="0009339B"/>
    <w:rsid w:val="000945B8"/>
    <w:rsid w:val="00095C1B"/>
    <w:rsid w:val="000B486F"/>
    <w:rsid w:val="000B701A"/>
    <w:rsid w:val="000E0593"/>
    <w:rsid w:val="000F001D"/>
    <w:rsid w:val="000F35AE"/>
    <w:rsid w:val="000F6876"/>
    <w:rsid w:val="0012431A"/>
    <w:rsid w:val="00130CD5"/>
    <w:rsid w:val="00143558"/>
    <w:rsid w:val="00145AB0"/>
    <w:rsid w:val="00150DF1"/>
    <w:rsid w:val="00152846"/>
    <w:rsid w:val="00152BF2"/>
    <w:rsid w:val="00161C3F"/>
    <w:rsid w:val="00165C02"/>
    <w:rsid w:val="00166692"/>
    <w:rsid w:val="001771E6"/>
    <w:rsid w:val="001803E7"/>
    <w:rsid w:val="00194491"/>
    <w:rsid w:val="001949D0"/>
    <w:rsid w:val="001A6389"/>
    <w:rsid w:val="001A70D0"/>
    <w:rsid w:val="001C3EA4"/>
    <w:rsid w:val="001C4E9A"/>
    <w:rsid w:val="001D4149"/>
    <w:rsid w:val="001E4162"/>
    <w:rsid w:val="001E717A"/>
    <w:rsid w:val="001F54C8"/>
    <w:rsid w:val="001F739C"/>
    <w:rsid w:val="0020776B"/>
    <w:rsid w:val="00210D08"/>
    <w:rsid w:val="00226E7B"/>
    <w:rsid w:val="00234110"/>
    <w:rsid w:val="002351AD"/>
    <w:rsid w:val="002458E8"/>
    <w:rsid w:val="0024741B"/>
    <w:rsid w:val="0025289A"/>
    <w:rsid w:val="00263B7E"/>
    <w:rsid w:val="002711F0"/>
    <w:rsid w:val="002725C5"/>
    <w:rsid w:val="00277F2D"/>
    <w:rsid w:val="00280650"/>
    <w:rsid w:val="002911C3"/>
    <w:rsid w:val="00294131"/>
    <w:rsid w:val="002A6B54"/>
    <w:rsid w:val="002C2BDF"/>
    <w:rsid w:val="002C781A"/>
    <w:rsid w:val="002E11DE"/>
    <w:rsid w:val="002E284A"/>
    <w:rsid w:val="002F54FF"/>
    <w:rsid w:val="002F6AE2"/>
    <w:rsid w:val="003066B6"/>
    <w:rsid w:val="00314DEA"/>
    <w:rsid w:val="00351103"/>
    <w:rsid w:val="00352640"/>
    <w:rsid w:val="00353EE7"/>
    <w:rsid w:val="00366256"/>
    <w:rsid w:val="00370476"/>
    <w:rsid w:val="00380820"/>
    <w:rsid w:val="00383CD8"/>
    <w:rsid w:val="003B060D"/>
    <w:rsid w:val="003C17BD"/>
    <w:rsid w:val="003C40FD"/>
    <w:rsid w:val="003D30B2"/>
    <w:rsid w:val="003E096B"/>
    <w:rsid w:val="003E237C"/>
    <w:rsid w:val="003E66A3"/>
    <w:rsid w:val="003E7441"/>
    <w:rsid w:val="003E7E98"/>
    <w:rsid w:val="003F2BE9"/>
    <w:rsid w:val="003F5900"/>
    <w:rsid w:val="00415416"/>
    <w:rsid w:val="00415ED5"/>
    <w:rsid w:val="0042415B"/>
    <w:rsid w:val="00425751"/>
    <w:rsid w:val="0042713F"/>
    <w:rsid w:val="00430C41"/>
    <w:rsid w:val="00431161"/>
    <w:rsid w:val="0044737F"/>
    <w:rsid w:val="00454492"/>
    <w:rsid w:val="00482476"/>
    <w:rsid w:val="0048574C"/>
    <w:rsid w:val="004A6577"/>
    <w:rsid w:val="004A7283"/>
    <w:rsid w:val="004C3BD5"/>
    <w:rsid w:val="00514735"/>
    <w:rsid w:val="00516B0F"/>
    <w:rsid w:val="00532161"/>
    <w:rsid w:val="0053715F"/>
    <w:rsid w:val="00542173"/>
    <w:rsid w:val="00544C35"/>
    <w:rsid w:val="00557E03"/>
    <w:rsid w:val="00562B09"/>
    <w:rsid w:val="00565987"/>
    <w:rsid w:val="00574EF2"/>
    <w:rsid w:val="00577B14"/>
    <w:rsid w:val="00582209"/>
    <w:rsid w:val="00584B72"/>
    <w:rsid w:val="005A1CDD"/>
    <w:rsid w:val="005A262C"/>
    <w:rsid w:val="005B0577"/>
    <w:rsid w:val="005B5372"/>
    <w:rsid w:val="005C2187"/>
    <w:rsid w:val="005D2121"/>
    <w:rsid w:val="005E1DBE"/>
    <w:rsid w:val="005E66C6"/>
    <w:rsid w:val="005F1DCD"/>
    <w:rsid w:val="00600DF2"/>
    <w:rsid w:val="00601B50"/>
    <w:rsid w:val="0060284C"/>
    <w:rsid w:val="00642C39"/>
    <w:rsid w:val="00647E00"/>
    <w:rsid w:val="00657804"/>
    <w:rsid w:val="00666BD8"/>
    <w:rsid w:val="00672AEA"/>
    <w:rsid w:val="0069039D"/>
    <w:rsid w:val="00693859"/>
    <w:rsid w:val="00694264"/>
    <w:rsid w:val="006A032A"/>
    <w:rsid w:val="006B17A0"/>
    <w:rsid w:val="006B6125"/>
    <w:rsid w:val="006D39F7"/>
    <w:rsid w:val="006E3F7A"/>
    <w:rsid w:val="006F28D7"/>
    <w:rsid w:val="007221FD"/>
    <w:rsid w:val="00722B93"/>
    <w:rsid w:val="007318DE"/>
    <w:rsid w:val="0074251D"/>
    <w:rsid w:val="00752451"/>
    <w:rsid w:val="00752F7A"/>
    <w:rsid w:val="0075731C"/>
    <w:rsid w:val="0076294D"/>
    <w:rsid w:val="00772BCD"/>
    <w:rsid w:val="00796E8E"/>
    <w:rsid w:val="007A0175"/>
    <w:rsid w:val="007A0E2A"/>
    <w:rsid w:val="007B0E13"/>
    <w:rsid w:val="007D2C1D"/>
    <w:rsid w:val="007E28D7"/>
    <w:rsid w:val="007E36F8"/>
    <w:rsid w:val="00831988"/>
    <w:rsid w:val="00842138"/>
    <w:rsid w:val="00860CC8"/>
    <w:rsid w:val="00863DEC"/>
    <w:rsid w:val="00891055"/>
    <w:rsid w:val="00893638"/>
    <w:rsid w:val="008A4D1E"/>
    <w:rsid w:val="008B0535"/>
    <w:rsid w:val="008B32D6"/>
    <w:rsid w:val="008D3932"/>
    <w:rsid w:val="008E7426"/>
    <w:rsid w:val="008F1230"/>
    <w:rsid w:val="008F5697"/>
    <w:rsid w:val="00905D7A"/>
    <w:rsid w:val="009154FB"/>
    <w:rsid w:val="00915909"/>
    <w:rsid w:val="00915D08"/>
    <w:rsid w:val="00922AD1"/>
    <w:rsid w:val="00930672"/>
    <w:rsid w:val="00935BC1"/>
    <w:rsid w:val="00943723"/>
    <w:rsid w:val="00960E56"/>
    <w:rsid w:val="00962167"/>
    <w:rsid w:val="009640FF"/>
    <w:rsid w:val="009730E4"/>
    <w:rsid w:val="00976479"/>
    <w:rsid w:val="0098716A"/>
    <w:rsid w:val="009874BC"/>
    <w:rsid w:val="0099011F"/>
    <w:rsid w:val="00990C8B"/>
    <w:rsid w:val="009A3572"/>
    <w:rsid w:val="009A5CC2"/>
    <w:rsid w:val="009C10D1"/>
    <w:rsid w:val="009C7F13"/>
    <w:rsid w:val="009E5A38"/>
    <w:rsid w:val="009F2E05"/>
    <w:rsid w:val="00A13C61"/>
    <w:rsid w:val="00A25CFC"/>
    <w:rsid w:val="00A26644"/>
    <w:rsid w:val="00A266F5"/>
    <w:rsid w:val="00A33786"/>
    <w:rsid w:val="00A34D62"/>
    <w:rsid w:val="00A46E97"/>
    <w:rsid w:val="00A51BB2"/>
    <w:rsid w:val="00A566E8"/>
    <w:rsid w:val="00A62DE6"/>
    <w:rsid w:val="00A64B80"/>
    <w:rsid w:val="00A66984"/>
    <w:rsid w:val="00A759CE"/>
    <w:rsid w:val="00A80366"/>
    <w:rsid w:val="00AA019E"/>
    <w:rsid w:val="00AA63E5"/>
    <w:rsid w:val="00AC6A43"/>
    <w:rsid w:val="00AD02CD"/>
    <w:rsid w:val="00AD7F7C"/>
    <w:rsid w:val="00AE6B99"/>
    <w:rsid w:val="00B106E8"/>
    <w:rsid w:val="00B214F8"/>
    <w:rsid w:val="00B24E1E"/>
    <w:rsid w:val="00B31578"/>
    <w:rsid w:val="00B37364"/>
    <w:rsid w:val="00B40A13"/>
    <w:rsid w:val="00B51464"/>
    <w:rsid w:val="00B60BEC"/>
    <w:rsid w:val="00B679AC"/>
    <w:rsid w:val="00B7597E"/>
    <w:rsid w:val="00B9441F"/>
    <w:rsid w:val="00B96C93"/>
    <w:rsid w:val="00BA005D"/>
    <w:rsid w:val="00BE6210"/>
    <w:rsid w:val="00BF40E0"/>
    <w:rsid w:val="00C07806"/>
    <w:rsid w:val="00C10BDA"/>
    <w:rsid w:val="00C25627"/>
    <w:rsid w:val="00C32C69"/>
    <w:rsid w:val="00C34B8B"/>
    <w:rsid w:val="00C415C6"/>
    <w:rsid w:val="00C56441"/>
    <w:rsid w:val="00C720B7"/>
    <w:rsid w:val="00C82039"/>
    <w:rsid w:val="00C83D02"/>
    <w:rsid w:val="00C87C34"/>
    <w:rsid w:val="00C907C3"/>
    <w:rsid w:val="00C925A2"/>
    <w:rsid w:val="00CB3A30"/>
    <w:rsid w:val="00CC691C"/>
    <w:rsid w:val="00CD124A"/>
    <w:rsid w:val="00CE5011"/>
    <w:rsid w:val="00CE506D"/>
    <w:rsid w:val="00CF2676"/>
    <w:rsid w:val="00CF68DB"/>
    <w:rsid w:val="00D23BD9"/>
    <w:rsid w:val="00D256A1"/>
    <w:rsid w:val="00D41522"/>
    <w:rsid w:val="00D62F2F"/>
    <w:rsid w:val="00D675E1"/>
    <w:rsid w:val="00D75DE3"/>
    <w:rsid w:val="00D93A0A"/>
    <w:rsid w:val="00DA114A"/>
    <w:rsid w:val="00DA6329"/>
    <w:rsid w:val="00DA7155"/>
    <w:rsid w:val="00DB20F7"/>
    <w:rsid w:val="00DD3619"/>
    <w:rsid w:val="00DD3DB1"/>
    <w:rsid w:val="00DE43E7"/>
    <w:rsid w:val="00DE4AFE"/>
    <w:rsid w:val="00DF08DE"/>
    <w:rsid w:val="00E14721"/>
    <w:rsid w:val="00E31623"/>
    <w:rsid w:val="00E33FD5"/>
    <w:rsid w:val="00E34B24"/>
    <w:rsid w:val="00E35319"/>
    <w:rsid w:val="00E36BDC"/>
    <w:rsid w:val="00E6025A"/>
    <w:rsid w:val="00E60B42"/>
    <w:rsid w:val="00E616B4"/>
    <w:rsid w:val="00E658C5"/>
    <w:rsid w:val="00E717A2"/>
    <w:rsid w:val="00E955F8"/>
    <w:rsid w:val="00E9565D"/>
    <w:rsid w:val="00EA0754"/>
    <w:rsid w:val="00EA43F9"/>
    <w:rsid w:val="00EB3D13"/>
    <w:rsid w:val="00EB6ECB"/>
    <w:rsid w:val="00EC18BD"/>
    <w:rsid w:val="00EE3CAA"/>
    <w:rsid w:val="00EE56A3"/>
    <w:rsid w:val="00EF601B"/>
    <w:rsid w:val="00F177FD"/>
    <w:rsid w:val="00F20784"/>
    <w:rsid w:val="00F354AA"/>
    <w:rsid w:val="00F43207"/>
    <w:rsid w:val="00F447BE"/>
    <w:rsid w:val="00F45865"/>
    <w:rsid w:val="00F6260A"/>
    <w:rsid w:val="00F62848"/>
    <w:rsid w:val="00F65F2C"/>
    <w:rsid w:val="00F708D4"/>
    <w:rsid w:val="00F74D65"/>
    <w:rsid w:val="00FC0EE2"/>
    <w:rsid w:val="00FC4888"/>
    <w:rsid w:val="00FE398C"/>
    <w:rsid w:val="00FE475B"/>
    <w:rsid w:val="00FF6EF3"/>
    <w:rsid w:val="01361BBA"/>
    <w:rsid w:val="01596278"/>
    <w:rsid w:val="01C62F2B"/>
    <w:rsid w:val="01FF05B0"/>
    <w:rsid w:val="02600AAD"/>
    <w:rsid w:val="02C10E79"/>
    <w:rsid w:val="03062D2F"/>
    <w:rsid w:val="031228B1"/>
    <w:rsid w:val="041D50E9"/>
    <w:rsid w:val="04847570"/>
    <w:rsid w:val="058C1C12"/>
    <w:rsid w:val="06E15F8D"/>
    <w:rsid w:val="06E4782C"/>
    <w:rsid w:val="075671B9"/>
    <w:rsid w:val="08591B53"/>
    <w:rsid w:val="08AE1E9F"/>
    <w:rsid w:val="08CF5C46"/>
    <w:rsid w:val="0A2037DA"/>
    <w:rsid w:val="0A607E0A"/>
    <w:rsid w:val="0CCD4209"/>
    <w:rsid w:val="0D907DC5"/>
    <w:rsid w:val="0D9C7FD3"/>
    <w:rsid w:val="0E283076"/>
    <w:rsid w:val="0F256C33"/>
    <w:rsid w:val="0F2F6775"/>
    <w:rsid w:val="0F754D84"/>
    <w:rsid w:val="106D0FD1"/>
    <w:rsid w:val="11731ED8"/>
    <w:rsid w:val="124A70DD"/>
    <w:rsid w:val="13C64C35"/>
    <w:rsid w:val="14377D86"/>
    <w:rsid w:val="143C0CA7"/>
    <w:rsid w:val="14522278"/>
    <w:rsid w:val="16392729"/>
    <w:rsid w:val="163E338E"/>
    <w:rsid w:val="166158D1"/>
    <w:rsid w:val="169528F0"/>
    <w:rsid w:val="179C380B"/>
    <w:rsid w:val="19D17BA2"/>
    <w:rsid w:val="1AD46292"/>
    <w:rsid w:val="1B4537E4"/>
    <w:rsid w:val="1C4F0C9B"/>
    <w:rsid w:val="1C8517A8"/>
    <w:rsid w:val="1C9C6787"/>
    <w:rsid w:val="1F8654CC"/>
    <w:rsid w:val="1F9C084C"/>
    <w:rsid w:val="1FDC79F0"/>
    <w:rsid w:val="227E248B"/>
    <w:rsid w:val="2347066D"/>
    <w:rsid w:val="234863C1"/>
    <w:rsid w:val="24A26144"/>
    <w:rsid w:val="24FB4266"/>
    <w:rsid w:val="256E7B04"/>
    <w:rsid w:val="25A62424"/>
    <w:rsid w:val="27736336"/>
    <w:rsid w:val="282C3FC1"/>
    <w:rsid w:val="29366156"/>
    <w:rsid w:val="2A703C9F"/>
    <w:rsid w:val="2B77216D"/>
    <w:rsid w:val="2BFF63EA"/>
    <w:rsid w:val="2D0F6B01"/>
    <w:rsid w:val="2DE33AEA"/>
    <w:rsid w:val="2ED02A7B"/>
    <w:rsid w:val="31903B8C"/>
    <w:rsid w:val="33F7209D"/>
    <w:rsid w:val="34452E08"/>
    <w:rsid w:val="34E03158"/>
    <w:rsid w:val="350E6FCA"/>
    <w:rsid w:val="352F0DFC"/>
    <w:rsid w:val="373C29F8"/>
    <w:rsid w:val="38704314"/>
    <w:rsid w:val="389E342F"/>
    <w:rsid w:val="39BD406D"/>
    <w:rsid w:val="3B3D6F2F"/>
    <w:rsid w:val="3B7C3B77"/>
    <w:rsid w:val="3C4036DC"/>
    <w:rsid w:val="3E4B7EE3"/>
    <w:rsid w:val="3E927592"/>
    <w:rsid w:val="3FB337BE"/>
    <w:rsid w:val="400224F5"/>
    <w:rsid w:val="41EC0D67"/>
    <w:rsid w:val="42DE2DA6"/>
    <w:rsid w:val="439153BC"/>
    <w:rsid w:val="440051C9"/>
    <w:rsid w:val="445826E4"/>
    <w:rsid w:val="44E77BE5"/>
    <w:rsid w:val="46C01222"/>
    <w:rsid w:val="47AF2F63"/>
    <w:rsid w:val="48C05095"/>
    <w:rsid w:val="48F32361"/>
    <w:rsid w:val="494A0E00"/>
    <w:rsid w:val="4A6F2535"/>
    <w:rsid w:val="4BD24AB5"/>
    <w:rsid w:val="4C712E5D"/>
    <w:rsid w:val="4CFF70C4"/>
    <w:rsid w:val="4E0A2705"/>
    <w:rsid w:val="4E4A12EF"/>
    <w:rsid w:val="4EE3615B"/>
    <w:rsid w:val="501778F7"/>
    <w:rsid w:val="50546455"/>
    <w:rsid w:val="521A722A"/>
    <w:rsid w:val="52224331"/>
    <w:rsid w:val="52E80BEB"/>
    <w:rsid w:val="53514ECE"/>
    <w:rsid w:val="53BD07B5"/>
    <w:rsid w:val="55302C55"/>
    <w:rsid w:val="55983288"/>
    <w:rsid w:val="576C677A"/>
    <w:rsid w:val="591A3FB4"/>
    <w:rsid w:val="597B7BEF"/>
    <w:rsid w:val="5D075BDA"/>
    <w:rsid w:val="5E6C2A09"/>
    <w:rsid w:val="60536729"/>
    <w:rsid w:val="608763D3"/>
    <w:rsid w:val="60BB42CE"/>
    <w:rsid w:val="60D97EB0"/>
    <w:rsid w:val="611F7C0F"/>
    <w:rsid w:val="612400C6"/>
    <w:rsid w:val="62AC0373"/>
    <w:rsid w:val="643D0718"/>
    <w:rsid w:val="654C6273"/>
    <w:rsid w:val="65AD207C"/>
    <w:rsid w:val="65E120E1"/>
    <w:rsid w:val="65F25193"/>
    <w:rsid w:val="66106E6A"/>
    <w:rsid w:val="66F81DD8"/>
    <w:rsid w:val="670009BB"/>
    <w:rsid w:val="670562A3"/>
    <w:rsid w:val="670E6EA8"/>
    <w:rsid w:val="676649A8"/>
    <w:rsid w:val="67A9053E"/>
    <w:rsid w:val="68CC52CB"/>
    <w:rsid w:val="699456BD"/>
    <w:rsid w:val="69B9159D"/>
    <w:rsid w:val="69CF4947"/>
    <w:rsid w:val="6A892D47"/>
    <w:rsid w:val="6C797180"/>
    <w:rsid w:val="720D425E"/>
    <w:rsid w:val="72882D68"/>
    <w:rsid w:val="72CC459A"/>
    <w:rsid w:val="730F0F1C"/>
    <w:rsid w:val="73652C13"/>
    <w:rsid w:val="744E128A"/>
    <w:rsid w:val="77660698"/>
    <w:rsid w:val="78205CD8"/>
    <w:rsid w:val="78620F7F"/>
    <w:rsid w:val="79BD2A0E"/>
    <w:rsid w:val="7B146770"/>
    <w:rsid w:val="7BB37C24"/>
    <w:rsid w:val="7D0F532E"/>
    <w:rsid w:val="7D2A660C"/>
    <w:rsid w:val="7D6531A0"/>
    <w:rsid w:val="7E19249B"/>
    <w:rsid w:val="7E4B05E8"/>
    <w:rsid w:val="7F464C96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5897</Words>
  <Characters>6689</Characters>
  <Lines>115</Lines>
  <Paragraphs>32</Paragraphs>
  <TotalTime>7</TotalTime>
  <ScaleCrop>false</ScaleCrop>
  <LinksUpToDate>false</LinksUpToDate>
  <CharactersWithSpaces>6807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2021-02-01T00:18:00Z</dcterms:created>
  <dc:creator>刘海</dc:creator>
  <cp:lastModifiedBy>Administrator</cp:lastModifiedBy>
  <cp:lastPrinted>2021-02-07T07:09:00Z</cp:lastPrinted>
  <dcterms:modified xsi:type="dcterms:W3CDTF">2022-04-14T04:39:33Z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7A83B8FB721D47CBBFA376531D257072</vt:lpwstr>
  </property>
</Properties>
</file>